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p>
    <w:p>
      <w:pPr>
        <w:rPr>
          <w:rFonts w:ascii="黑体" w:eastAsia="黑体"/>
          <w:sz w:val="32"/>
          <w:szCs w:val="32"/>
        </w:rPr>
      </w:pPr>
    </w:p>
    <w:p>
      <w:pPr>
        <w:rPr>
          <w:rFonts w:ascii="黑体" w:eastAsia="黑体"/>
          <w:sz w:val="32"/>
          <w:szCs w:val="32"/>
        </w:rPr>
      </w:pPr>
    </w:p>
    <w:p>
      <w:pPr>
        <w:spacing w:line="560" w:lineRule="exact"/>
        <w:ind w:left="-178" w:leftChars="-85" w:right="-153" w:rightChars="-73"/>
        <w:jc w:val="center"/>
        <w:rPr>
          <w:rFonts w:ascii="宋体"/>
          <w:b/>
          <w:sz w:val="44"/>
          <w:szCs w:val="44"/>
        </w:rPr>
      </w:pPr>
      <w:r>
        <w:rPr>
          <w:rFonts w:hint="eastAsia" w:ascii="宋体" w:hAnsi="宋体"/>
          <w:b/>
          <w:sz w:val="44"/>
          <w:szCs w:val="44"/>
        </w:rPr>
        <w:t>增城区水务局</w:t>
      </w:r>
      <w:r>
        <w:rPr>
          <w:rFonts w:ascii="宋体" w:hAnsi="宋体"/>
          <w:b/>
          <w:sz w:val="44"/>
          <w:szCs w:val="44"/>
        </w:rPr>
        <w:t>2017</w:t>
      </w:r>
      <w:r>
        <w:rPr>
          <w:rFonts w:hint="eastAsia" w:ascii="宋体" w:hAnsi="宋体"/>
          <w:b/>
          <w:sz w:val="44"/>
          <w:szCs w:val="44"/>
        </w:rPr>
        <w:t>年行政许可</w:t>
      </w:r>
    </w:p>
    <w:p>
      <w:pPr>
        <w:spacing w:line="560" w:lineRule="exact"/>
        <w:ind w:left="-178" w:leftChars="-85" w:right="-153" w:rightChars="-73"/>
        <w:jc w:val="center"/>
        <w:rPr>
          <w:rFonts w:ascii="宋体"/>
          <w:b/>
          <w:sz w:val="44"/>
          <w:szCs w:val="44"/>
        </w:rPr>
      </w:pPr>
      <w:r>
        <w:rPr>
          <w:rFonts w:hint="eastAsia" w:ascii="宋体" w:hAnsi="宋体"/>
          <w:b/>
          <w:sz w:val="44"/>
          <w:szCs w:val="44"/>
        </w:rPr>
        <w:t>实施和监督管理情况报告</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根据《广东省行政许可监督管理条例》</w:t>
      </w:r>
      <w:r>
        <w:rPr>
          <w:rFonts w:hint="eastAsia" w:ascii="仿宋_GB2312" w:hAnsi="宋体" w:eastAsia="仿宋_GB2312"/>
          <w:sz w:val="32"/>
          <w:szCs w:val="32"/>
        </w:rPr>
        <w:t>的有关</w:t>
      </w:r>
      <w:r>
        <w:rPr>
          <w:rFonts w:hint="eastAsia" w:ascii="仿宋_GB2312" w:eastAsia="仿宋_GB2312"/>
          <w:sz w:val="32"/>
          <w:szCs w:val="32"/>
        </w:rPr>
        <w:t>要求，现将我单位</w:t>
      </w:r>
      <w:r>
        <w:rPr>
          <w:rFonts w:ascii="仿宋_GB2312" w:eastAsia="仿宋_GB2312"/>
          <w:sz w:val="32"/>
          <w:szCs w:val="32"/>
        </w:rPr>
        <w:t>2017</w:t>
      </w:r>
      <w:r>
        <w:rPr>
          <w:rFonts w:hint="eastAsia" w:ascii="仿宋_GB2312" w:eastAsia="仿宋_GB2312"/>
          <w:sz w:val="32"/>
          <w:szCs w:val="32"/>
        </w:rPr>
        <w:t>年行政许可实施和监督管理情况报告如下：</w:t>
      </w:r>
    </w:p>
    <w:p>
      <w:pPr>
        <w:spacing w:line="560" w:lineRule="exact"/>
        <w:ind w:firstLine="630"/>
        <w:rPr>
          <w:rFonts w:ascii="黑体" w:hAnsi="黑体" w:eastAsia="黑体"/>
          <w:sz w:val="32"/>
          <w:szCs w:val="32"/>
        </w:rPr>
      </w:pPr>
      <w:r>
        <w:rPr>
          <w:rFonts w:hint="eastAsia" w:ascii="黑体" w:hAnsi="黑体" w:eastAsia="黑体"/>
          <w:sz w:val="32"/>
          <w:szCs w:val="32"/>
        </w:rPr>
        <w:t>一、基本情况</w:t>
      </w:r>
    </w:p>
    <w:p>
      <w:pPr>
        <w:spacing w:line="560" w:lineRule="exact"/>
        <w:ind w:firstLine="630"/>
        <w:rPr>
          <w:rFonts w:ascii="仿宋_GB2312" w:eastAsia="仿宋_GB2312"/>
          <w:b/>
          <w:sz w:val="32"/>
          <w:szCs w:val="32"/>
        </w:rPr>
      </w:pPr>
      <w:r>
        <w:rPr>
          <w:rFonts w:hint="eastAsia" w:ascii="仿宋_GB2312" w:eastAsia="仿宋_GB2312"/>
          <w:b/>
          <w:sz w:val="32"/>
          <w:szCs w:val="32"/>
        </w:rPr>
        <w:t>（一）现有事项及办理情况。</w:t>
      </w:r>
    </w:p>
    <w:p>
      <w:pPr>
        <w:spacing w:line="570" w:lineRule="exact"/>
        <w:ind w:firstLine="645"/>
        <w:rPr>
          <w:rFonts w:ascii="仿宋_GB2312" w:hAnsi="宋体" w:eastAsia="仿宋_GB2312"/>
          <w:sz w:val="32"/>
          <w:szCs w:val="32"/>
        </w:rPr>
      </w:pPr>
      <w:r>
        <w:rPr>
          <w:rFonts w:hint="eastAsia" w:ascii="仿宋_GB2312" w:hAnsi="宋体" w:eastAsia="仿宋_GB2312"/>
          <w:sz w:val="32"/>
          <w:szCs w:val="32"/>
        </w:rPr>
        <w:t>我局现实施的行政许可审批事项数量为</w:t>
      </w:r>
      <w:r>
        <w:rPr>
          <w:rFonts w:ascii="仿宋_GB2312" w:hAnsi="宋体" w:eastAsia="仿宋_GB2312"/>
          <w:sz w:val="32"/>
          <w:szCs w:val="32"/>
        </w:rPr>
        <w:t>20</w:t>
      </w:r>
      <w:r>
        <w:rPr>
          <w:rFonts w:hint="eastAsia" w:ascii="仿宋_GB2312" w:hAnsi="宋体" w:eastAsia="仿宋_GB2312"/>
          <w:sz w:val="32"/>
          <w:szCs w:val="32"/>
        </w:rPr>
        <w:t>项，分别是：（</w:t>
      </w:r>
      <w:r>
        <w:rPr>
          <w:rFonts w:ascii="仿宋_GB2312" w:hAnsi="宋体" w:eastAsia="仿宋_GB2312"/>
          <w:sz w:val="32"/>
          <w:szCs w:val="32"/>
        </w:rPr>
        <w:t>1</w:t>
      </w:r>
      <w:r>
        <w:rPr>
          <w:rFonts w:hint="eastAsia" w:ascii="仿宋_GB2312" w:hAnsi="宋体" w:eastAsia="仿宋_GB2312"/>
          <w:sz w:val="32"/>
          <w:szCs w:val="32"/>
        </w:rPr>
        <w:t>）取水许可；（</w:t>
      </w:r>
      <w:r>
        <w:rPr>
          <w:rFonts w:ascii="仿宋_GB2312" w:hAnsi="宋体" w:eastAsia="仿宋_GB2312"/>
          <w:sz w:val="32"/>
          <w:szCs w:val="32"/>
        </w:rPr>
        <w:t>2</w:t>
      </w:r>
      <w:r>
        <w:rPr>
          <w:rFonts w:hint="eastAsia" w:ascii="仿宋_GB2312" w:hAnsi="宋体" w:eastAsia="仿宋_GB2312"/>
          <w:sz w:val="32"/>
          <w:szCs w:val="32"/>
        </w:rPr>
        <w:t>）调整用水计划审批；（</w:t>
      </w:r>
      <w:r>
        <w:rPr>
          <w:rFonts w:ascii="仿宋_GB2312" w:hAnsi="宋体" w:eastAsia="仿宋_GB2312"/>
          <w:sz w:val="32"/>
          <w:szCs w:val="32"/>
        </w:rPr>
        <w:t>3</w:t>
      </w:r>
      <w:r>
        <w:rPr>
          <w:rFonts w:hint="eastAsia" w:ascii="仿宋_GB2312" w:hAnsi="宋体" w:eastAsia="仿宋_GB2312"/>
          <w:sz w:val="32"/>
          <w:szCs w:val="32"/>
        </w:rPr>
        <w:t>）污水排入排水管网许可证核发；（</w:t>
      </w:r>
      <w:r>
        <w:rPr>
          <w:rFonts w:ascii="仿宋_GB2312" w:hAnsi="宋体" w:eastAsia="仿宋_GB2312"/>
          <w:sz w:val="32"/>
          <w:szCs w:val="32"/>
        </w:rPr>
        <w:t>4</w:t>
      </w:r>
      <w:r>
        <w:rPr>
          <w:rFonts w:hint="eastAsia" w:ascii="仿宋_GB2312" w:hAnsi="宋体" w:eastAsia="仿宋_GB2312"/>
          <w:sz w:val="32"/>
          <w:szCs w:val="32"/>
        </w:rPr>
        <w:t>）区管河道管理范围内工程建设方案审批（包含承接上级委托下放事项“河涌改道审批”）；（</w:t>
      </w:r>
      <w:r>
        <w:rPr>
          <w:rFonts w:ascii="仿宋_GB2312" w:hAnsi="宋体" w:eastAsia="仿宋_GB2312"/>
          <w:sz w:val="32"/>
          <w:szCs w:val="32"/>
        </w:rPr>
        <w:t>5</w:t>
      </w:r>
      <w:r>
        <w:rPr>
          <w:rFonts w:hint="eastAsia" w:ascii="仿宋_GB2312" w:hAnsi="宋体" w:eastAsia="仿宋_GB2312"/>
          <w:sz w:val="32"/>
          <w:szCs w:val="32"/>
        </w:rPr>
        <w:t>）区管权限的水利工程管理和保护范围内新建、扩建、改建的工程建设项目方案审批；（</w:t>
      </w:r>
      <w:r>
        <w:rPr>
          <w:rFonts w:ascii="仿宋_GB2312" w:hAnsi="宋体" w:eastAsia="仿宋_GB2312"/>
          <w:sz w:val="32"/>
          <w:szCs w:val="32"/>
        </w:rPr>
        <w:t>6</w:t>
      </w:r>
      <w:r>
        <w:rPr>
          <w:rFonts w:hint="eastAsia" w:ascii="仿宋_GB2312" w:hAnsi="宋体" w:eastAsia="仿宋_GB2312"/>
          <w:sz w:val="32"/>
          <w:szCs w:val="32"/>
        </w:rPr>
        <w:t>）滩涂开发利用工程建设方案初审；（</w:t>
      </w:r>
      <w:r>
        <w:rPr>
          <w:rFonts w:ascii="仿宋_GB2312" w:hAnsi="宋体" w:eastAsia="仿宋_GB2312"/>
          <w:sz w:val="32"/>
          <w:szCs w:val="32"/>
        </w:rPr>
        <w:t>7</w:t>
      </w:r>
      <w:r>
        <w:rPr>
          <w:rFonts w:hint="eastAsia" w:ascii="仿宋_GB2312" w:hAnsi="宋体" w:eastAsia="仿宋_GB2312"/>
          <w:sz w:val="32"/>
          <w:szCs w:val="32"/>
        </w:rPr>
        <w:t>）河道采砂许可证核发；（</w:t>
      </w:r>
      <w:r>
        <w:rPr>
          <w:rFonts w:ascii="仿宋_GB2312" w:hAnsi="宋体" w:eastAsia="仿宋_GB2312"/>
          <w:sz w:val="32"/>
          <w:szCs w:val="32"/>
        </w:rPr>
        <w:t>8</w:t>
      </w:r>
      <w:r>
        <w:rPr>
          <w:rFonts w:hint="eastAsia" w:ascii="仿宋_GB2312" w:hAnsi="宋体" w:eastAsia="仿宋_GB2312"/>
          <w:sz w:val="32"/>
          <w:szCs w:val="32"/>
        </w:rPr>
        <w:t>）生产建设项目水土保持方案审批；（</w:t>
      </w:r>
      <w:r>
        <w:rPr>
          <w:rFonts w:ascii="仿宋_GB2312" w:hAnsi="宋体" w:eastAsia="仿宋_GB2312"/>
          <w:sz w:val="32"/>
          <w:szCs w:val="32"/>
        </w:rPr>
        <w:t>9</w:t>
      </w:r>
      <w:r>
        <w:rPr>
          <w:rFonts w:hint="eastAsia" w:ascii="仿宋_GB2312" w:hAnsi="宋体" w:eastAsia="仿宋_GB2312"/>
          <w:sz w:val="32"/>
          <w:szCs w:val="32"/>
        </w:rPr>
        <w:t>）迁移、损坏区管水利工程设施，占用影响区管农业灌溉水源、灌排工程设施审批；（</w:t>
      </w:r>
      <w:r>
        <w:rPr>
          <w:rFonts w:ascii="仿宋_GB2312" w:hAnsi="宋体" w:eastAsia="仿宋_GB2312"/>
          <w:sz w:val="32"/>
          <w:szCs w:val="32"/>
        </w:rPr>
        <w:t>10</w:t>
      </w:r>
      <w:r>
        <w:rPr>
          <w:rFonts w:hint="eastAsia" w:ascii="仿宋_GB2312" w:hAnsi="宋体" w:eastAsia="仿宋_GB2312"/>
          <w:sz w:val="32"/>
          <w:szCs w:val="32"/>
        </w:rPr>
        <w:t>）水利工程初步设计文件审批；（</w:t>
      </w:r>
      <w:r>
        <w:rPr>
          <w:rFonts w:ascii="仿宋_GB2312" w:hAnsi="宋体" w:eastAsia="仿宋_GB2312"/>
          <w:sz w:val="32"/>
          <w:szCs w:val="32"/>
        </w:rPr>
        <w:t>11</w:t>
      </w:r>
      <w:r>
        <w:rPr>
          <w:rFonts w:hint="eastAsia" w:ascii="仿宋_GB2312" w:hAnsi="宋体" w:eastAsia="仿宋_GB2312"/>
          <w:sz w:val="32"/>
          <w:szCs w:val="32"/>
        </w:rPr>
        <w:t>）公共排水设施设计方案审批；（</w:t>
      </w:r>
      <w:r>
        <w:rPr>
          <w:rFonts w:ascii="仿宋_GB2312" w:hAnsi="宋体" w:eastAsia="仿宋_GB2312"/>
          <w:sz w:val="32"/>
          <w:szCs w:val="32"/>
        </w:rPr>
        <w:t>12</w:t>
      </w:r>
      <w:r>
        <w:rPr>
          <w:rFonts w:hint="eastAsia" w:ascii="仿宋_GB2312" w:hAnsi="宋体" w:eastAsia="仿宋_GB2312"/>
          <w:sz w:val="32"/>
          <w:szCs w:val="32"/>
        </w:rPr>
        <w:t>）由于工程施工、设备维修等原因确需停止供水审批；（</w:t>
      </w:r>
      <w:r>
        <w:rPr>
          <w:rFonts w:ascii="仿宋_GB2312" w:hAnsi="宋体" w:eastAsia="仿宋_GB2312"/>
          <w:sz w:val="32"/>
          <w:szCs w:val="32"/>
        </w:rPr>
        <w:t>13</w:t>
      </w:r>
      <w:r>
        <w:rPr>
          <w:rFonts w:hint="eastAsia" w:ascii="仿宋_GB2312" w:hAnsi="宋体" w:eastAsia="仿宋_GB2312"/>
          <w:sz w:val="32"/>
          <w:szCs w:val="32"/>
        </w:rPr>
        <w:t>）供水、排水工程开工审批；（</w:t>
      </w:r>
      <w:r>
        <w:rPr>
          <w:rFonts w:ascii="仿宋_GB2312" w:hAnsi="宋体" w:eastAsia="仿宋_GB2312"/>
          <w:sz w:val="32"/>
          <w:szCs w:val="32"/>
        </w:rPr>
        <w:t>14</w:t>
      </w:r>
      <w:r>
        <w:rPr>
          <w:rFonts w:hint="eastAsia" w:ascii="仿宋_GB2312" w:hAnsi="宋体" w:eastAsia="仿宋_GB2312"/>
          <w:sz w:val="32"/>
          <w:szCs w:val="32"/>
        </w:rPr>
        <w:t>）因工程建设需要拆除、改动、迁移供水、排水与污水处理设施审核；（</w:t>
      </w:r>
      <w:r>
        <w:rPr>
          <w:rFonts w:ascii="仿宋_GB2312" w:hAnsi="宋体" w:eastAsia="仿宋_GB2312"/>
          <w:sz w:val="32"/>
          <w:szCs w:val="32"/>
        </w:rPr>
        <w:t>15</w:t>
      </w:r>
      <w:r>
        <w:rPr>
          <w:rFonts w:hint="eastAsia" w:ascii="仿宋_GB2312" w:hAnsi="宋体" w:eastAsia="仿宋_GB2312"/>
          <w:sz w:val="32"/>
          <w:szCs w:val="32"/>
        </w:rPr>
        <w:t>）在区管权限水利工程管理范围内的生产经营活动审批；（</w:t>
      </w:r>
      <w:r>
        <w:rPr>
          <w:rFonts w:ascii="仿宋_GB2312" w:hAnsi="宋体" w:eastAsia="仿宋_GB2312"/>
          <w:sz w:val="32"/>
          <w:szCs w:val="32"/>
        </w:rPr>
        <w:t>16</w:t>
      </w:r>
      <w:r>
        <w:rPr>
          <w:rFonts w:hint="eastAsia" w:ascii="仿宋_GB2312" w:hAnsi="宋体" w:eastAsia="仿宋_GB2312"/>
          <w:sz w:val="32"/>
          <w:szCs w:val="32"/>
        </w:rPr>
        <w:t>）农村集体经济组织修建水库审批；（</w:t>
      </w:r>
      <w:r>
        <w:rPr>
          <w:rFonts w:ascii="仿宋_GB2312" w:hAnsi="宋体" w:eastAsia="仿宋_GB2312"/>
          <w:sz w:val="32"/>
          <w:szCs w:val="32"/>
        </w:rPr>
        <w:t>18</w:t>
      </w:r>
      <w:r>
        <w:rPr>
          <w:rFonts w:hint="eastAsia" w:ascii="仿宋_GB2312" w:hAnsi="宋体" w:eastAsia="仿宋_GB2312"/>
          <w:sz w:val="32"/>
          <w:szCs w:val="32"/>
        </w:rPr>
        <w:t>）水工程建设规划同意书审查；（</w:t>
      </w:r>
      <w:r>
        <w:rPr>
          <w:rFonts w:ascii="仿宋_GB2312" w:hAnsi="宋体" w:eastAsia="仿宋_GB2312"/>
          <w:sz w:val="32"/>
          <w:szCs w:val="32"/>
        </w:rPr>
        <w:t>18</w:t>
      </w:r>
      <w:r>
        <w:rPr>
          <w:rFonts w:hint="eastAsia" w:ascii="仿宋_GB2312" w:hAnsi="宋体" w:eastAsia="仿宋_GB2312"/>
          <w:sz w:val="32"/>
          <w:szCs w:val="32"/>
        </w:rPr>
        <w:t>）堤顶、坝顶、戗台兼作公路审批；（</w:t>
      </w:r>
      <w:r>
        <w:rPr>
          <w:rFonts w:ascii="仿宋_GB2312" w:hAnsi="宋体" w:eastAsia="仿宋_GB2312"/>
          <w:sz w:val="32"/>
          <w:szCs w:val="32"/>
        </w:rPr>
        <w:t>19</w:t>
      </w:r>
      <w:r>
        <w:rPr>
          <w:rFonts w:hint="eastAsia" w:ascii="仿宋_GB2312" w:hAnsi="宋体" w:eastAsia="仿宋_GB2312"/>
          <w:sz w:val="32"/>
          <w:szCs w:val="32"/>
        </w:rPr>
        <w:t>）蓄滞洪区避洪设施建设审批；（</w:t>
      </w:r>
      <w:r>
        <w:rPr>
          <w:rFonts w:ascii="仿宋_GB2312" w:hAnsi="宋体" w:eastAsia="仿宋_GB2312"/>
          <w:sz w:val="32"/>
          <w:szCs w:val="32"/>
        </w:rPr>
        <w:t>20</w:t>
      </w:r>
      <w:r>
        <w:rPr>
          <w:rFonts w:hint="eastAsia" w:ascii="仿宋_GB2312" w:hAnsi="宋体" w:eastAsia="仿宋_GB2312"/>
          <w:sz w:val="32"/>
          <w:szCs w:val="32"/>
        </w:rPr>
        <w:t>）河道管理范围内有关活动（含临时占用）审批。</w:t>
      </w:r>
    </w:p>
    <w:p>
      <w:pPr>
        <w:spacing w:line="560" w:lineRule="exact"/>
        <w:ind w:firstLine="630"/>
        <w:rPr>
          <w:rFonts w:ascii="仿宋_GB2312" w:hAnsi="宋体" w:eastAsia="仿宋_GB2312"/>
          <w:sz w:val="32"/>
          <w:szCs w:val="32"/>
        </w:rPr>
      </w:pPr>
      <w:r>
        <w:rPr>
          <w:rFonts w:hint="eastAsia" w:ascii="仿宋_GB2312" w:hAnsi="宋体" w:eastAsia="仿宋_GB2312"/>
          <w:sz w:val="32"/>
          <w:szCs w:val="32"/>
        </w:rPr>
        <w:t>我局实施的行政许可审批事项均已纳入区行政审批事项目录及已进驻区网上办事大厅。我局</w:t>
      </w:r>
      <w:r>
        <w:rPr>
          <w:rFonts w:ascii="仿宋_GB2312" w:hAnsi="宋体" w:eastAsia="仿宋_GB2312"/>
          <w:sz w:val="32"/>
          <w:szCs w:val="32"/>
        </w:rPr>
        <w:t>2017</w:t>
      </w:r>
      <w:r>
        <w:rPr>
          <w:rFonts w:hint="eastAsia" w:ascii="仿宋_GB2312" w:hAnsi="宋体" w:eastAsia="仿宋_GB2312"/>
          <w:sz w:val="32"/>
          <w:szCs w:val="32"/>
        </w:rPr>
        <w:t>年行政许可的申请、受理和办结数量为</w:t>
      </w:r>
      <w:r>
        <w:rPr>
          <w:rFonts w:ascii="仿宋_GB2312" w:hAnsi="宋体" w:eastAsia="仿宋_GB2312"/>
          <w:sz w:val="32"/>
          <w:szCs w:val="32"/>
        </w:rPr>
        <w:t>2</w:t>
      </w:r>
      <w:r>
        <w:rPr>
          <w:rFonts w:hint="eastAsia" w:ascii="仿宋_GB2312" w:hAnsi="宋体" w:eastAsia="仿宋_GB2312"/>
          <w:sz w:val="32"/>
          <w:szCs w:val="32"/>
        </w:rPr>
        <w:t>84宗，全部申请都按时办结。</w:t>
      </w:r>
    </w:p>
    <w:p>
      <w:pPr>
        <w:spacing w:line="560" w:lineRule="exact"/>
        <w:ind w:firstLine="630"/>
        <w:rPr>
          <w:rFonts w:ascii="仿宋_GB2312" w:eastAsia="仿宋_GB2312"/>
          <w:b/>
          <w:sz w:val="32"/>
          <w:szCs w:val="32"/>
        </w:rPr>
      </w:pPr>
      <w:r>
        <w:rPr>
          <w:rFonts w:hint="eastAsia" w:ascii="仿宋_GB2312" w:eastAsia="仿宋_GB2312"/>
          <w:b/>
          <w:sz w:val="32"/>
          <w:szCs w:val="32"/>
        </w:rPr>
        <w:t>（二）依法实施情况。</w:t>
      </w:r>
    </w:p>
    <w:p>
      <w:pPr>
        <w:spacing w:line="560" w:lineRule="exact"/>
        <w:ind w:firstLine="630"/>
        <w:rPr>
          <w:rFonts w:ascii="仿宋_GB2312" w:eastAsia="仿宋_GB2312"/>
          <w:b/>
          <w:sz w:val="32"/>
          <w:szCs w:val="32"/>
        </w:rPr>
      </w:pPr>
      <w:r>
        <w:rPr>
          <w:rFonts w:ascii="仿宋_GB2312" w:eastAsia="仿宋_GB2312"/>
          <w:sz w:val="32"/>
          <w:szCs w:val="32"/>
        </w:rPr>
        <w:t>1</w:t>
      </w:r>
      <w:r>
        <w:rPr>
          <w:rFonts w:hint="eastAsia" w:ascii="仿宋_GB2312" w:eastAsia="仿宋_GB2312"/>
          <w:sz w:val="32"/>
          <w:szCs w:val="32"/>
        </w:rPr>
        <w:t>、我局严格执行《广州市增城区人民政府关于清理规范第一批</w:t>
      </w:r>
      <w:r>
        <w:rPr>
          <w:rFonts w:ascii="仿宋_GB2312" w:eastAsia="仿宋_GB2312"/>
          <w:sz w:val="32"/>
          <w:szCs w:val="32"/>
        </w:rPr>
        <w:t>47</w:t>
      </w:r>
      <w:r>
        <w:rPr>
          <w:rFonts w:hint="eastAsia" w:ascii="仿宋_GB2312" w:eastAsia="仿宋_GB2312"/>
          <w:sz w:val="32"/>
          <w:szCs w:val="32"/>
        </w:rPr>
        <w:t>项区政府工作部门行政审批中介服务事项的决定》（增府</w:t>
      </w:r>
      <w:r>
        <w:rPr>
          <w:rFonts w:ascii="仿宋_GB2312" w:eastAsia="仿宋_GB2312"/>
          <w:sz w:val="32"/>
          <w:szCs w:val="32"/>
        </w:rPr>
        <w:t>[2017]11</w:t>
      </w:r>
      <w:r>
        <w:rPr>
          <w:rFonts w:hint="eastAsia" w:ascii="仿宋_GB2312" w:eastAsia="仿宋_GB2312"/>
          <w:sz w:val="32"/>
          <w:szCs w:val="32"/>
        </w:rPr>
        <w:t>号），按照处理决定开展行政审批工作。</w:t>
      </w:r>
      <w:r>
        <w:rPr>
          <w:rFonts w:hint="eastAsia" w:ascii="Arial" w:hAnsi="Arial" w:eastAsia="仿宋_GB2312" w:cs="Arial"/>
          <w:kern w:val="0"/>
          <w:sz w:val="32"/>
          <w:szCs w:val="32"/>
        </w:rPr>
        <w:t>涉及我局行政审批项目，</w:t>
      </w:r>
      <w:r>
        <w:rPr>
          <w:rFonts w:hint="eastAsia" w:ascii="仿宋_GB2312" w:eastAsia="仿宋_GB2312"/>
          <w:sz w:val="32"/>
          <w:szCs w:val="32"/>
        </w:rPr>
        <w:t>主要是由业务科室、执法监察大队及属地镇水利所采取日常巡查和不定期督查进行监管。对边批边建或建设内容不符合批复文件要求的项目立即要求停止施工，特别是对违反规定，未经水行政主管部门批准，擅自实施的建设项目，一经发现坚决查处并要求立即采取措施整改，情节严重的，立案处理并追究相关部门的相应责任。</w:t>
      </w:r>
    </w:p>
    <w:p>
      <w:pPr>
        <w:spacing w:line="560" w:lineRule="exact"/>
        <w:ind w:firstLine="630"/>
        <w:rPr>
          <w:rFonts w:ascii="仿宋_GB2312" w:eastAsia="仿宋_GB2312"/>
          <w:b/>
          <w:sz w:val="32"/>
          <w:szCs w:val="32"/>
        </w:rPr>
      </w:pPr>
      <w:r>
        <w:rPr>
          <w:rFonts w:ascii="仿宋_GB2312" w:eastAsia="仿宋_GB2312"/>
          <w:sz w:val="32"/>
          <w:szCs w:val="32"/>
        </w:rPr>
        <w:t>2</w:t>
      </w:r>
      <w:r>
        <w:rPr>
          <w:rFonts w:hint="eastAsia" w:ascii="仿宋_GB2312" w:eastAsia="仿宋_GB2312"/>
          <w:sz w:val="32"/>
          <w:szCs w:val="32"/>
        </w:rPr>
        <w:t>、我局严格遵守法律法规规定的审批权限、范围、程序、条件，根据《广州市增城区人民政府关于公布保留、调整取消行政许可、备案等事项的决定》（增府</w:t>
      </w:r>
      <w:r>
        <w:rPr>
          <w:rFonts w:ascii="仿宋_GB2312" w:eastAsia="仿宋_GB2312"/>
          <w:sz w:val="32"/>
          <w:szCs w:val="32"/>
        </w:rPr>
        <w:t>[2016]11</w:t>
      </w:r>
      <w:r>
        <w:rPr>
          <w:rFonts w:hint="eastAsia" w:ascii="仿宋_GB2312" w:eastAsia="仿宋_GB2312"/>
          <w:sz w:val="32"/>
          <w:szCs w:val="32"/>
        </w:rPr>
        <w:t>号）文件规定，经过认真梳理后，应取消、保留的行政许可审批、备案事项已经全部落实到位，并严格按照审批权限、程序予以实施。</w:t>
      </w:r>
    </w:p>
    <w:p>
      <w:pPr>
        <w:spacing w:line="560" w:lineRule="exact"/>
        <w:ind w:firstLine="630"/>
        <w:rPr>
          <w:rFonts w:ascii="仿宋_GB2312" w:eastAsia="仿宋_GB2312"/>
          <w:b/>
          <w:sz w:val="32"/>
          <w:szCs w:val="32"/>
        </w:rPr>
      </w:pPr>
      <w:r>
        <w:rPr>
          <w:rFonts w:hint="eastAsia" w:ascii="仿宋_GB2312" w:eastAsia="仿宋_GB2312"/>
          <w:b/>
          <w:sz w:val="32"/>
          <w:szCs w:val="32"/>
        </w:rPr>
        <w:t>（三）公开公示情况。</w:t>
      </w:r>
    </w:p>
    <w:p>
      <w:pPr>
        <w:spacing w:line="560" w:lineRule="exact"/>
        <w:ind w:firstLine="630"/>
        <w:rPr>
          <w:rFonts w:ascii="仿宋_GB2312" w:eastAsia="仿宋_GB2312"/>
          <w:sz w:val="32"/>
          <w:szCs w:val="32"/>
        </w:rPr>
      </w:pPr>
      <w:r>
        <w:rPr>
          <w:rFonts w:hint="eastAsia" w:ascii="仿宋_GB2312" w:eastAsia="仿宋_GB2312"/>
          <w:sz w:val="32"/>
          <w:szCs w:val="32"/>
        </w:rPr>
        <w:t>我局实施的行政许可及备案事项均已进驻区网上办事大厅，并通过区政府门户网站，将办事依据、条件、时限、程序、结果及收费标准等进行公开，便于群众适时查询。同时在局办公场所的醒目位置设置公示栏、宣传板报等，对主要办事流程、投诉方式等进行公示，便于办事群众了解情况。</w:t>
      </w:r>
    </w:p>
    <w:p>
      <w:pPr>
        <w:spacing w:line="560" w:lineRule="exact"/>
        <w:ind w:firstLine="630"/>
        <w:rPr>
          <w:rFonts w:ascii="仿宋_GB2312" w:eastAsia="仿宋_GB2312"/>
          <w:b/>
          <w:sz w:val="32"/>
          <w:szCs w:val="32"/>
        </w:rPr>
      </w:pPr>
      <w:r>
        <w:rPr>
          <w:rFonts w:hint="eastAsia" w:ascii="仿宋_GB2312" w:eastAsia="仿宋_GB2312"/>
          <w:b/>
          <w:sz w:val="32"/>
          <w:szCs w:val="32"/>
        </w:rPr>
        <w:t>（四）监督管理情况。</w:t>
      </w:r>
    </w:p>
    <w:p>
      <w:pPr>
        <w:spacing w:line="560" w:lineRule="exact"/>
        <w:ind w:firstLine="630"/>
        <w:rPr>
          <w:rFonts w:ascii="仿宋_GB2312" w:eastAsia="仿宋_GB2312"/>
          <w:b/>
          <w:sz w:val="32"/>
          <w:szCs w:val="32"/>
        </w:rPr>
      </w:pPr>
      <w:r>
        <w:rPr>
          <w:rFonts w:hint="eastAsia" w:ascii="仿宋_GB2312" w:eastAsia="仿宋_GB2312"/>
          <w:sz w:val="32"/>
          <w:szCs w:val="32"/>
        </w:rPr>
        <w:t>在网站、公开栏设置投诉举报电话、通讯地址，主动接受社会监督，提升办事效能；建立健全《重大事项决策制度》、《政务公开制度》、《行政效能责任追究制》等一系列工作制度，全面梳理自身业务工作的职责、流程、办事指引，形成了一套内容较为科学、程序较为严密的制度管理体系，确保水务工作依法依规。</w:t>
      </w:r>
    </w:p>
    <w:p>
      <w:pPr>
        <w:spacing w:line="560" w:lineRule="exact"/>
        <w:ind w:firstLine="630"/>
        <w:rPr>
          <w:rFonts w:ascii="仿宋_GB2312" w:eastAsia="仿宋_GB2312"/>
          <w:b/>
          <w:sz w:val="32"/>
          <w:szCs w:val="32"/>
        </w:rPr>
      </w:pPr>
      <w:r>
        <w:rPr>
          <w:rFonts w:hint="eastAsia" w:ascii="仿宋_GB2312" w:eastAsia="仿宋_GB2312"/>
          <w:b/>
          <w:sz w:val="32"/>
          <w:szCs w:val="32"/>
        </w:rPr>
        <w:t>（五）实施效果情况。</w:t>
      </w:r>
    </w:p>
    <w:p>
      <w:pPr>
        <w:spacing w:line="560" w:lineRule="exact"/>
        <w:ind w:firstLine="63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年受理的行政许可审批事项都严格按照行政审批流程办理，热情服务，按时办结，全年未收到涉及行政许可行为的举报、投诉，并得到申请单位的好评。</w:t>
      </w:r>
    </w:p>
    <w:p>
      <w:pPr>
        <w:spacing w:line="560" w:lineRule="exact"/>
        <w:ind w:firstLine="630"/>
        <w:rPr>
          <w:rFonts w:ascii="黑体" w:hAnsi="黑体" w:eastAsia="黑体"/>
          <w:sz w:val="32"/>
          <w:szCs w:val="32"/>
        </w:rPr>
      </w:pPr>
      <w:r>
        <w:rPr>
          <w:rFonts w:hint="eastAsia" w:ascii="黑体" w:hAnsi="黑体" w:eastAsia="黑体"/>
          <w:sz w:val="32"/>
          <w:szCs w:val="32"/>
        </w:rPr>
        <w:t>二、存在问题和困难</w:t>
      </w:r>
    </w:p>
    <w:p>
      <w:pPr>
        <w:spacing w:line="570" w:lineRule="exact"/>
        <w:ind w:firstLine="645"/>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hAnsi="??" w:eastAsia="仿宋_GB2312" w:cs="宋体"/>
          <w:color w:val="232323"/>
          <w:kern w:val="0"/>
          <w:sz w:val="32"/>
          <w:szCs w:val="32"/>
        </w:rPr>
        <w:t>水行政法律法规宣传力度有待于进一步加强，部分群众水法律意识较为淡薄。</w:t>
      </w:r>
    </w:p>
    <w:p>
      <w:pPr>
        <w:spacing w:line="560" w:lineRule="exact"/>
        <w:ind w:firstLine="630"/>
        <w:rPr>
          <w:rFonts w:ascii="仿宋_GB2312" w:hAnsi="宋体" w:eastAsia="仿宋_GB2312" w:cs="Arial"/>
          <w:color w:val="000000"/>
          <w:kern w:val="0"/>
          <w:sz w:val="32"/>
          <w:szCs w:val="32"/>
        </w:rPr>
      </w:pPr>
      <w:r>
        <w:rPr>
          <w:rFonts w:hint="eastAsia" w:ascii="仿宋_GB2312" w:hAnsi="??" w:eastAsia="仿宋_GB2312" w:cs="宋体"/>
          <w:color w:val="232323"/>
          <w:kern w:val="0"/>
          <w:sz w:val="32"/>
          <w:szCs w:val="32"/>
        </w:rPr>
        <w:t>（二）</w:t>
      </w:r>
      <w:r>
        <w:rPr>
          <w:rFonts w:hint="eastAsia" w:ascii="仿宋_GB2312" w:hAnsi="宋体" w:eastAsia="仿宋_GB2312" w:cs="Arial"/>
          <w:color w:val="000000"/>
          <w:kern w:val="0"/>
          <w:sz w:val="32"/>
          <w:szCs w:val="32"/>
        </w:rPr>
        <w:t>少数施工单位以工程时间紧迫为由，在未经水行政主管部门审批的情况下，擅自施工。</w:t>
      </w:r>
    </w:p>
    <w:p>
      <w:pPr>
        <w:spacing w:line="560" w:lineRule="exact"/>
        <w:ind w:firstLine="630"/>
        <w:rPr>
          <w:rFonts w:ascii="黑体" w:hAnsi="黑体" w:eastAsia="黑体"/>
          <w:sz w:val="32"/>
          <w:szCs w:val="32"/>
        </w:rPr>
      </w:pPr>
      <w:r>
        <w:rPr>
          <w:rFonts w:hint="eastAsia" w:ascii="黑体" w:hAnsi="黑体" w:eastAsia="黑体"/>
          <w:sz w:val="32"/>
          <w:szCs w:val="32"/>
        </w:rPr>
        <w:t>三、下一步工作措施及有关建议</w:t>
      </w:r>
    </w:p>
    <w:p>
      <w:pPr>
        <w:spacing w:line="570" w:lineRule="exact"/>
        <w:ind w:firstLine="645"/>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eastAsia="仿宋_GB2312" w:cs="宋体"/>
          <w:kern w:val="0"/>
          <w:sz w:val="32"/>
          <w:szCs w:val="32"/>
        </w:rPr>
        <w:t>通过政策理论及业务学习不断提高行政审批</w:t>
      </w:r>
      <w:r>
        <w:rPr>
          <w:rFonts w:hint="eastAsia" w:ascii="仿宋_GB2312" w:eastAsia="仿宋_GB2312"/>
          <w:sz w:val="32"/>
          <w:szCs w:val="32"/>
        </w:rPr>
        <w:t>工作</w:t>
      </w:r>
      <w:r>
        <w:rPr>
          <w:rFonts w:hint="eastAsia" w:ascii="仿宋_GB2312" w:hAnsi="宋体" w:eastAsia="仿宋_GB2312"/>
          <w:sz w:val="32"/>
          <w:szCs w:val="32"/>
        </w:rPr>
        <w:t>人员</w:t>
      </w:r>
      <w:r>
        <w:rPr>
          <w:rFonts w:hint="eastAsia" w:ascii="仿宋_GB2312" w:hAnsi="宋体" w:eastAsia="仿宋_GB2312" w:cs="宋体"/>
          <w:kern w:val="0"/>
          <w:sz w:val="32"/>
          <w:szCs w:val="32"/>
        </w:rPr>
        <w:t>的综合素质</w:t>
      </w:r>
      <w:r>
        <w:rPr>
          <w:rFonts w:hint="eastAsia" w:ascii="仿宋_GB2312" w:hAnsi="宋体" w:eastAsia="仿宋_GB2312"/>
          <w:sz w:val="32"/>
          <w:szCs w:val="32"/>
        </w:rPr>
        <w:t>，规范工作行为，切实</w:t>
      </w:r>
      <w:r>
        <w:rPr>
          <w:rFonts w:hint="eastAsia" w:ascii="Arial" w:hAnsi="Arial" w:eastAsia="仿宋_GB2312" w:cs="Arial"/>
          <w:kern w:val="0"/>
          <w:sz w:val="32"/>
          <w:szCs w:val="32"/>
        </w:rPr>
        <w:t>做好行政许可审批工作</w:t>
      </w:r>
      <w:r>
        <w:rPr>
          <w:rFonts w:hint="eastAsia" w:ascii="仿宋_GB2312" w:hAnsi="宋体" w:eastAsia="仿宋_GB2312"/>
          <w:sz w:val="32"/>
          <w:szCs w:val="32"/>
        </w:rPr>
        <w:t>。</w:t>
      </w:r>
    </w:p>
    <w:p>
      <w:pPr>
        <w:ind w:firstLine="645"/>
        <w:rPr>
          <w:rFonts w:ascii="仿宋_GB2312" w:hAnsi="仿宋_GB2312" w:eastAsia="仿宋_GB2312" w:cs="仿宋_GB2312"/>
          <w:color w:val="333333"/>
          <w:kern w:val="0"/>
          <w:sz w:val="32"/>
          <w:szCs w:val="32"/>
          <w:shd w:val="clear" w:color="auto" w:fill="FFFFFF"/>
        </w:rPr>
      </w:pPr>
      <w:r>
        <w:rPr>
          <w:rFonts w:hint="eastAsia" w:ascii="仿宋_GB2312" w:hAnsi="宋体" w:eastAsia="仿宋_GB2312"/>
          <w:sz w:val="32"/>
          <w:szCs w:val="32"/>
        </w:rPr>
        <w:t>（二）</w:t>
      </w:r>
      <w:r>
        <w:rPr>
          <w:rFonts w:hint="eastAsia" w:ascii="仿宋_GB2312" w:hAnsi="仿宋_GB2312" w:eastAsia="仿宋_GB2312" w:cs="仿宋_GB2312"/>
          <w:color w:val="333333"/>
          <w:kern w:val="0"/>
          <w:sz w:val="32"/>
          <w:szCs w:val="32"/>
          <w:shd w:val="clear" w:color="auto" w:fill="FFFFFF"/>
        </w:rPr>
        <w:t>进一步优化行政审批流程，简化事项办事材料。对所有行政许可、备案及公共服务事项需提交的资料进行全面梳理，充分利用市、区政府信息资源共享机制和相关审批系统，通过信息核验或共享的方式简化办事过程中纸质证明提交等办事材料。</w:t>
      </w:r>
    </w:p>
    <w:p>
      <w:pPr>
        <w:widowControl/>
        <w:spacing w:line="570" w:lineRule="exact"/>
        <w:ind w:firstLine="640" w:firstLineChars="200"/>
        <w:rPr>
          <w:rFonts w:eastAsia="仿宋_GB2312"/>
          <w:sz w:val="32"/>
          <w:szCs w:val="32"/>
        </w:rPr>
      </w:pPr>
      <w:r>
        <w:rPr>
          <w:rFonts w:hint="eastAsia" w:ascii="仿宋_GB2312" w:hAnsi="宋体" w:eastAsia="仿宋_GB2312"/>
          <w:sz w:val="32"/>
          <w:szCs w:val="32"/>
        </w:rPr>
        <w:t>（三）</w:t>
      </w:r>
      <w:r>
        <w:rPr>
          <w:rFonts w:hint="eastAsia" w:eastAsia="仿宋_GB2312"/>
          <w:sz w:val="32"/>
          <w:szCs w:val="32"/>
        </w:rPr>
        <w:t>采取多种有效形式，加大涉水法律法规及保护水资源重要性的宣传力度，努力提高全社会的水法律意识，杜绝未经审批擅自实施的建设项目。</w:t>
      </w:r>
    </w:p>
    <w:p>
      <w:pPr>
        <w:spacing w:line="570" w:lineRule="exact"/>
        <w:ind w:firstLine="645"/>
        <w:rPr>
          <w:rFonts w:eastAsia="仿宋_GB2312"/>
          <w:sz w:val="32"/>
          <w:szCs w:val="32"/>
        </w:rPr>
      </w:pPr>
      <w:r>
        <w:rPr>
          <w:rFonts w:hint="eastAsia" w:eastAsia="仿宋_GB2312"/>
          <w:sz w:val="32"/>
          <w:szCs w:val="32"/>
        </w:rPr>
        <w:t>专此报告</w:t>
      </w:r>
    </w:p>
    <w:p>
      <w:pPr>
        <w:spacing w:line="570" w:lineRule="exact"/>
        <w:ind w:firstLine="645"/>
        <w:rPr>
          <w:rFonts w:eastAsia="仿宋_GB2312"/>
          <w:sz w:val="32"/>
          <w:szCs w:val="32"/>
        </w:rPr>
      </w:pPr>
    </w:p>
    <w:p>
      <w:pPr>
        <w:spacing w:line="57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w:t>
      </w:r>
      <w:r>
        <w:rPr>
          <w:rFonts w:hint="eastAsia" w:ascii="仿宋_GB2312" w:hAnsi="宋体" w:eastAsia="仿宋_GB2312" w:cs="宋体"/>
          <w:kern w:val="0"/>
          <w:sz w:val="32"/>
          <w:szCs w:val="32"/>
        </w:rPr>
        <w:t>增城区水务局</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年行政许可实施和监督管理有关情况表</w:t>
      </w:r>
    </w:p>
    <w:p>
      <w:pPr>
        <w:spacing w:line="570" w:lineRule="exact"/>
        <w:ind w:firstLine="4160" w:firstLineChars="1300"/>
        <w:rPr>
          <w:rFonts w:ascii="仿宋_GB2312" w:hAnsi="宋体" w:eastAsia="仿宋_GB2312"/>
          <w:sz w:val="32"/>
          <w:szCs w:val="32"/>
        </w:rPr>
      </w:pPr>
      <w:r>
        <w:rPr>
          <w:rFonts w:hint="eastAsia" w:ascii="仿宋_GB2312" w:hAnsi="宋体" w:eastAsia="仿宋_GB2312"/>
          <w:sz w:val="32"/>
          <w:szCs w:val="32"/>
        </w:rPr>
        <w:t>广州市增城区水务局</w:t>
      </w:r>
    </w:p>
    <w:p>
      <w:pPr>
        <w:spacing w:line="570" w:lineRule="exact"/>
        <w:ind w:firstLine="645"/>
        <w:rPr>
          <w:rFonts w:ascii="仿宋_GB2312" w:hAnsi="宋体" w:eastAsia="仿宋_GB2312"/>
          <w:sz w:val="32"/>
          <w:szCs w:val="32"/>
        </w:rPr>
      </w:pPr>
      <w:r>
        <w:rPr>
          <w:rFonts w:ascii="仿宋_GB2312" w:hAnsi="宋体" w:eastAsia="仿宋_GB2312"/>
          <w:sz w:val="32"/>
          <w:szCs w:val="32"/>
        </w:rPr>
        <w:t xml:space="preserve">                       201</w:t>
      </w:r>
      <w:r>
        <w:rPr>
          <w:rFonts w:hint="eastAsia" w:ascii="仿宋_GB2312" w:hAnsi="宋体" w:eastAsia="仿宋_GB2312"/>
          <w:sz w:val="32"/>
          <w:szCs w:val="32"/>
        </w:rPr>
        <w:t>8年</w:t>
      </w:r>
      <w:r>
        <w:rPr>
          <w:rFonts w:ascii="仿宋_GB2312" w:hAnsi="宋体" w:eastAsia="仿宋_GB2312"/>
          <w:sz w:val="32"/>
          <w:szCs w:val="32"/>
        </w:rPr>
        <w:t>3</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rPr>
        <w:t>日</w:t>
      </w:r>
    </w:p>
    <w:p>
      <w:pPr>
        <w:spacing w:line="57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(联系人：李向荣，联系电话：82611409)</w:t>
      </w:r>
    </w:p>
    <w:p>
      <w:pPr>
        <w:spacing w:line="570" w:lineRule="exact"/>
        <w:ind w:firstLine="629"/>
        <w:rPr>
          <w:rFonts w:hint="eastAsia" w:ascii="仿宋_GB2312" w:hAnsi="仿宋_GB2312" w:eastAsia="仿宋_GB2312" w:cs="仿宋_GB2312"/>
          <w:sz w:val="32"/>
          <w:szCs w:val="32"/>
        </w:rPr>
      </w:pPr>
    </w:p>
    <w:p>
      <w:pPr>
        <w:spacing w:line="570" w:lineRule="exact"/>
        <w:ind w:firstLine="629"/>
        <w:rPr>
          <w:rFonts w:hint="eastAsia" w:ascii="仿宋_GB2312" w:hAnsi="仿宋_GB2312" w:eastAsia="仿宋_GB2312" w:cs="仿宋_GB2312"/>
          <w:sz w:val="32"/>
          <w:szCs w:val="32"/>
        </w:rPr>
      </w:pPr>
    </w:p>
    <w:p>
      <w:pPr>
        <w:spacing w:line="570" w:lineRule="exact"/>
        <w:ind w:firstLine="629"/>
        <w:rPr>
          <w:rFonts w:hint="eastAsia" w:ascii="仿宋_GB2312" w:hAnsi="仿宋_GB2312" w:eastAsia="仿宋_GB2312" w:cs="仿宋_GB2312"/>
          <w:sz w:val="32"/>
          <w:szCs w:val="32"/>
        </w:rPr>
      </w:pPr>
    </w:p>
    <w:p>
      <w:pPr>
        <w:spacing w:line="570" w:lineRule="exact"/>
        <w:ind w:firstLine="629"/>
        <w:rPr>
          <w:rFonts w:hint="eastAsia" w:ascii="仿宋_GB2312" w:hAnsi="仿宋_GB2312" w:eastAsia="仿宋_GB2312" w:cs="仿宋_GB2312"/>
          <w:sz w:val="32"/>
          <w:szCs w:val="32"/>
        </w:rPr>
      </w:pPr>
    </w:p>
    <w:p>
      <w:pPr>
        <w:spacing w:line="570" w:lineRule="exact"/>
        <w:ind w:firstLine="629"/>
        <w:rPr>
          <w:rFonts w:hint="eastAsia" w:ascii="仿宋_GB2312" w:hAnsi="仿宋_GB2312" w:eastAsia="仿宋_GB2312" w:cs="仿宋_GB2312"/>
          <w:sz w:val="32"/>
          <w:szCs w:val="32"/>
        </w:rPr>
      </w:pPr>
    </w:p>
    <w:p>
      <w:pPr>
        <w:spacing w:line="570" w:lineRule="exact"/>
        <w:ind w:firstLine="629"/>
        <w:rPr>
          <w:rFonts w:hint="eastAsia" w:ascii="仿宋_GB2312" w:hAnsi="仿宋_GB2312" w:eastAsia="仿宋_GB2312" w:cs="仿宋_GB2312"/>
          <w:sz w:val="32"/>
          <w:szCs w:val="32"/>
        </w:rPr>
      </w:pPr>
    </w:p>
    <w:p>
      <w:pPr>
        <w:spacing w:line="570" w:lineRule="exact"/>
        <w:ind w:firstLine="629"/>
        <w:rPr>
          <w:rFonts w:hint="eastAsia" w:ascii="仿宋_GB2312" w:hAnsi="仿宋_GB2312" w:eastAsia="仿宋_GB2312" w:cs="仿宋_GB2312"/>
          <w:sz w:val="32"/>
          <w:szCs w:val="32"/>
        </w:rPr>
      </w:pPr>
    </w:p>
    <w:p>
      <w:pPr>
        <w:spacing w:line="570" w:lineRule="exact"/>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570" w:lineRule="exact"/>
        <w:rPr>
          <w:rFonts w:hint="eastAsia" w:ascii="仿宋_GB2312" w:hAnsi="仿宋_GB2312" w:eastAsia="仿宋_GB2312" w:cs="仿宋_GB2312"/>
          <w:sz w:val="32"/>
          <w:szCs w:val="32"/>
        </w:rPr>
      </w:pPr>
    </w:p>
    <w:p>
      <w:pPr>
        <w:rPr>
          <w:rFonts w:ascii="黑体" w:eastAsia="黑体"/>
          <w:sz w:val="32"/>
          <w:szCs w:val="32"/>
        </w:rPr>
      </w:pPr>
      <w:r>
        <w:rPr>
          <w:rFonts w:hint="eastAsia" w:ascii="黑体" w:eastAsia="黑体"/>
          <w:sz w:val="32"/>
          <w:szCs w:val="32"/>
        </w:rPr>
        <w:t>附件</w:t>
      </w:r>
    </w:p>
    <w:p>
      <w:pPr>
        <w:jc w:val="center"/>
        <w:rPr>
          <w:rFonts w:cs="宋体" w:asciiTheme="minorEastAsia" w:hAnsiTheme="minorEastAsia" w:eastAsiaTheme="minorEastAsia"/>
          <w:b/>
          <w:kern w:val="0"/>
          <w:sz w:val="44"/>
          <w:szCs w:val="36"/>
        </w:rPr>
      </w:pPr>
      <w:r>
        <w:rPr>
          <w:rFonts w:hint="eastAsia" w:cs="宋体" w:asciiTheme="minorEastAsia" w:hAnsiTheme="minorEastAsia" w:eastAsiaTheme="minorEastAsia"/>
          <w:b/>
          <w:kern w:val="0"/>
          <w:sz w:val="44"/>
          <w:szCs w:val="36"/>
        </w:rPr>
        <w:t>增城区水务局2017年行政许可实施和监督管理有关情况表</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填报单位：广州市增城区水务局                                        领导签名：麦文光</w:t>
      </w:r>
    </w:p>
    <w:tbl>
      <w:tblPr>
        <w:tblStyle w:val="5"/>
        <w:tblW w:w="14174" w:type="dxa"/>
        <w:tblInd w:w="0" w:type="dxa"/>
        <w:tblLayout w:type="fixed"/>
        <w:tblCellMar>
          <w:top w:w="0" w:type="dxa"/>
          <w:left w:w="108" w:type="dxa"/>
          <w:bottom w:w="0" w:type="dxa"/>
          <w:right w:w="108" w:type="dxa"/>
        </w:tblCellMar>
      </w:tblPr>
      <w:tblGrid>
        <w:gridCol w:w="456"/>
        <w:gridCol w:w="1008"/>
        <w:gridCol w:w="1476"/>
        <w:gridCol w:w="1137"/>
        <w:gridCol w:w="1134"/>
        <w:gridCol w:w="995"/>
        <w:gridCol w:w="989"/>
        <w:gridCol w:w="486"/>
        <w:gridCol w:w="502"/>
        <w:gridCol w:w="502"/>
        <w:gridCol w:w="502"/>
        <w:gridCol w:w="584"/>
        <w:gridCol w:w="541"/>
        <w:gridCol w:w="502"/>
        <w:gridCol w:w="502"/>
        <w:gridCol w:w="751"/>
        <w:gridCol w:w="669"/>
        <w:gridCol w:w="502"/>
        <w:gridCol w:w="502"/>
        <w:gridCol w:w="434"/>
      </w:tblGrid>
      <w:tr>
        <w:tblPrEx>
          <w:tblLayout w:type="fixed"/>
          <w:tblCellMar>
            <w:top w:w="0" w:type="dxa"/>
            <w:left w:w="108" w:type="dxa"/>
            <w:bottom w:w="0" w:type="dxa"/>
            <w:right w:w="108" w:type="dxa"/>
          </w:tblCellMar>
        </w:tblPrEx>
        <w:trPr>
          <w:trHeight w:val="600" w:hRule="atLeast"/>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序号</w:t>
            </w:r>
          </w:p>
        </w:tc>
        <w:tc>
          <w:tcPr>
            <w:tcW w:w="10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审批类别</w:t>
            </w:r>
            <w:r>
              <w:rPr>
                <w:rFonts w:hint="eastAsia" w:ascii="宋体" w:hAnsi="宋体" w:cs="宋体"/>
                <w:b/>
                <w:kern w:val="0"/>
                <w:sz w:val="18"/>
                <w:szCs w:val="18"/>
              </w:rPr>
              <w:br w:type="textWrapping"/>
            </w:r>
          </w:p>
        </w:tc>
        <w:tc>
          <w:tcPr>
            <w:tcW w:w="1476" w:type="dxa"/>
            <w:tcBorders>
              <w:top w:val="single" w:color="auto" w:sz="4" w:space="0"/>
              <w:left w:val="nil"/>
              <w:right w:val="single" w:color="auto" w:sz="4" w:space="0"/>
            </w:tcBorders>
          </w:tcPr>
          <w:p>
            <w:pPr>
              <w:widowControl/>
              <w:spacing w:line="260" w:lineRule="exact"/>
              <w:jc w:val="center"/>
              <w:rPr>
                <w:rFonts w:ascii="宋体" w:hAnsi="宋体" w:cs="宋体"/>
                <w:b/>
                <w:kern w:val="0"/>
                <w:sz w:val="18"/>
                <w:szCs w:val="18"/>
              </w:rPr>
            </w:pPr>
          </w:p>
          <w:p>
            <w:pPr>
              <w:widowControl/>
              <w:spacing w:line="260" w:lineRule="exact"/>
              <w:rPr>
                <w:rFonts w:ascii="宋体" w:hAnsi="宋体" w:cs="宋体"/>
                <w:b/>
                <w:kern w:val="0"/>
                <w:sz w:val="18"/>
                <w:szCs w:val="18"/>
              </w:rPr>
            </w:pPr>
          </w:p>
        </w:tc>
        <w:tc>
          <w:tcPr>
            <w:tcW w:w="1137"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是否涉及需清理规范的中介服务事项（如有，则填事项名称；如无，则填否）</w:t>
            </w:r>
          </w:p>
        </w:tc>
        <w:tc>
          <w:tcPr>
            <w:tcW w:w="1134"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清理规范中介服务完成情况（如前项填否，则该项留空不填）</w:t>
            </w:r>
          </w:p>
        </w:tc>
        <w:tc>
          <w:tcPr>
            <w:tcW w:w="9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纳入行政审批事项目录（是/否）</w:t>
            </w:r>
          </w:p>
        </w:tc>
        <w:tc>
          <w:tcPr>
            <w:tcW w:w="989" w:type="dxa"/>
            <w:vMerge w:val="restart"/>
            <w:tcBorders>
              <w:top w:val="single" w:color="auto" w:sz="4" w:space="0"/>
              <w:left w:val="single" w:color="auto" w:sz="4" w:space="0"/>
              <w:bottom w:val="single" w:color="auto" w:sz="4" w:space="0"/>
              <w:right w:val="nil"/>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进驻网上办事大厅</w:t>
            </w:r>
            <w:r>
              <w:rPr>
                <w:rFonts w:hint="eastAsia" w:ascii="宋体" w:hAnsi="宋体" w:cs="宋体"/>
                <w:b/>
                <w:kern w:val="0"/>
                <w:sz w:val="18"/>
                <w:szCs w:val="18"/>
              </w:rPr>
              <w:br w:type="textWrapping"/>
            </w:r>
            <w:r>
              <w:rPr>
                <w:rFonts w:hint="eastAsia" w:ascii="宋体" w:hAnsi="宋体" w:cs="宋体"/>
                <w:b/>
                <w:kern w:val="0"/>
                <w:sz w:val="18"/>
                <w:szCs w:val="18"/>
              </w:rPr>
              <w:t>（是/否）</w:t>
            </w:r>
          </w:p>
        </w:tc>
        <w:tc>
          <w:tcPr>
            <w:tcW w:w="311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全年业务量</w:t>
            </w:r>
          </w:p>
        </w:tc>
        <w:tc>
          <w:tcPr>
            <w:tcW w:w="242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实施过程</w:t>
            </w:r>
          </w:p>
        </w:tc>
        <w:tc>
          <w:tcPr>
            <w:tcW w:w="143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right="132" w:rightChars="63"/>
              <w:jc w:val="center"/>
              <w:rPr>
                <w:rFonts w:ascii="宋体" w:hAnsi="宋体" w:cs="宋体"/>
                <w:b/>
                <w:kern w:val="0"/>
                <w:sz w:val="18"/>
                <w:szCs w:val="18"/>
              </w:rPr>
            </w:pPr>
            <w:r>
              <w:rPr>
                <w:rFonts w:hint="eastAsia" w:ascii="宋体" w:hAnsi="宋体" w:cs="宋体"/>
                <w:b/>
                <w:kern w:val="0"/>
                <w:sz w:val="18"/>
                <w:szCs w:val="18"/>
              </w:rPr>
              <w:t>监督管理</w:t>
            </w:r>
          </w:p>
        </w:tc>
      </w:tr>
      <w:tr>
        <w:tblPrEx>
          <w:tblLayout w:type="fixed"/>
          <w:tblCellMar>
            <w:top w:w="0" w:type="dxa"/>
            <w:left w:w="108" w:type="dxa"/>
            <w:bottom w:w="0" w:type="dxa"/>
            <w:right w:w="108" w:type="dxa"/>
          </w:tblCellMar>
        </w:tblPrEx>
        <w:trPr>
          <w:trHeight w:val="1946"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b/>
                <w:kern w:val="0"/>
                <w:sz w:val="18"/>
                <w:szCs w:val="18"/>
              </w:rPr>
            </w:pPr>
          </w:p>
        </w:tc>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b/>
                <w:kern w:val="0"/>
                <w:sz w:val="18"/>
                <w:szCs w:val="18"/>
              </w:rPr>
            </w:pPr>
          </w:p>
        </w:tc>
        <w:tc>
          <w:tcPr>
            <w:tcW w:w="1476" w:type="dxa"/>
            <w:tcBorders>
              <w:left w:val="nil"/>
              <w:bottom w:val="single" w:color="auto" w:sz="4" w:space="0"/>
              <w:right w:val="single" w:color="auto" w:sz="4" w:space="0"/>
            </w:tcBorders>
          </w:tcPr>
          <w:p>
            <w:pPr>
              <w:widowControl/>
              <w:spacing w:line="260" w:lineRule="exact"/>
              <w:jc w:val="center"/>
              <w:rPr>
                <w:rFonts w:ascii="宋体" w:hAnsi="宋体" w:cs="宋体"/>
                <w:b/>
                <w:kern w:val="0"/>
                <w:sz w:val="18"/>
                <w:szCs w:val="18"/>
              </w:rPr>
            </w:pPr>
          </w:p>
          <w:p>
            <w:pPr>
              <w:widowControl/>
              <w:spacing w:line="260" w:lineRule="exact"/>
              <w:jc w:val="center"/>
              <w:rPr>
                <w:rFonts w:ascii="宋体" w:hAnsi="宋体" w:cs="宋体"/>
                <w:b/>
                <w:kern w:val="0"/>
                <w:sz w:val="18"/>
                <w:szCs w:val="18"/>
              </w:rPr>
            </w:pPr>
          </w:p>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许可事项名称</w:t>
            </w:r>
          </w:p>
        </w:tc>
        <w:tc>
          <w:tcPr>
            <w:tcW w:w="1137"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b/>
                <w:kern w:val="0"/>
                <w:sz w:val="18"/>
                <w:szCs w:val="18"/>
              </w:rPr>
            </w:pPr>
          </w:p>
        </w:tc>
        <w:tc>
          <w:tcPr>
            <w:tcW w:w="989" w:type="dxa"/>
            <w:vMerge w:val="continue"/>
            <w:tcBorders>
              <w:top w:val="single" w:color="auto" w:sz="4" w:space="0"/>
              <w:left w:val="single" w:color="auto" w:sz="4" w:space="0"/>
              <w:bottom w:val="single" w:color="auto" w:sz="4" w:space="0"/>
              <w:right w:val="nil"/>
            </w:tcBorders>
            <w:vAlign w:val="center"/>
          </w:tcPr>
          <w:p>
            <w:pPr>
              <w:widowControl/>
              <w:spacing w:line="260" w:lineRule="exact"/>
              <w:jc w:val="left"/>
              <w:rPr>
                <w:rFonts w:ascii="宋体" w:hAnsi="宋体" w:cs="宋体"/>
                <w:b/>
                <w:kern w:val="0"/>
                <w:sz w:val="18"/>
                <w:szCs w:val="18"/>
              </w:rPr>
            </w:pPr>
          </w:p>
        </w:tc>
        <w:tc>
          <w:tcPr>
            <w:tcW w:w="48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申请件数</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受理件数</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按时办结件数</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未按时办结数</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审批同意件数</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审批不同意件数</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法定办结期限</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承诺办结期限</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公开许可实施过程和结果</w:t>
            </w:r>
            <w:r>
              <w:rPr>
                <w:rFonts w:hint="eastAsia" w:ascii="宋体" w:hAnsi="宋体" w:cs="宋体"/>
                <w:b/>
                <w:kern w:val="0"/>
                <w:sz w:val="18"/>
                <w:szCs w:val="18"/>
              </w:rPr>
              <w:br w:type="textWrapping"/>
            </w:r>
            <w:r>
              <w:rPr>
                <w:rFonts w:hint="eastAsia" w:ascii="宋体" w:hAnsi="宋体" w:cs="宋体"/>
                <w:b/>
                <w:kern w:val="0"/>
                <w:sz w:val="18"/>
                <w:szCs w:val="18"/>
              </w:rPr>
              <w:t>（是/否）</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ind w:left="-50" w:leftChars="-24"/>
              <w:jc w:val="center"/>
              <w:rPr>
                <w:rFonts w:ascii="宋体" w:hAnsi="宋体" w:cs="宋体"/>
                <w:b/>
                <w:kern w:val="0"/>
                <w:sz w:val="18"/>
                <w:szCs w:val="18"/>
              </w:rPr>
            </w:pPr>
            <w:r>
              <w:rPr>
                <w:rFonts w:hint="eastAsia" w:ascii="宋体" w:hAnsi="宋体" w:cs="宋体"/>
                <w:b/>
                <w:kern w:val="0"/>
                <w:sz w:val="18"/>
                <w:szCs w:val="18"/>
              </w:rPr>
              <w:t>印发办事指南和工作手册</w:t>
            </w:r>
          </w:p>
          <w:p>
            <w:pPr>
              <w:widowControl/>
              <w:spacing w:line="260" w:lineRule="exact"/>
              <w:ind w:left="-50" w:leftChars="-24"/>
              <w:jc w:val="center"/>
              <w:rPr>
                <w:rFonts w:ascii="宋体" w:hAnsi="宋体" w:cs="宋体"/>
                <w:b/>
                <w:kern w:val="0"/>
                <w:sz w:val="18"/>
                <w:szCs w:val="18"/>
              </w:rPr>
            </w:pPr>
            <w:r>
              <w:rPr>
                <w:rFonts w:hint="eastAsia" w:ascii="宋体" w:hAnsi="宋体" w:cs="宋体"/>
                <w:b/>
                <w:kern w:val="0"/>
                <w:sz w:val="18"/>
                <w:szCs w:val="18"/>
              </w:rPr>
              <w:t>（是/否）</w:t>
            </w:r>
          </w:p>
        </w:tc>
        <w:tc>
          <w:tcPr>
            <w:tcW w:w="502"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投诉</w:t>
            </w:r>
            <w:r>
              <w:rPr>
                <w:rFonts w:hint="eastAsia" w:ascii="宋体" w:hAnsi="宋体" w:cs="宋体"/>
                <w:b/>
                <w:kern w:val="0"/>
                <w:sz w:val="18"/>
                <w:szCs w:val="18"/>
              </w:rPr>
              <w:br w:type="textWrapping"/>
            </w:r>
            <w:r>
              <w:rPr>
                <w:rFonts w:hint="eastAsia" w:ascii="宋体" w:hAnsi="宋体" w:cs="宋体"/>
                <w:b/>
                <w:kern w:val="0"/>
                <w:sz w:val="18"/>
                <w:szCs w:val="18"/>
              </w:rPr>
              <w:t>举报件数</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投诉举报调查件数</w:t>
            </w:r>
          </w:p>
        </w:tc>
        <w:tc>
          <w:tcPr>
            <w:tcW w:w="4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kern w:val="0"/>
                <w:sz w:val="18"/>
                <w:szCs w:val="18"/>
              </w:rPr>
            </w:pPr>
            <w:r>
              <w:rPr>
                <w:rFonts w:hint="eastAsia" w:ascii="宋体" w:hAnsi="宋体" w:cs="宋体"/>
                <w:b/>
                <w:kern w:val="0"/>
                <w:sz w:val="18"/>
                <w:szCs w:val="18"/>
              </w:rPr>
              <w:t>查处违法违规案件数</w:t>
            </w:r>
          </w:p>
        </w:tc>
      </w:tr>
      <w:tr>
        <w:tblPrEx>
          <w:tblLayout w:type="fixed"/>
          <w:tblCellMar>
            <w:top w:w="0" w:type="dxa"/>
            <w:left w:w="108" w:type="dxa"/>
            <w:bottom w:w="0" w:type="dxa"/>
            <w:right w:w="108" w:type="dxa"/>
          </w:tblCellMar>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4"/>
              </w:rPr>
            </w:pPr>
            <w:r>
              <w:rPr>
                <w:rFonts w:hint="eastAsia" w:ascii="宋体" w:hAnsi="宋体" w:cs="宋体"/>
                <w:kern w:val="0"/>
                <w:sz w:val="24"/>
              </w:rPr>
              <w:t>一</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4"/>
              </w:rPr>
            </w:pPr>
            <w:r>
              <w:rPr>
                <w:rFonts w:hint="eastAsia" w:ascii="宋体" w:hAnsi="宋体" w:cs="宋体"/>
                <w:kern w:val="0"/>
                <w:sz w:val="24"/>
              </w:rPr>
              <w:t>保留的行政许可　</w:t>
            </w: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p>
            <w:pPr>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4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1</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取水许可</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8</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8</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8</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8</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2</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r>
              <w:rPr>
                <w:rFonts w:hint="eastAsia" w:ascii="宋体" w:hAnsi="宋体" w:cs="宋体"/>
                <w:kern w:val="0"/>
                <w:sz w:val="18"/>
                <w:szCs w:val="18"/>
              </w:rPr>
              <w:t>调整计划用水审批</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3</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color w:val="FF0000"/>
                <w:kern w:val="0"/>
                <w:sz w:val="18"/>
                <w:szCs w:val="18"/>
              </w:rPr>
            </w:pPr>
            <w:r>
              <w:rPr>
                <w:rFonts w:hint="eastAsia" w:ascii="宋体" w:hAnsi="宋体" w:cs="宋体"/>
                <w:kern w:val="0"/>
                <w:sz w:val="18"/>
                <w:szCs w:val="18"/>
              </w:rPr>
              <w:t>城市排水许可证核发</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80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80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80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80</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4</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区管河道管理范围内工程建设方案审批</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18</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18</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18</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18</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5</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区管权限的水利工程管理和保护范围内新建、扩建、改建的工程建设项目方案审批</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6</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r>
              <w:rPr>
                <w:rFonts w:hint="eastAsia" w:ascii="宋体" w:hAnsi="宋体" w:cs="宋体"/>
                <w:kern w:val="0"/>
                <w:sz w:val="18"/>
                <w:szCs w:val="18"/>
              </w:rPr>
              <w:t>滩涂开发利用工程建设方案初审</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7</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r>
              <w:rPr>
                <w:rFonts w:hint="eastAsia" w:ascii="宋体" w:hAnsi="宋体" w:cs="宋体"/>
                <w:kern w:val="0"/>
                <w:sz w:val="18"/>
                <w:szCs w:val="18"/>
              </w:rPr>
              <w:t>河道采砂许可证核发</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8</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r>
              <w:rPr>
                <w:rFonts w:hint="eastAsia" w:ascii="宋体" w:hAnsi="宋体" w:cs="宋体"/>
                <w:kern w:val="0"/>
                <w:sz w:val="18"/>
                <w:szCs w:val="18"/>
              </w:rPr>
              <w:t>生产建设项目水土保持方案审批</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18</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18</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18</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18</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9</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迁移、损坏区管水利工程设施，占用影响区管农业灌溉水源、灌排工程设施审批</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r>
              <w:rPr>
                <w:rFonts w:hint="eastAsia" w:ascii="宋体" w:hAnsi="宋体" w:cs="宋体"/>
                <w:kern w:val="0"/>
                <w:sz w:val="18"/>
                <w:szCs w:val="18"/>
              </w:rPr>
              <w:t>水利工程初步设计文件审批</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147</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147</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147</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147</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11</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r>
              <w:rPr>
                <w:rFonts w:hint="eastAsia" w:ascii="宋体" w:hAnsi="宋体" w:cs="宋体"/>
                <w:kern w:val="0"/>
                <w:sz w:val="18"/>
                <w:szCs w:val="18"/>
              </w:rPr>
              <w:t>公共排水设施设计方案审批</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由于工程施工、设备维修等原因确需停止供水审批</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6</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6</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6</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6</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13</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r>
              <w:rPr>
                <w:rFonts w:hint="eastAsia" w:ascii="宋体" w:hAnsi="宋体" w:cs="宋体"/>
                <w:kern w:val="0"/>
                <w:sz w:val="18"/>
                <w:szCs w:val="18"/>
              </w:rPr>
              <w:t>供水、排水工程开工审批</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3</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3</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3</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3</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14</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移动、改建、占用公共排水设施的审批</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15</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改装、拆除或者迁移城市公共供水设施审批</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bookmarkStart w:id="0" w:name="_GoBack"/>
            <w:bookmarkEnd w:id="0"/>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16</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在区管权限水利工程管理范围内的生产经营活动审批</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17</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rPr>
                <w:rFonts w:ascii="宋体" w:hAnsi="宋体" w:cs="宋体"/>
                <w:kern w:val="0"/>
                <w:sz w:val="18"/>
                <w:szCs w:val="18"/>
              </w:rPr>
            </w:pPr>
            <w:r>
              <w:rPr>
                <w:rFonts w:hint="eastAsia" w:ascii="宋体" w:hAnsi="宋体" w:cs="宋体"/>
                <w:kern w:val="0"/>
                <w:sz w:val="18"/>
                <w:szCs w:val="18"/>
              </w:rPr>
              <w:t>农村集体经济组织修建水库审批</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18</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r>
              <w:rPr>
                <w:rFonts w:hint="eastAsia" w:ascii="宋体" w:hAnsi="宋体" w:cs="宋体"/>
                <w:kern w:val="0"/>
                <w:sz w:val="18"/>
                <w:szCs w:val="18"/>
              </w:rPr>
              <w:t>水工程建设规划同意书审查</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19</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堤顶、坝顶、戗台兼作公路审批</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20</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p>
          <w:p>
            <w:pPr>
              <w:widowControl/>
              <w:spacing w:line="260" w:lineRule="exact"/>
              <w:jc w:val="center"/>
              <w:rPr>
                <w:rFonts w:ascii="宋体" w:hAnsi="宋体" w:cs="宋体"/>
                <w:kern w:val="0"/>
                <w:sz w:val="18"/>
                <w:szCs w:val="18"/>
              </w:rPr>
            </w:pPr>
            <w:r>
              <w:rPr>
                <w:rFonts w:hint="eastAsia" w:ascii="宋体" w:hAnsi="宋体" w:cs="宋体"/>
                <w:kern w:val="0"/>
                <w:sz w:val="18"/>
                <w:szCs w:val="18"/>
              </w:rPr>
              <w:t>蓄滞洪区避洪设施建设审批</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PrEx>
        <w:trPr>
          <w:trHeight w:val="9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Cs w:val="21"/>
              </w:rPr>
            </w:pPr>
            <w:r>
              <w:rPr>
                <w:rFonts w:hint="eastAsia" w:ascii="宋体" w:hAnsi="宋体" w:cs="宋体"/>
                <w:kern w:val="0"/>
                <w:szCs w:val="21"/>
              </w:rPr>
              <w:t>21</w:t>
            </w:r>
          </w:p>
        </w:tc>
        <w:tc>
          <w:tcPr>
            <w:tcW w:w="10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476" w:type="dxa"/>
            <w:tcBorders>
              <w:top w:val="nil"/>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河道管理范围内有关活动（含临时占用）审批</w:t>
            </w: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57"/>
              <w:jc w:val="center"/>
              <w:rPr>
                <w:rFonts w:ascii="宋体" w:hAnsi="宋体" w:cs="宋体"/>
                <w:kern w:val="0"/>
                <w:sz w:val="18"/>
                <w:szCs w:val="18"/>
              </w:rPr>
            </w:pPr>
          </w:p>
        </w:tc>
        <w:tc>
          <w:tcPr>
            <w:tcW w:w="99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7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nil"/>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1831"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4"/>
              </w:rPr>
            </w:pPr>
            <w:r>
              <w:rPr>
                <w:rFonts w:hint="eastAsia" w:ascii="宋体" w:hAnsi="宋体" w:cs="宋体"/>
                <w:kern w:val="0"/>
                <w:sz w:val="24"/>
              </w:rPr>
              <w:t>二</w:t>
            </w:r>
          </w:p>
        </w:tc>
        <w:tc>
          <w:tcPr>
            <w:tcW w:w="100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4"/>
              </w:rPr>
            </w:pPr>
            <w:r>
              <w:rPr>
                <w:rFonts w:hint="eastAsia" w:ascii="宋体" w:hAnsi="宋体" w:cs="宋体"/>
                <w:kern w:val="0"/>
                <w:sz w:val="24"/>
              </w:rPr>
              <w:t>保留的承接上级下放的行政许可事项</w:t>
            </w:r>
          </w:p>
        </w:tc>
        <w:tc>
          <w:tcPr>
            <w:tcW w:w="1476" w:type="dxa"/>
            <w:tcBorders>
              <w:top w:val="single" w:color="auto" w:sz="4" w:space="0"/>
              <w:left w:val="nil"/>
              <w:bottom w:val="single" w:color="auto" w:sz="4" w:space="0"/>
              <w:right w:val="single" w:color="auto" w:sz="4" w:space="0"/>
            </w:tcBorders>
          </w:tcPr>
          <w:p>
            <w:pPr>
              <w:widowControl/>
              <w:spacing w:line="260" w:lineRule="exact"/>
              <w:jc w:val="center"/>
              <w:rPr>
                <w:rFonts w:ascii="宋体" w:hAnsi="宋体" w:cs="宋体"/>
                <w:kern w:val="0"/>
                <w:sz w:val="18"/>
                <w:szCs w:val="18"/>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99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98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4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50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50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50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54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p>
        </w:tc>
        <w:tc>
          <w:tcPr>
            <w:tcW w:w="50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50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75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502"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1831"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4"/>
              </w:rPr>
            </w:pPr>
            <w:r>
              <w:rPr>
                <w:rFonts w:hint="eastAsia" w:ascii="宋体" w:hAnsi="宋体" w:cs="宋体"/>
                <w:kern w:val="0"/>
                <w:sz w:val="24"/>
              </w:rPr>
              <w:t>1</w:t>
            </w:r>
          </w:p>
        </w:tc>
        <w:tc>
          <w:tcPr>
            <w:tcW w:w="100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4"/>
              </w:rPr>
            </w:pPr>
          </w:p>
        </w:tc>
        <w:tc>
          <w:tcPr>
            <w:tcW w:w="1476" w:type="dxa"/>
            <w:tcBorders>
              <w:top w:val="single" w:color="auto" w:sz="4" w:space="0"/>
              <w:left w:val="nil"/>
              <w:bottom w:val="single" w:color="auto" w:sz="4" w:space="0"/>
              <w:right w:val="single" w:color="auto" w:sz="4" w:space="0"/>
            </w:tcBorders>
          </w:tcPr>
          <w:p>
            <w:pPr>
              <w:widowControl/>
              <w:spacing w:line="260" w:lineRule="exact"/>
              <w:jc w:val="center"/>
              <w:rPr>
                <w:rFonts w:ascii="宋体" w:hAnsi="宋体"/>
                <w:szCs w:val="21"/>
              </w:rPr>
            </w:pPr>
          </w:p>
          <w:p>
            <w:pPr>
              <w:widowControl/>
              <w:spacing w:line="260" w:lineRule="exact"/>
              <w:jc w:val="center"/>
              <w:rPr>
                <w:rFonts w:ascii="宋体" w:hAnsi="宋体"/>
                <w:szCs w:val="21"/>
              </w:rPr>
            </w:pPr>
          </w:p>
          <w:p>
            <w:pPr>
              <w:widowControl/>
              <w:spacing w:line="260" w:lineRule="exact"/>
              <w:jc w:val="center"/>
              <w:rPr>
                <w:rFonts w:ascii="宋体" w:hAnsi="宋体" w:cs="宋体"/>
                <w:kern w:val="0"/>
                <w:sz w:val="18"/>
                <w:szCs w:val="18"/>
              </w:rPr>
            </w:pPr>
            <w:r>
              <w:rPr>
                <w:rFonts w:hint="eastAsia" w:ascii="宋体" w:hAnsi="宋体"/>
                <w:sz w:val="18"/>
                <w:szCs w:val="18"/>
              </w:rPr>
              <w:t>河涌改道审批</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p>
        </w:tc>
        <w:tc>
          <w:tcPr>
            <w:tcW w:w="99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98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4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w:t>
            </w:r>
          </w:p>
        </w:tc>
        <w:tc>
          <w:tcPr>
            <w:tcW w:w="50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w:t>
            </w:r>
          </w:p>
        </w:tc>
        <w:tc>
          <w:tcPr>
            <w:tcW w:w="50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w:t>
            </w:r>
          </w:p>
        </w:tc>
        <w:tc>
          <w:tcPr>
            <w:tcW w:w="50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w:t>
            </w:r>
          </w:p>
        </w:tc>
        <w:tc>
          <w:tcPr>
            <w:tcW w:w="54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50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20</w:t>
            </w:r>
          </w:p>
        </w:tc>
        <w:tc>
          <w:tcPr>
            <w:tcW w:w="75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是</w:t>
            </w:r>
          </w:p>
        </w:tc>
        <w:tc>
          <w:tcPr>
            <w:tcW w:w="502"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c>
          <w:tcPr>
            <w:tcW w:w="4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0</w:t>
            </w:r>
          </w:p>
        </w:tc>
      </w:tr>
    </w:tbl>
    <w:p/>
    <w:p>
      <w:pPr>
        <w:spacing w:line="570" w:lineRule="exact"/>
        <w:rPr>
          <w:rFonts w:hint="eastAsia" w:ascii="仿宋_GB2312" w:hAnsi="仿宋_GB2312" w:eastAsia="仿宋_GB2312" w:cs="仿宋_GB2312"/>
          <w:sz w:val="32"/>
          <w:szCs w:val="32"/>
        </w:rPr>
      </w:pPr>
    </w:p>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RomanS"/>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RomanS">
    <w:panose1 w:val="02000400000000000000"/>
    <w:charset w:val="00"/>
    <w:family w:val="auto"/>
    <w:pitch w:val="default"/>
    <w:sig w:usb0="00000207" w:usb1="00000000" w:usb2="00000000" w:usb3="00000000" w:csb0="000001F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C3C"/>
    <w:rsid w:val="000009C2"/>
    <w:rsid w:val="0006737F"/>
    <w:rsid w:val="0009003C"/>
    <w:rsid w:val="000B6B05"/>
    <w:rsid w:val="000C3DC0"/>
    <w:rsid w:val="000C420B"/>
    <w:rsid w:val="00193784"/>
    <w:rsid w:val="001D2FA8"/>
    <w:rsid w:val="001F0FF0"/>
    <w:rsid w:val="00261F27"/>
    <w:rsid w:val="002A4DA5"/>
    <w:rsid w:val="002A7C3C"/>
    <w:rsid w:val="002E0E11"/>
    <w:rsid w:val="00353974"/>
    <w:rsid w:val="003627EE"/>
    <w:rsid w:val="00444E0E"/>
    <w:rsid w:val="00470CF7"/>
    <w:rsid w:val="00503135"/>
    <w:rsid w:val="005603F1"/>
    <w:rsid w:val="005D4497"/>
    <w:rsid w:val="006A3919"/>
    <w:rsid w:val="006D1C55"/>
    <w:rsid w:val="006F7F1E"/>
    <w:rsid w:val="007C77EA"/>
    <w:rsid w:val="00807536"/>
    <w:rsid w:val="00827D8F"/>
    <w:rsid w:val="00840F05"/>
    <w:rsid w:val="00843EF0"/>
    <w:rsid w:val="00861FD5"/>
    <w:rsid w:val="00906123"/>
    <w:rsid w:val="00911ACE"/>
    <w:rsid w:val="009B7043"/>
    <w:rsid w:val="009C5153"/>
    <w:rsid w:val="00AA2DC8"/>
    <w:rsid w:val="00B039F2"/>
    <w:rsid w:val="00B22D5C"/>
    <w:rsid w:val="00B268A9"/>
    <w:rsid w:val="00B3116E"/>
    <w:rsid w:val="00B63390"/>
    <w:rsid w:val="00B71C64"/>
    <w:rsid w:val="00B825B7"/>
    <w:rsid w:val="00C37AD9"/>
    <w:rsid w:val="00C606DB"/>
    <w:rsid w:val="00CC6B30"/>
    <w:rsid w:val="00D45817"/>
    <w:rsid w:val="00D622FC"/>
    <w:rsid w:val="00DA06CA"/>
    <w:rsid w:val="00DA239D"/>
    <w:rsid w:val="00DB4B25"/>
    <w:rsid w:val="00DC39D1"/>
    <w:rsid w:val="00E06EF5"/>
    <w:rsid w:val="00E336A9"/>
    <w:rsid w:val="00E372FB"/>
    <w:rsid w:val="00F97305"/>
    <w:rsid w:val="3FD26F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kern w:val="2"/>
      <w:sz w:val="18"/>
      <w:szCs w:val="18"/>
    </w:rPr>
  </w:style>
  <w:style w:type="character" w:customStyle="1" w:styleId="7">
    <w:name w:val="页脚 Char"/>
    <w:basedOn w:val="4"/>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276</Words>
  <Characters>1577</Characters>
  <Lines>13</Lines>
  <Paragraphs>3</Paragraphs>
  <TotalTime>0</TotalTime>
  <ScaleCrop>false</ScaleCrop>
  <LinksUpToDate>false</LinksUpToDate>
  <CharactersWithSpaces>1850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2018-02-08T03:42:00Z</dcterms:created>
  <dc:creator>市编办</dc:creator>
  <cp:lastModifiedBy>增城市水务局</cp:lastModifiedBy>
  <dcterms:modified xsi:type="dcterms:W3CDTF">2018-03-06T08:13:59Z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