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ind w:right="640"/>
        <w:textAlignment w:val="auto"/>
        <w:outlineLvl w:val="9"/>
        <w:rPr>
          <w:rFonts w:ascii="仿宋_GB2312" w:hAnsi="黑体" w:eastAsia="仿宋_GB2312" w:cs="黑体"/>
          <w:sz w:val="32"/>
          <w:szCs w:val="32"/>
        </w:rPr>
      </w:pPr>
    </w:p>
    <w:p>
      <w:pPr>
        <w:keepNext w:val="0"/>
        <w:keepLines w:val="0"/>
        <w:pageBreakBefore w:val="0"/>
        <w:widowControl w:val="0"/>
        <w:kinsoku/>
        <w:wordWrap/>
        <w:overflowPunct/>
        <w:topLinePunct w:val="0"/>
        <w:autoSpaceDE/>
        <w:autoSpaceDN/>
        <w:bidi w:val="0"/>
        <w:adjustRightInd/>
        <w:spacing w:line="540" w:lineRule="exact"/>
        <w:ind w:left="-178" w:leftChars="-85" w:right="-153" w:rightChars="-73"/>
        <w:jc w:val="center"/>
        <w:textAlignment w:val="auto"/>
        <w:outlineLvl w:val="9"/>
        <w:rPr>
          <w:rFonts w:ascii="长城小标宋体" w:eastAsia="长城小标宋体" w:cs="方正小标宋简体"/>
          <w:sz w:val="44"/>
          <w:szCs w:val="44"/>
        </w:rPr>
      </w:pPr>
      <w:r>
        <w:rPr>
          <w:rFonts w:hint="eastAsia" w:ascii="长城小标宋体" w:eastAsia="长城小标宋体" w:cs="方正小标宋简体"/>
          <w:sz w:val="44"/>
          <w:szCs w:val="44"/>
        </w:rPr>
        <w:t>增城区派潭镇</w:t>
      </w:r>
      <w:r>
        <w:rPr>
          <w:rFonts w:hint="eastAsia" w:ascii="长城小标宋体" w:eastAsia="长城小标宋体" w:cs="方正小标宋简体"/>
          <w:sz w:val="44"/>
          <w:szCs w:val="44"/>
          <w:lang w:eastAsia="zh-CN"/>
        </w:rPr>
        <w:t>人民政府</w:t>
      </w:r>
      <w:r>
        <w:rPr>
          <w:rFonts w:ascii="长城小标宋体" w:eastAsia="长城小标宋体" w:cs="方正小标宋简体"/>
          <w:sz w:val="44"/>
          <w:szCs w:val="44"/>
        </w:rPr>
        <w:t>201</w:t>
      </w:r>
      <w:r>
        <w:rPr>
          <w:rFonts w:hint="eastAsia" w:ascii="长城小标宋体" w:eastAsia="长城小标宋体" w:cs="方正小标宋简体"/>
          <w:sz w:val="44"/>
          <w:szCs w:val="44"/>
          <w:lang w:val="en-US" w:eastAsia="zh-CN"/>
        </w:rPr>
        <w:t>7</w:t>
      </w:r>
      <w:r>
        <w:rPr>
          <w:rFonts w:hint="eastAsia" w:ascii="长城小标宋体" w:eastAsia="长城小标宋体" w:cs="方正小标宋简体"/>
          <w:sz w:val="44"/>
          <w:szCs w:val="44"/>
        </w:rPr>
        <w:t>年行政许可</w:t>
      </w:r>
    </w:p>
    <w:p>
      <w:pPr>
        <w:keepNext w:val="0"/>
        <w:keepLines w:val="0"/>
        <w:pageBreakBefore w:val="0"/>
        <w:widowControl w:val="0"/>
        <w:kinsoku/>
        <w:wordWrap/>
        <w:overflowPunct/>
        <w:topLinePunct w:val="0"/>
        <w:autoSpaceDE/>
        <w:autoSpaceDN/>
        <w:bidi w:val="0"/>
        <w:adjustRightInd/>
        <w:spacing w:line="540" w:lineRule="exact"/>
        <w:ind w:left="-178" w:leftChars="-85" w:right="-153" w:rightChars="-73"/>
        <w:jc w:val="center"/>
        <w:textAlignment w:val="auto"/>
        <w:outlineLvl w:val="9"/>
        <w:rPr>
          <w:rFonts w:ascii="长城小标宋体" w:eastAsia="长城小标宋体" w:cs="方正小标宋简体"/>
          <w:sz w:val="44"/>
          <w:szCs w:val="44"/>
        </w:rPr>
      </w:pPr>
      <w:r>
        <w:rPr>
          <w:rFonts w:hint="eastAsia" w:ascii="长城小标宋体" w:eastAsia="长城小标宋体" w:cs="方正小标宋简体"/>
          <w:sz w:val="44"/>
          <w:szCs w:val="44"/>
        </w:rPr>
        <w:t>实施和监督管理情况报告</w:t>
      </w: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40" w:lineRule="exact"/>
        <w:ind w:firstLine="640" w:firstLineChars="200"/>
        <w:jc w:val="left"/>
        <w:textAlignment w:val="auto"/>
        <w:outlineLvl w:val="9"/>
        <w:rPr>
          <w:rFonts w:ascii="仿宋_GB2312" w:eastAsia="仿宋_GB2312"/>
          <w:sz w:val="32"/>
          <w:szCs w:val="32"/>
        </w:rPr>
      </w:pPr>
      <w:bookmarkStart w:id="0" w:name="_GoBack"/>
      <w:bookmarkEnd w:id="0"/>
      <w:r>
        <w:rPr>
          <w:rFonts w:hint="eastAsia" w:ascii="仿宋_GB2312" w:eastAsia="仿宋_GB2312"/>
          <w:sz w:val="32"/>
          <w:szCs w:val="32"/>
        </w:rPr>
        <w:t>根据《关于报送</w:t>
      </w:r>
      <w:r>
        <w:rPr>
          <w:rFonts w:hint="eastAsia" w:ascii="仿宋_GB2312" w:eastAsia="仿宋_GB2312"/>
          <w:sz w:val="32"/>
          <w:szCs w:val="32"/>
          <w:lang w:val="en-US" w:eastAsia="zh-CN"/>
        </w:rPr>
        <w:t>2017年度</w:t>
      </w:r>
      <w:r>
        <w:rPr>
          <w:rFonts w:hint="eastAsia" w:ascii="仿宋_GB2312" w:eastAsia="仿宋_GB2312"/>
          <w:sz w:val="32"/>
          <w:szCs w:val="32"/>
        </w:rPr>
        <w:t>行政许可实施和监督管理情况年度报告的通知》（增</w:t>
      </w:r>
      <w:r>
        <w:rPr>
          <w:rFonts w:hint="eastAsia" w:ascii="仿宋_GB2312" w:eastAsia="仿宋_GB2312"/>
          <w:sz w:val="32"/>
          <w:szCs w:val="32"/>
          <w:lang w:eastAsia="zh-CN"/>
        </w:rPr>
        <w:t>编</w:t>
      </w:r>
      <w:r>
        <w:rPr>
          <w:rFonts w:hint="eastAsia" w:ascii="仿宋_GB2312" w:eastAsia="仿宋_GB2312"/>
          <w:sz w:val="32"/>
          <w:szCs w:val="32"/>
        </w:rPr>
        <w:t>办函</w:t>
      </w:r>
      <w:r>
        <w:rPr>
          <w:rFonts w:hint="eastAsia" w:ascii="仿宋_GB2312" w:hAnsi="宋体" w:eastAsia="仿宋_GB2312"/>
          <w:sz w:val="32"/>
          <w:szCs w:val="32"/>
        </w:rPr>
        <w:t>〔</w:t>
      </w:r>
      <w:r>
        <w:rPr>
          <w:rFonts w:ascii="仿宋_GB2312" w:hAnsi="宋体" w:eastAsia="仿宋_GB2312"/>
          <w:sz w:val="32"/>
          <w:szCs w:val="32"/>
        </w:rPr>
        <w:t>201</w:t>
      </w:r>
      <w:r>
        <w:rPr>
          <w:rFonts w:hint="eastAsia" w:ascii="仿宋_GB2312" w:hAnsi="宋体" w:eastAsia="仿宋_GB2312"/>
          <w:sz w:val="32"/>
          <w:szCs w:val="32"/>
          <w:lang w:val="en-US" w:eastAsia="zh-CN"/>
        </w:rPr>
        <w:t>8</w:t>
      </w:r>
      <w:r>
        <w:rPr>
          <w:rFonts w:hint="eastAsia" w:ascii="仿宋_GB2312" w:hAnsi="宋体" w:eastAsia="仿宋_GB2312"/>
          <w:sz w:val="32"/>
          <w:szCs w:val="32"/>
        </w:rPr>
        <w:t>〕</w:t>
      </w:r>
      <w:r>
        <w:rPr>
          <w:rFonts w:hint="eastAsia" w:ascii="仿宋_GB2312" w:hAnsi="宋体" w:eastAsia="仿宋_GB2312"/>
          <w:sz w:val="32"/>
          <w:szCs w:val="32"/>
          <w:lang w:val="en-US" w:eastAsia="zh-CN"/>
        </w:rPr>
        <w:t>40</w:t>
      </w:r>
      <w:r>
        <w:rPr>
          <w:rFonts w:hint="eastAsia" w:ascii="仿宋_GB2312" w:hAnsi="宋体" w:eastAsia="仿宋_GB2312"/>
          <w:sz w:val="32"/>
          <w:szCs w:val="32"/>
        </w:rPr>
        <w:t>号）的</w:t>
      </w:r>
      <w:r>
        <w:rPr>
          <w:rFonts w:hint="eastAsia" w:ascii="仿宋_GB2312" w:eastAsia="仿宋_GB2312"/>
          <w:sz w:val="32"/>
          <w:szCs w:val="32"/>
        </w:rPr>
        <w:t>要求，现将我单位</w:t>
      </w:r>
      <w:r>
        <w:rPr>
          <w:rFonts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年行政许可实施和监督管理情况报告如下：</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黑体" w:hAnsi="黑体" w:eastAsia="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hint="eastAsia" w:ascii="仿宋_GB2312" w:eastAsia="仿宋_GB2312" w:cs="仿宋_GB2312"/>
          <w:sz w:val="32"/>
          <w:szCs w:val="32"/>
        </w:rPr>
      </w:pPr>
      <w:r>
        <w:rPr>
          <w:rFonts w:hint="eastAsia" w:ascii="楷体_GB2312" w:eastAsia="楷体_GB2312" w:cs="仿宋_GB2312"/>
          <w:sz w:val="32"/>
          <w:szCs w:val="32"/>
        </w:rPr>
        <w:t>（一）现有事项及办理情况。</w:t>
      </w:r>
      <w:r>
        <w:rPr>
          <w:rFonts w:hint="eastAsia" w:ascii="仿宋_GB2312" w:eastAsia="仿宋_GB2312"/>
          <w:sz w:val="32"/>
          <w:szCs w:val="32"/>
        </w:rPr>
        <w:t>依据法律法规和行政职能，</w:t>
      </w:r>
      <w:r>
        <w:rPr>
          <w:rFonts w:hint="eastAsia" w:ascii="仿宋_GB2312" w:eastAsia="仿宋_GB2312" w:cs="仿宋_GB2312"/>
          <w:sz w:val="32"/>
          <w:szCs w:val="32"/>
        </w:rPr>
        <w:t>我镇共有</w:t>
      </w:r>
      <w:r>
        <w:rPr>
          <w:rFonts w:ascii="仿宋_GB2312" w:eastAsia="仿宋_GB2312" w:cs="仿宋_GB2312"/>
          <w:sz w:val="32"/>
          <w:szCs w:val="32"/>
        </w:rPr>
        <w:t>2</w:t>
      </w:r>
      <w:r>
        <w:rPr>
          <w:rFonts w:hint="eastAsia" w:ascii="仿宋_GB2312" w:eastAsia="仿宋_GB2312" w:cs="仿宋_GB2312"/>
          <w:sz w:val="32"/>
          <w:szCs w:val="32"/>
        </w:rPr>
        <w:t>项审批事项，其中：再生育一胎子女</w:t>
      </w:r>
      <w:r>
        <w:rPr>
          <w:rFonts w:hint="eastAsia" w:ascii="仿宋_GB2312" w:eastAsia="仿宋_GB2312" w:cs="仿宋_GB2312"/>
          <w:sz w:val="32"/>
          <w:szCs w:val="32"/>
          <w:lang w:eastAsia="zh-CN"/>
        </w:rPr>
        <w:t>和</w:t>
      </w:r>
      <w:r>
        <w:rPr>
          <w:rFonts w:hint="eastAsia" w:ascii="仿宋_GB2312" w:eastAsia="仿宋_GB2312" w:cs="仿宋_GB2312"/>
          <w:sz w:val="32"/>
          <w:szCs w:val="32"/>
        </w:rPr>
        <w:t>食品摊贩登记行政许可审批事项，</w:t>
      </w:r>
      <w:r>
        <w:rPr>
          <w:rFonts w:hint="eastAsia" w:ascii="仿宋_GB2312" w:eastAsia="仿宋_GB2312" w:cs="仿宋_GB2312"/>
          <w:sz w:val="32"/>
          <w:szCs w:val="32"/>
          <w:lang w:eastAsia="zh-CN"/>
        </w:rPr>
        <w:t>均</w:t>
      </w:r>
      <w:r>
        <w:rPr>
          <w:rFonts w:hint="eastAsia" w:ascii="仿宋_GB2312" w:eastAsia="仿宋_GB2312" w:cs="仿宋_GB2312"/>
          <w:sz w:val="32"/>
          <w:szCs w:val="32"/>
        </w:rPr>
        <w:t>已纳入区行政审批事项目录和进驻区网上办事大厅</w:t>
      </w:r>
      <w:r>
        <w:rPr>
          <w:rFonts w:hint="eastAsia" w:ascii="仿宋_GB2312" w:eastAsia="仿宋_GB2312" w:cs="仿宋_GB2312"/>
          <w:sz w:val="32"/>
          <w:szCs w:val="32"/>
          <w:lang w:eastAsia="zh-CN"/>
        </w:rPr>
        <w:t>；土地承包期内承包权的合理调整审批、本集体经济组织以外单位和个人的承包土地审批事项，我镇相关业务部门尚未收到办理申请。</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仿宋_GB2312" w:eastAsia="仿宋_GB2312" w:cs="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年度我镇行政许可的申请事项全年共收到</w:t>
      </w:r>
      <w:r>
        <w:rPr>
          <w:rFonts w:ascii="仿宋_GB2312" w:eastAsia="仿宋_GB2312"/>
          <w:sz w:val="32"/>
          <w:szCs w:val="32"/>
        </w:rPr>
        <w:t>1</w:t>
      </w:r>
      <w:r>
        <w:rPr>
          <w:rFonts w:hint="eastAsia" w:ascii="仿宋_GB2312" w:eastAsia="仿宋_GB2312"/>
          <w:sz w:val="32"/>
          <w:szCs w:val="32"/>
          <w:lang w:val="en-US" w:eastAsia="zh-CN"/>
        </w:rPr>
        <w:t>39</w:t>
      </w:r>
      <w:r>
        <w:rPr>
          <w:rFonts w:hint="eastAsia" w:ascii="仿宋_GB2312" w:eastAsia="仿宋_GB2312"/>
          <w:sz w:val="32"/>
          <w:szCs w:val="32"/>
        </w:rPr>
        <w:t>件，受理</w:t>
      </w:r>
      <w:r>
        <w:rPr>
          <w:rFonts w:ascii="仿宋_GB2312" w:eastAsia="仿宋_GB2312"/>
          <w:sz w:val="32"/>
          <w:szCs w:val="32"/>
        </w:rPr>
        <w:t>1</w:t>
      </w:r>
      <w:r>
        <w:rPr>
          <w:rFonts w:hint="eastAsia" w:ascii="仿宋_GB2312" w:eastAsia="仿宋_GB2312"/>
          <w:sz w:val="32"/>
          <w:szCs w:val="32"/>
          <w:lang w:val="en-US" w:eastAsia="zh-CN"/>
        </w:rPr>
        <w:t>39</w:t>
      </w:r>
      <w:r>
        <w:rPr>
          <w:rFonts w:hint="eastAsia" w:ascii="仿宋_GB2312" w:eastAsia="仿宋_GB2312"/>
          <w:sz w:val="32"/>
          <w:szCs w:val="32"/>
        </w:rPr>
        <w:t>件，办结</w:t>
      </w:r>
      <w:r>
        <w:rPr>
          <w:rFonts w:ascii="仿宋_GB2312" w:eastAsia="仿宋_GB2312"/>
          <w:sz w:val="32"/>
          <w:szCs w:val="32"/>
        </w:rPr>
        <w:t>1</w:t>
      </w:r>
      <w:r>
        <w:rPr>
          <w:rFonts w:hint="eastAsia" w:ascii="仿宋_GB2312" w:eastAsia="仿宋_GB2312"/>
          <w:sz w:val="32"/>
          <w:szCs w:val="32"/>
          <w:lang w:val="en-US" w:eastAsia="zh-CN"/>
        </w:rPr>
        <w:t>39</w:t>
      </w:r>
      <w:r>
        <w:rPr>
          <w:rFonts w:hint="eastAsia" w:ascii="仿宋_GB2312" w:eastAsia="仿宋_GB2312"/>
          <w:sz w:val="32"/>
          <w:szCs w:val="32"/>
        </w:rPr>
        <w:t>件，其中</w:t>
      </w:r>
      <w:r>
        <w:rPr>
          <w:rFonts w:hint="eastAsia" w:ascii="仿宋_GB2312" w:eastAsia="仿宋_GB2312" w:cs="仿宋_GB2312"/>
          <w:sz w:val="32"/>
          <w:szCs w:val="32"/>
        </w:rPr>
        <w:t>再生育一胎子女行政许可审批事项全年共收到申请</w:t>
      </w:r>
      <w:r>
        <w:rPr>
          <w:rFonts w:ascii="仿宋_GB2312" w:eastAsia="仿宋_GB2312" w:cs="仿宋_GB2312"/>
          <w:sz w:val="32"/>
          <w:szCs w:val="32"/>
        </w:rPr>
        <w:t>8</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件、受理</w:t>
      </w:r>
      <w:r>
        <w:rPr>
          <w:rFonts w:ascii="仿宋_GB2312" w:eastAsia="仿宋_GB2312" w:cs="仿宋_GB2312"/>
          <w:sz w:val="32"/>
          <w:szCs w:val="32"/>
        </w:rPr>
        <w:t>8</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件、办结</w:t>
      </w:r>
      <w:r>
        <w:rPr>
          <w:rFonts w:ascii="仿宋_GB2312" w:eastAsia="仿宋_GB2312" w:cs="仿宋_GB2312"/>
          <w:sz w:val="32"/>
          <w:szCs w:val="32"/>
        </w:rPr>
        <w:t>8</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件；</w:t>
      </w:r>
      <w:r>
        <w:rPr>
          <w:rFonts w:hint="eastAsia" w:ascii="仿宋_GB2312" w:eastAsia="仿宋_GB2312"/>
          <w:sz w:val="32"/>
          <w:szCs w:val="32"/>
        </w:rPr>
        <w:t>食品摊贩登记事项</w:t>
      </w:r>
      <w:r>
        <w:rPr>
          <w:rFonts w:hint="eastAsia" w:ascii="仿宋_GB2312" w:eastAsia="仿宋_GB2312" w:cs="仿宋_GB2312"/>
          <w:sz w:val="32"/>
          <w:szCs w:val="32"/>
        </w:rPr>
        <w:t>全年共收到申请</w:t>
      </w:r>
      <w:r>
        <w:rPr>
          <w:rFonts w:hint="eastAsia" w:ascii="仿宋_GB2312" w:eastAsia="仿宋_GB2312" w:cs="仿宋_GB2312"/>
          <w:sz w:val="32"/>
          <w:szCs w:val="32"/>
          <w:lang w:val="en-US" w:eastAsia="zh-CN"/>
        </w:rPr>
        <w:t>50</w:t>
      </w:r>
      <w:r>
        <w:rPr>
          <w:rFonts w:hint="eastAsia" w:ascii="仿宋_GB2312" w:eastAsia="仿宋_GB2312" w:cs="仿宋_GB2312"/>
          <w:sz w:val="32"/>
          <w:szCs w:val="32"/>
        </w:rPr>
        <w:t>件、受理</w:t>
      </w:r>
      <w:r>
        <w:rPr>
          <w:rFonts w:hint="eastAsia" w:ascii="仿宋_GB2312" w:eastAsia="仿宋_GB2312" w:cs="仿宋_GB2312"/>
          <w:sz w:val="32"/>
          <w:szCs w:val="32"/>
          <w:lang w:val="en-US" w:eastAsia="zh-CN"/>
        </w:rPr>
        <w:t>50</w:t>
      </w:r>
      <w:r>
        <w:rPr>
          <w:rFonts w:hint="eastAsia" w:ascii="仿宋_GB2312" w:eastAsia="仿宋_GB2312" w:cs="仿宋_GB2312"/>
          <w:sz w:val="32"/>
          <w:szCs w:val="32"/>
        </w:rPr>
        <w:t>件、办结</w:t>
      </w:r>
      <w:r>
        <w:rPr>
          <w:rFonts w:hint="eastAsia" w:ascii="仿宋_GB2312" w:eastAsia="仿宋_GB2312" w:cs="仿宋_GB2312"/>
          <w:sz w:val="32"/>
          <w:szCs w:val="32"/>
          <w:lang w:val="en-US" w:eastAsia="zh-CN"/>
        </w:rPr>
        <w:t>50</w:t>
      </w:r>
      <w:r>
        <w:rPr>
          <w:rFonts w:hint="eastAsia" w:ascii="仿宋_GB2312" w:eastAsia="仿宋_GB2312" w:cs="仿宋_GB2312"/>
          <w:sz w:val="32"/>
          <w:szCs w:val="32"/>
        </w:rPr>
        <w:t>件</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仿宋_GB2312" w:hAnsi="宋体" w:eastAsia="仿宋_GB2312"/>
          <w:kern w:val="0"/>
          <w:sz w:val="32"/>
        </w:rPr>
      </w:pPr>
      <w:r>
        <w:rPr>
          <w:rFonts w:hint="eastAsia" w:ascii="楷体_GB2312" w:eastAsia="楷体_GB2312" w:cs="仿宋_GB2312"/>
          <w:sz w:val="32"/>
          <w:szCs w:val="32"/>
        </w:rPr>
        <w:t>（二）依法实施情况。</w:t>
      </w:r>
      <w:r>
        <w:rPr>
          <w:rFonts w:hint="eastAsia" w:ascii="仿宋_GB2312" w:eastAsia="仿宋_GB2312" w:cs="仿宋_GB2312"/>
          <w:sz w:val="32"/>
          <w:szCs w:val="32"/>
        </w:rPr>
        <w:t>我镇严格依据《广东省人口与计划生育条例》的相关规定来实施再生育一胎子女行政许可审批事项，根据</w:t>
      </w:r>
      <w:r>
        <w:rPr>
          <w:rFonts w:hint="eastAsia" w:ascii="仿宋_GB2312" w:eastAsia="仿宋_GB2312"/>
          <w:sz w:val="32"/>
          <w:szCs w:val="32"/>
        </w:rPr>
        <w:t>《广东省食品生产加工小作坊和食品摊贩管理条例》</w:t>
      </w:r>
      <w:r>
        <w:rPr>
          <w:rFonts w:hint="eastAsia" w:ascii="仿宋_GB2312" w:hAnsi="宋体" w:eastAsia="仿宋_GB2312"/>
          <w:kern w:val="0"/>
          <w:sz w:val="32"/>
        </w:rPr>
        <w:t>文件要求来实施</w:t>
      </w:r>
      <w:r>
        <w:rPr>
          <w:rFonts w:hint="eastAsia" w:ascii="仿宋_GB2312" w:eastAsia="仿宋_GB2312" w:cs="仿宋_GB2312"/>
          <w:sz w:val="32"/>
          <w:szCs w:val="32"/>
        </w:rPr>
        <w:t>食品摊贩登记事项。认真对照相关规范性文件，严格遵守行政审批事项的权限、程序、环节、条件，结合我镇实际，</w:t>
      </w:r>
      <w:r>
        <w:rPr>
          <w:rFonts w:hint="eastAsia" w:ascii="仿宋_GB2312" w:eastAsia="仿宋_GB2312"/>
          <w:sz w:val="32"/>
          <w:szCs w:val="32"/>
        </w:rPr>
        <w:t>对审批流程和规范审批程序进行优化，明确审批标准，无违法办理情况出现。</w:t>
      </w:r>
      <w:r>
        <w:rPr>
          <w:rFonts w:hint="eastAsia" w:ascii="仿宋_GB2312" w:eastAsia="仿宋_GB2312" w:cs="仿宋_GB2312"/>
          <w:sz w:val="32"/>
          <w:szCs w:val="32"/>
        </w:rPr>
        <w:t>按照申请、受理、审查、期限等有关方面的具体规定，按有关规定依法办理，确保依法行政。</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eastAsia="仿宋_GB2312" w:cs="仿宋_GB2312"/>
          <w:sz w:val="32"/>
          <w:szCs w:val="32"/>
        </w:rPr>
      </w:pPr>
      <w:r>
        <w:rPr>
          <w:rFonts w:hint="eastAsia" w:ascii="楷体_GB2312" w:eastAsia="楷体_GB2312" w:cs="仿宋_GB2312"/>
          <w:sz w:val="32"/>
          <w:szCs w:val="32"/>
        </w:rPr>
        <w:t>（三）公开公示情况。</w:t>
      </w:r>
      <w:r>
        <w:rPr>
          <w:rFonts w:hint="eastAsia" w:ascii="仿宋_GB2312" w:eastAsia="仿宋_GB2312" w:cs="仿宋_GB2312"/>
          <w:sz w:val="32"/>
          <w:szCs w:val="32"/>
        </w:rPr>
        <w:t>我镇严格按照《行政许可法》规定，按照上级单位的相关文件，建立健全了再生育一胎子女行政许可审批和食品摊贩登记事项的公示制度。通过印发和张贴有关宣传资料、办事指南小册子，在各村居的计生宣传栏、同时组织食品摊贩经营者集中开会、现场指导、张贴公告、发放指引示意图等方式及时公开再生育一胎子女的审批、食品摊贩登记事项的实施主体、依据、程序、条件、期限、裁量标准、申请材料及办法、申请书格式文本、计费标准、咨询投诉方式等信息。</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eastAsia="仿宋_GB2312" w:cs="仿宋_GB2312"/>
          <w:sz w:val="32"/>
          <w:szCs w:val="32"/>
        </w:rPr>
      </w:pPr>
      <w:r>
        <w:rPr>
          <w:rFonts w:hint="eastAsia" w:ascii="楷体_GB2312" w:eastAsia="楷体_GB2312" w:cs="仿宋_GB2312"/>
          <w:sz w:val="32"/>
          <w:szCs w:val="32"/>
        </w:rPr>
        <w:t>（四）监督管理情况。</w:t>
      </w:r>
      <w:r>
        <w:rPr>
          <w:rFonts w:hint="eastAsia" w:ascii="仿宋_GB2312" w:eastAsia="仿宋_GB2312" w:cs="仿宋_GB2312"/>
          <w:sz w:val="32"/>
          <w:szCs w:val="32"/>
        </w:rPr>
        <w:t>我镇严格落实行政许可监督管理制度，定期将行政许可审批事项推进情况向上级有关部门及镇纪检监察室进行报备，并向社会公开投诉举报电话，及时受理服务相对人对行政审批工作的投诉、举报等工作。</w:t>
      </w:r>
      <w:r>
        <w:rPr>
          <w:rFonts w:ascii="仿宋_GB2312" w:eastAsia="仿宋_GB2312" w:cs="仿宋_GB2312"/>
          <w:sz w:val="32"/>
          <w:szCs w:val="32"/>
        </w:rPr>
        <w:t>20</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年未发现违法违规情况，未接到有关行政审批行为违法违纪的投诉或举报。</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仿宋_GB2312" w:eastAsia="仿宋_GB2312" w:cs="仿宋_GB2312"/>
          <w:sz w:val="32"/>
          <w:szCs w:val="32"/>
        </w:rPr>
      </w:pPr>
      <w:r>
        <w:rPr>
          <w:rFonts w:hint="eastAsia" w:ascii="楷体_GB2312" w:eastAsia="楷体_GB2312" w:cs="仿宋_GB2312"/>
          <w:sz w:val="32"/>
          <w:szCs w:val="32"/>
        </w:rPr>
        <w:t>（五）实施效果情况。</w:t>
      </w:r>
      <w:r>
        <w:rPr>
          <w:rFonts w:ascii="仿宋_GB2312" w:eastAsia="仿宋_GB2312" w:cs="仿宋_GB2312"/>
          <w:sz w:val="32"/>
          <w:szCs w:val="32"/>
        </w:rPr>
        <w:t>201</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年度我镇在再生育一胎子女的审批、食品摊贩登记过程中做到依法依规，严格执行，及时受理，按时办结，达到设立行政许可时预期效果。通过一次性告知群众办理审批事项需提供的证明及资料，方便了行政相对人，提高了审批效率。同时，行政相对人的认可度和满意度较高。</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黑体" w:hAnsi="黑体" w:eastAsia="黑体"/>
          <w:sz w:val="32"/>
          <w:szCs w:val="32"/>
        </w:rPr>
      </w:pPr>
      <w:r>
        <w:rPr>
          <w:rFonts w:hint="eastAsia" w:ascii="黑体" w:hAnsi="黑体" w:eastAsia="黑体" w:cs="黑体"/>
          <w:sz w:val="32"/>
          <w:szCs w:val="32"/>
        </w:rPr>
        <w:t>二、存在问题和困难</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仿宋_GB2312" w:eastAsia="仿宋_GB2312"/>
          <w:sz w:val="32"/>
          <w:szCs w:val="32"/>
        </w:rPr>
      </w:pPr>
      <w:r>
        <w:rPr>
          <w:rFonts w:hint="eastAsia" w:ascii="仿宋_GB2312" w:eastAsia="仿宋_GB2312"/>
          <w:sz w:val="32"/>
          <w:szCs w:val="32"/>
        </w:rPr>
        <w:t>一是食品摊贩从业者主体责任意识不强，对登记许可存在抵触或排斥心理，登记许可工作较被动；二是食品摊贩流动性大，包括经营者不定性和经营地点不定性，管理成本较高；三是经营者一般未经过有关培训或教育直接上岗，食品加工过程卫生条件较差。</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黑体" w:hAnsi="黑体" w:eastAsia="黑体"/>
          <w:sz w:val="32"/>
          <w:szCs w:val="32"/>
        </w:rPr>
      </w:pPr>
      <w:r>
        <w:rPr>
          <w:rFonts w:hint="eastAsia" w:ascii="黑体" w:hAnsi="黑体" w:eastAsia="黑体" w:cs="黑体"/>
          <w:sz w:val="32"/>
          <w:szCs w:val="32"/>
        </w:rPr>
        <w:t>三、下一步工作措施及有关建议</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仿宋_GB2312" w:eastAsia="仿宋_GB2312"/>
          <w:sz w:val="32"/>
          <w:szCs w:val="32"/>
        </w:rPr>
      </w:pPr>
      <w:r>
        <w:rPr>
          <w:rFonts w:hint="eastAsia" w:ascii="仿宋_GB2312" w:eastAsia="仿宋_GB2312"/>
          <w:sz w:val="32"/>
          <w:szCs w:val="32"/>
        </w:rPr>
        <w:t>一是</w:t>
      </w:r>
      <w:r>
        <w:rPr>
          <w:rFonts w:hint="eastAsia" w:ascii="仿宋_GB2312" w:eastAsia="仿宋_GB2312" w:cs="仿宋_GB2312"/>
          <w:sz w:val="32"/>
          <w:szCs w:val="32"/>
        </w:rPr>
        <w:t>加强宣传和信息公开。</w:t>
      </w:r>
      <w:r>
        <w:rPr>
          <w:rFonts w:hint="eastAsia" w:ascii="仿宋_GB2312" w:eastAsia="仿宋_GB2312"/>
          <w:sz w:val="32"/>
          <w:szCs w:val="32"/>
        </w:rPr>
        <w:t>进一步加强行政许可审批事项的宣传工作，加深广大群众对行政许可相关审批事项的认识，同时继续加强实施主体、依据、程序、条件、期限、裁量标准、</w:t>
      </w:r>
      <w:r>
        <w:rPr>
          <w:rFonts w:hint="eastAsia" w:ascii="仿宋_GB2312" w:eastAsia="仿宋_GB2312" w:cs="仿宋_GB2312"/>
          <w:sz w:val="32"/>
          <w:szCs w:val="32"/>
        </w:rPr>
        <w:t>申请材料及办法、申请书格式文本、计费标准、咨询投诉方式等十公开，并做好信息的动态管理，方便群众办理审批事项。</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二是强化政务服务中心建设，设立专职窗口，做到统一接件，统一出件，方便公众申请和办理登记事务</w:t>
      </w:r>
      <w:r>
        <w:rPr>
          <w:rFonts w:ascii="仿宋_GB2312" w:eastAsia="仿宋_GB2312"/>
          <w:sz w:val="32"/>
          <w:szCs w:val="32"/>
        </w:rPr>
        <w:t xml:space="preserve">, </w:t>
      </w:r>
      <w:r>
        <w:rPr>
          <w:rFonts w:hint="eastAsia" w:ascii="仿宋_GB2312" w:eastAsia="仿宋_GB2312"/>
          <w:sz w:val="32"/>
          <w:szCs w:val="32"/>
        </w:rPr>
        <w:t>实现“一个窗口进，一个窗口出”，减少公众负担，以有效地提高审批工作效能。</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仿宋_GB2312" w:eastAsia="仿宋_GB2312"/>
          <w:sz w:val="32"/>
          <w:szCs w:val="32"/>
        </w:rPr>
      </w:pPr>
      <w:r>
        <w:rPr>
          <w:rFonts w:hint="eastAsia" w:ascii="仿宋_GB2312" w:eastAsia="仿宋_GB2312"/>
          <w:sz w:val="32"/>
          <w:szCs w:val="32"/>
        </w:rPr>
        <w:t>三是加强队伍建设，提升行政审批服务水平。优化行政许可审批工作人员的队伍结构，加强专职人才的培训，建立工作激励机制，规范审批服务行为，使专项工作人员进一步增强服务意识、责任意识、奉献意识，以促进我镇行政许可审批工作水平的进一步提升。</w:t>
      </w: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sz w:val="34"/>
        </w:rPr>
      </w:pPr>
      <w:r>
        <w:rPr>
          <w:rFonts w:hint="eastAsia" w:ascii="仿宋_GB2312" w:hAnsi="仿宋" w:eastAsia="仿宋_GB2312"/>
          <w:sz w:val="32"/>
          <w:szCs w:val="32"/>
        </w:rPr>
        <w:t>附件：派潭镇</w:t>
      </w:r>
      <w:r>
        <w:rPr>
          <w:rFonts w:ascii="仿宋_GB2312" w:hAnsi="仿宋" w:eastAsia="仿宋_GB2312"/>
          <w:sz w:val="32"/>
          <w:szCs w:val="32"/>
        </w:rPr>
        <w:t>201</w:t>
      </w:r>
      <w:r>
        <w:rPr>
          <w:rFonts w:hint="eastAsia" w:ascii="仿宋_GB2312" w:hAnsi="仿宋" w:eastAsia="仿宋_GB2312"/>
          <w:sz w:val="32"/>
          <w:szCs w:val="32"/>
          <w:lang w:val="en-US" w:eastAsia="zh-CN"/>
        </w:rPr>
        <w:t>7</w:t>
      </w:r>
      <w:r>
        <w:rPr>
          <w:rFonts w:hint="eastAsia" w:ascii="仿宋_GB2312" w:hAnsi="仿宋" w:eastAsia="仿宋_GB2312"/>
          <w:sz w:val="32"/>
          <w:szCs w:val="32"/>
        </w:rPr>
        <w:t>年行政许可实施和监督管理有关情况表</w:t>
      </w:r>
    </w:p>
    <w:p>
      <w:pPr>
        <w:keepNext w:val="0"/>
        <w:keepLines w:val="0"/>
        <w:pageBreakBefore w:val="0"/>
        <w:widowControl w:val="0"/>
        <w:kinsoku/>
        <w:wordWrap/>
        <w:overflowPunct/>
        <w:topLinePunct w:val="0"/>
        <w:autoSpaceDE/>
        <w:autoSpaceDN/>
        <w:bidi w:val="0"/>
        <w:adjustRightInd/>
        <w:spacing w:line="540" w:lineRule="exact"/>
        <w:textAlignment w:val="auto"/>
        <w:outlineLvl w:val="9"/>
        <w:rPr>
          <w:sz w:val="34"/>
        </w:rPr>
      </w:pPr>
    </w:p>
    <w:p>
      <w:pPr>
        <w:keepNext w:val="0"/>
        <w:keepLines w:val="0"/>
        <w:pageBreakBefore w:val="0"/>
        <w:widowControl w:val="0"/>
        <w:kinsoku/>
        <w:wordWrap/>
        <w:overflowPunct/>
        <w:topLinePunct w:val="0"/>
        <w:autoSpaceDE/>
        <w:autoSpaceDN/>
        <w:bidi w:val="0"/>
        <w:adjustRightInd/>
        <w:spacing w:line="540" w:lineRule="exact"/>
        <w:ind w:firstLine="4784" w:firstLineChars="1495"/>
        <w:textAlignment w:val="auto"/>
        <w:outlineLvl w:val="9"/>
        <w:rPr>
          <w:rFonts w:ascii="仿宋_GB2312" w:eastAsia="仿宋_GB2312"/>
          <w:sz w:val="32"/>
          <w:szCs w:val="32"/>
        </w:rPr>
      </w:pPr>
      <w:r>
        <w:rPr>
          <w:rFonts w:hint="eastAsia" w:ascii="仿宋_GB2312" w:eastAsia="仿宋_GB2312"/>
          <w:sz w:val="32"/>
          <w:szCs w:val="32"/>
        </w:rPr>
        <w:t>广州市增城区派潭镇人民政府</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sz w:val="34"/>
        </w:rPr>
        <w:sectPr>
          <w:footerReference r:id="rId3" w:type="default"/>
          <w:footerReference r:id="rId4" w:type="even"/>
          <w:pgSz w:w="11906" w:h="16838"/>
          <w:pgMar w:top="2098" w:right="1418" w:bottom="1417" w:left="1400" w:header="851" w:footer="992" w:gutter="0"/>
          <w:pgNumType w:fmt="numberInDash"/>
          <w:cols w:space="720" w:num="1"/>
          <w:docGrid w:type="lines" w:linePitch="312" w:charSpace="0"/>
        </w:sectPr>
      </w:pPr>
      <w:r>
        <w:rPr>
          <w:rFonts w:ascii="仿宋_GB2312" w:eastAsia="仿宋_GB2312"/>
          <w:sz w:val="32"/>
          <w:szCs w:val="32"/>
        </w:rPr>
        <w:t xml:space="preserve">                                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rPr>
          <w:rFonts w:hint="eastAsia" w:ascii="黑体" w:eastAsia="黑体"/>
          <w:sz w:val="32"/>
          <w:szCs w:val="32"/>
        </w:rPr>
      </w:pPr>
      <w:r>
        <w:rPr>
          <w:rFonts w:hint="eastAsia" w:ascii="黑体" w:eastAsia="黑体"/>
          <w:sz w:val="32"/>
          <w:szCs w:val="32"/>
        </w:rPr>
        <w:t>附件2</w:t>
      </w:r>
    </w:p>
    <w:p>
      <w:pPr>
        <w:jc w:val="center"/>
        <w:rPr>
          <w:rFonts w:ascii="黑体" w:eastAsia="黑体"/>
          <w:sz w:val="32"/>
          <w:szCs w:val="32"/>
        </w:rPr>
      </w:pPr>
      <w:r>
        <w:rPr>
          <w:rFonts w:hint="eastAsia" w:cs="宋体" w:asciiTheme="minorEastAsia" w:hAnsiTheme="minorEastAsia" w:eastAsiaTheme="minorEastAsia"/>
          <w:b/>
          <w:kern w:val="0"/>
          <w:sz w:val="44"/>
          <w:szCs w:val="36"/>
        </w:rPr>
        <w:t>增城区</w:t>
      </w:r>
      <w:r>
        <w:rPr>
          <w:rFonts w:hint="eastAsia" w:cs="宋体" w:asciiTheme="minorEastAsia" w:hAnsiTheme="minorEastAsia" w:eastAsiaTheme="minorEastAsia"/>
          <w:b/>
          <w:kern w:val="0"/>
          <w:sz w:val="44"/>
          <w:szCs w:val="36"/>
          <w:lang w:eastAsia="zh-CN"/>
        </w:rPr>
        <w:t>派潭镇</w:t>
      </w:r>
      <w:r>
        <w:rPr>
          <w:rFonts w:hint="eastAsia" w:cs="宋体" w:asciiTheme="minorEastAsia" w:hAnsiTheme="minorEastAsia" w:eastAsiaTheme="minorEastAsia"/>
          <w:b/>
          <w:kern w:val="0"/>
          <w:sz w:val="44"/>
          <w:szCs w:val="36"/>
        </w:rPr>
        <w:t>2017年行政许可实施和监督管理有关情况表</w:t>
      </w:r>
    </w:p>
    <w:tbl>
      <w:tblPr>
        <w:tblStyle w:val="4"/>
        <w:tblW w:w="14174" w:type="dxa"/>
        <w:tblInd w:w="0" w:type="dxa"/>
        <w:tblLayout w:type="fixed"/>
        <w:tblCellMar>
          <w:top w:w="0" w:type="dxa"/>
          <w:left w:w="108" w:type="dxa"/>
          <w:bottom w:w="0" w:type="dxa"/>
          <w:right w:w="108" w:type="dxa"/>
        </w:tblCellMar>
      </w:tblPr>
      <w:tblGrid>
        <w:gridCol w:w="436"/>
        <w:gridCol w:w="1015"/>
        <w:gridCol w:w="1976"/>
        <w:gridCol w:w="1005"/>
        <w:gridCol w:w="922"/>
        <w:gridCol w:w="1080"/>
        <w:gridCol w:w="763"/>
        <w:gridCol w:w="434"/>
        <w:gridCol w:w="505"/>
        <w:gridCol w:w="505"/>
        <w:gridCol w:w="505"/>
        <w:gridCol w:w="587"/>
        <w:gridCol w:w="507"/>
        <w:gridCol w:w="505"/>
        <w:gridCol w:w="505"/>
        <w:gridCol w:w="754"/>
        <w:gridCol w:w="672"/>
        <w:gridCol w:w="505"/>
        <w:gridCol w:w="505"/>
        <w:gridCol w:w="488"/>
      </w:tblGrid>
      <w:tr>
        <w:tblPrEx>
          <w:tblLayout w:type="fixed"/>
          <w:tblCellMar>
            <w:top w:w="0" w:type="dxa"/>
            <w:left w:w="108" w:type="dxa"/>
            <w:bottom w:w="0" w:type="dxa"/>
            <w:right w:w="108" w:type="dxa"/>
          </w:tblCellMar>
        </w:tblPrEx>
        <w:trPr>
          <w:trHeight w:val="600" w:hRule="atLeast"/>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序号</w:t>
            </w:r>
          </w:p>
        </w:tc>
        <w:tc>
          <w:tcPr>
            <w:tcW w:w="10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审批类别</w:t>
            </w:r>
            <w:r>
              <w:rPr>
                <w:rFonts w:hint="eastAsia" w:ascii="宋体" w:hAnsi="宋体" w:cs="宋体"/>
                <w:b/>
                <w:kern w:val="0"/>
                <w:sz w:val="18"/>
                <w:szCs w:val="18"/>
              </w:rPr>
              <w:br w:type="textWrapping"/>
            </w:r>
          </w:p>
        </w:tc>
        <w:tc>
          <w:tcPr>
            <w:tcW w:w="1976" w:type="dxa"/>
            <w:tcBorders>
              <w:top w:val="single" w:color="auto" w:sz="4" w:space="0"/>
              <w:left w:val="nil"/>
              <w:right w:val="single" w:color="auto" w:sz="4" w:space="0"/>
            </w:tcBorders>
          </w:tcPr>
          <w:p>
            <w:pPr>
              <w:widowControl/>
              <w:spacing w:line="260" w:lineRule="exact"/>
              <w:jc w:val="center"/>
              <w:rPr>
                <w:rFonts w:hint="eastAsia" w:ascii="宋体" w:hAnsi="宋体" w:cs="宋体"/>
                <w:b/>
                <w:kern w:val="0"/>
                <w:sz w:val="18"/>
                <w:szCs w:val="18"/>
              </w:rPr>
            </w:pPr>
          </w:p>
          <w:p>
            <w:pPr>
              <w:widowControl/>
              <w:spacing w:line="260" w:lineRule="exact"/>
              <w:rPr>
                <w:rFonts w:hint="eastAsia" w:ascii="宋体" w:hAnsi="宋体" w:cs="宋体"/>
                <w:b/>
                <w:kern w:val="0"/>
                <w:sz w:val="18"/>
                <w:szCs w:val="18"/>
              </w:rPr>
            </w:pPr>
          </w:p>
        </w:tc>
        <w:tc>
          <w:tcPr>
            <w:tcW w:w="1005"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是否涉及需清理规范的中介服务事项（如有，则填事项名称；如无，则填否）</w:t>
            </w:r>
          </w:p>
        </w:tc>
        <w:tc>
          <w:tcPr>
            <w:tcW w:w="922"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清理规范中介服务完成情况（如前项填否，则该项留空不填）</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纳入行政审批事项目录（是/否）</w:t>
            </w:r>
          </w:p>
        </w:tc>
        <w:tc>
          <w:tcPr>
            <w:tcW w:w="763" w:type="dxa"/>
            <w:vMerge w:val="restart"/>
            <w:tcBorders>
              <w:top w:val="single" w:color="auto" w:sz="4" w:space="0"/>
              <w:left w:val="single" w:color="auto" w:sz="4" w:space="0"/>
              <w:bottom w:val="single" w:color="auto" w:sz="4" w:space="0"/>
              <w:right w:val="nil"/>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进驻网上办事大厅</w:t>
            </w:r>
            <w:r>
              <w:rPr>
                <w:rFonts w:hint="eastAsia" w:ascii="宋体" w:hAnsi="宋体" w:cs="宋体"/>
                <w:b/>
                <w:kern w:val="0"/>
                <w:sz w:val="18"/>
                <w:szCs w:val="18"/>
              </w:rPr>
              <w:br w:type="textWrapping"/>
            </w:r>
            <w:r>
              <w:rPr>
                <w:rFonts w:hint="eastAsia" w:ascii="宋体" w:hAnsi="宋体" w:cs="宋体"/>
                <w:b/>
                <w:kern w:val="0"/>
                <w:sz w:val="18"/>
                <w:szCs w:val="18"/>
              </w:rPr>
              <w:t>（是/否）</w:t>
            </w:r>
          </w:p>
        </w:tc>
        <w:tc>
          <w:tcPr>
            <w:tcW w:w="30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全年业务量</w:t>
            </w:r>
          </w:p>
        </w:tc>
        <w:tc>
          <w:tcPr>
            <w:tcW w:w="24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实施过程</w:t>
            </w:r>
          </w:p>
        </w:tc>
        <w:tc>
          <w:tcPr>
            <w:tcW w:w="149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right="132" w:rightChars="63"/>
              <w:jc w:val="center"/>
              <w:rPr>
                <w:rFonts w:ascii="宋体" w:hAnsi="宋体" w:cs="宋体"/>
                <w:b/>
                <w:kern w:val="0"/>
                <w:sz w:val="18"/>
                <w:szCs w:val="18"/>
              </w:rPr>
            </w:pPr>
            <w:r>
              <w:rPr>
                <w:rFonts w:hint="eastAsia" w:ascii="宋体" w:hAnsi="宋体" w:cs="宋体"/>
                <w:b/>
                <w:kern w:val="0"/>
                <w:sz w:val="18"/>
                <w:szCs w:val="18"/>
              </w:rPr>
              <w:t>监督管理</w:t>
            </w:r>
          </w:p>
        </w:tc>
      </w:tr>
      <w:tr>
        <w:tblPrEx>
          <w:tblLayout w:type="fixed"/>
          <w:tblCellMar>
            <w:top w:w="0" w:type="dxa"/>
            <w:left w:w="108" w:type="dxa"/>
            <w:bottom w:w="0" w:type="dxa"/>
            <w:right w:w="108" w:type="dxa"/>
          </w:tblCellMar>
        </w:tblPrEx>
        <w:trPr>
          <w:trHeight w:val="1946"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b/>
                <w:kern w:val="0"/>
                <w:sz w:val="18"/>
                <w:szCs w:val="18"/>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b/>
                <w:kern w:val="0"/>
                <w:sz w:val="18"/>
                <w:szCs w:val="18"/>
              </w:rPr>
            </w:pPr>
          </w:p>
        </w:tc>
        <w:tc>
          <w:tcPr>
            <w:tcW w:w="1976" w:type="dxa"/>
            <w:tcBorders>
              <w:left w:val="nil"/>
              <w:bottom w:val="single" w:color="auto" w:sz="4" w:space="0"/>
              <w:right w:val="single" w:color="auto" w:sz="4" w:space="0"/>
            </w:tcBorders>
          </w:tcPr>
          <w:p>
            <w:pPr>
              <w:widowControl/>
              <w:spacing w:line="260" w:lineRule="exact"/>
              <w:jc w:val="center"/>
              <w:rPr>
                <w:rFonts w:hint="eastAsia" w:ascii="宋体" w:hAnsi="宋体" w:cs="宋体"/>
                <w:b/>
                <w:kern w:val="0"/>
                <w:sz w:val="18"/>
                <w:szCs w:val="18"/>
              </w:rPr>
            </w:pPr>
          </w:p>
          <w:p>
            <w:pPr>
              <w:widowControl/>
              <w:spacing w:line="260" w:lineRule="exact"/>
              <w:jc w:val="center"/>
              <w:rPr>
                <w:rFonts w:hint="eastAsia" w:ascii="宋体" w:hAnsi="宋体" w:cs="宋体"/>
                <w:b/>
                <w:kern w:val="0"/>
                <w:sz w:val="18"/>
                <w:szCs w:val="18"/>
              </w:rPr>
            </w:pPr>
          </w:p>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许可事项名称</w:t>
            </w:r>
          </w:p>
        </w:tc>
        <w:tc>
          <w:tcPr>
            <w:tcW w:w="100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p>
        </w:tc>
        <w:tc>
          <w:tcPr>
            <w:tcW w:w="922"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b/>
                <w:kern w:val="0"/>
                <w:sz w:val="18"/>
                <w:szCs w:val="18"/>
              </w:rPr>
            </w:pPr>
          </w:p>
        </w:tc>
        <w:tc>
          <w:tcPr>
            <w:tcW w:w="763" w:type="dxa"/>
            <w:vMerge w:val="continue"/>
            <w:tcBorders>
              <w:top w:val="single" w:color="auto" w:sz="4" w:space="0"/>
              <w:left w:val="single" w:color="auto" w:sz="4" w:space="0"/>
              <w:bottom w:val="single" w:color="auto" w:sz="4" w:space="0"/>
              <w:right w:val="nil"/>
            </w:tcBorders>
            <w:vAlign w:val="center"/>
          </w:tcPr>
          <w:p>
            <w:pPr>
              <w:widowControl/>
              <w:spacing w:line="260" w:lineRule="exact"/>
              <w:jc w:val="left"/>
              <w:rPr>
                <w:rFonts w:ascii="宋体" w:hAnsi="宋体" w:cs="宋体"/>
                <w:b/>
                <w:kern w:val="0"/>
                <w:sz w:val="18"/>
                <w:szCs w:val="18"/>
              </w:rPr>
            </w:pPr>
          </w:p>
        </w:tc>
        <w:tc>
          <w:tcPr>
            <w:tcW w:w="4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申请件数</w:t>
            </w:r>
          </w:p>
        </w:tc>
        <w:tc>
          <w:tcPr>
            <w:tcW w:w="50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受理件数</w:t>
            </w:r>
          </w:p>
        </w:tc>
        <w:tc>
          <w:tcPr>
            <w:tcW w:w="50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按时办结件数</w:t>
            </w:r>
          </w:p>
        </w:tc>
        <w:tc>
          <w:tcPr>
            <w:tcW w:w="50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未按时办结数</w:t>
            </w:r>
          </w:p>
        </w:tc>
        <w:tc>
          <w:tcPr>
            <w:tcW w:w="58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审批同意件数</w:t>
            </w:r>
          </w:p>
        </w:tc>
        <w:tc>
          <w:tcPr>
            <w:tcW w:w="50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审批不同意件数</w:t>
            </w:r>
          </w:p>
        </w:tc>
        <w:tc>
          <w:tcPr>
            <w:tcW w:w="50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法定办结期限</w:t>
            </w:r>
          </w:p>
        </w:tc>
        <w:tc>
          <w:tcPr>
            <w:tcW w:w="50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承诺办结期限</w:t>
            </w:r>
          </w:p>
        </w:tc>
        <w:tc>
          <w:tcPr>
            <w:tcW w:w="7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公开许可实施过程和结果</w:t>
            </w:r>
            <w:r>
              <w:rPr>
                <w:rFonts w:hint="eastAsia" w:ascii="宋体" w:hAnsi="宋体" w:cs="宋体"/>
                <w:b/>
                <w:kern w:val="0"/>
                <w:sz w:val="18"/>
                <w:szCs w:val="18"/>
              </w:rPr>
              <w:br w:type="textWrapping"/>
            </w:r>
            <w:r>
              <w:rPr>
                <w:rFonts w:hint="eastAsia" w:ascii="宋体" w:hAnsi="宋体" w:cs="宋体"/>
                <w:b/>
                <w:kern w:val="0"/>
                <w:sz w:val="18"/>
                <w:szCs w:val="18"/>
              </w:rPr>
              <w:t>（是/否）</w:t>
            </w:r>
          </w:p>
        </w:tc>
        <w:tc>
          <w:tcPr>
            <w:tcW w:w="672" w:type="dxa"/>
            <w:tcBorders>
              <w:top w:val="nil"/>
              <w:left w:val="nil"/>
              <w:bottom w:val="single" w:color="auto" w:sz="4" w:space="0"/>
              <w:right w:val="single" w:color="auto" w:sz="4" w:space="0"/>
            </w:tcBorders>
            <w:shd w:val="clear" w:color="auto" w:fill="auto"/>
            <w:vAlign w:val="center"/>
          </w:tcPr>
          <w:p>
            <w:pPr>
              <w:widowControl/>
              <w:spacing w:line="260" w:lineRule="exact"/>
              <w:ind w:left="-50" w:leftChars="-24"/>
              <w:jc w:val="center"/>
              <w:rPr>
                <w:rFonts w:ascii="宋体" w:hAnsi="宋体" w:cs="宋体"/>
                <w:b/>
                <w:kern w:val="0"/>
                <w:sz w:val="18"/>
                <w:szCs w:val="18"/>
              </w:rPr>
            </w:pPr>
            <w:r>
              <w:rPr>
                <w:rFonts w:hint="eastAsia" w:ascii="宋体" w:hAnsi="宋体" w:cs="宋体"/>
                <w:b/>
                <w:kern w:val="0"/>
                <w:sz w:val="18"/>
                <w:szCs w:val="18"/>
              </w:rPr>
              <w:t>印发办事指南和工作手册</w:t>
            </w:r>
          </w:p>
          <w:p>
            <w:pPr>
              <w:widowControl/>
              <w:spacing w:line="260" w:lineRule="exact"/>
              <w:ind w:left="-50" w:leftChars="-24"/>
              <w:jc w:val="center"/>
              <w:rPr>
                <w:rFonts w:ascii="宋体" w:hAnsi="宋体" w:cs="宋体"/>
                <w:b/>
                <w:kern w:val="0"/>
                <w:sz w:val="18"/>
                <w:szCs w:val="18"/>
              </w:rPr>
            </w:pPr>
            <w:r>
              <w:rPr>
                <w:rFonts w:hint="eastAsia" w:ascii="宋体" w:hAnsi="宋体" w:cs="宋体"/>
                <w:b/>
                <w:kern w:val="0"/>
                <w:sz w:val="18"/>
                <w:szCs w:val="18"/>
              </w:rPr>
              <w:t>（是/否）</w:t>
            </w:r>
          </w:p>
        </w:tc>
        <w:tc>
          <w:tcPr>
            <w:tcW w:w="505"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投诉</w:t>
            </w:r>
            <w:r>
              <w:rPr>
                <w:rFonts w:hint="eastAsia" w:ascii="宋体" w:hAnsi="宋体" w:cs="宋体"/>
                <w:b/>
                <w:kern w:val="0"/>
                <w:sz w:val="18"/>
                <w:szCs w:val="18"/>
              </w:rPr>
              <w:br w:type="textWrapping"/>
            </w:r>
            <w:r>
              <w:rPr>
                <w:rFonts w:hint="eastAsia" w:ascii="宋体" w:hAnsi="宋体" w:cs="宋体"/>
                <w:b/>
                <w:kern w:val="0"/>
                <w:sz w:val="18"/>
                <w:szCs w:val="18"/>
              </w:rPr>
              <w:t>举报件数</w:t>
            </w:r>
          </w:p>
        </w:tc>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投诉举报调查件数</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查处违法违规案件数</w:t>
            </w:r>
          </w:p>
        </w:tc>
      </w:tr>
      <w:tr>
        <w:tblPrEx>
          <w:tblLayout w:type="fixed"/>
          <w:tblCellMar>
            <w:top w:w="0" w:type="dxa"/>
            <w:left w:w="108" w:type="dxa"/>
            <w:bottom w:w="0" w:type="dxa"/>
            <w:right w:w="108" w:type="dxa"/>
          </w:tblCellMar>
        </w:tblPrEx>
        <w:trPr>
          <w:trHeight w:val="9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w:t>
            </w:r>
          </w:p>
        </w:tc>
        <w:tc>
          <w:tcPr>
            <w:tcW w:w="10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保留的行政许可　</w:t>
            </w:r>
          </w:p>
        </w:tc>
        <w:tc>
          <w:tcPr>
            <w:tcW w:w="1976" w:type="dxa"/>
            <w:tcBorders>
              <w:top w:val="nil"/>
              <w:left w:val="nil"/>
              <w:bottom w:val="single" w:color="auto" w:sz="4" w:space="0"/>
              <w:right w:val="single" w:color="auto" w:sz="4" w:space="0"/>
            </w:tcBorders>
            <w:vAlign w:val="center"/>
          </w:tcPr>
          <w:p>
            <w:pPr>
              <w:widowControl/>
              <w:spacing w:line="260" w:lineRule="exact"/>
              <w:jc w:val="center"/>
              <w:rPr>
                <w:rFonts w:hint="eastAsia" w:ascii="宋体" w:hAnsi="宋体" w:cs="宋体"/>
                <w:kern w:val="0"/>
                <w:sz w:val="18"/>
                <w:szCs w:val="18"/>
              </w:rPr>
            </w:pPr>
            <w:r>
              <w:rPr>
                <w:rFonts w:hint="eastAsia" w:ascii="宋体" w:cs="宋体"/>
                <w:kern w:val="0"/>
                <w:sz w:val="18"/>
                <w:szCs w:val="18"/>
              </w:rPr>
              <w:t>再生育一胎子女审批</w:t>
            </w:r>
          </w:p>
        </w:tc>
        <w:tc>
          <w:tcPr>
            <w:tcW w:w="100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cs="宋体"/>
                <w:kern w:val="0"/>
                <w:sz w:val="18"/>
                <w:szCs w:val="18"/>
              </w:rPr>
            </w:pPr>
          </w:p>
          <w:p>
            <w:pPr>
              <w:widowControl/>
              <w:spacing w:line="260" w:lineRule="exact"/>
              <w:jc w:val="center"/>
              <w:rPr>
                <w:rFonts w:ascii="宋体" w:cs="宋体"/>
                <w:kern w:val="0"/>
                <w:sz w:val="18"/>
                <w:szCs w:val="18"/>
              </w:rPr>
            </w:pPr>
            <w:r>
              <w:rPr>
                <w:rFonts w:hint="eastAsia" w:ascii="宋体" w:cs="宋体"/>
                <w:kern w:val="0"/>
                <w:sz w:val="18"/>
                <w:szCs w:val="18"/>
              </w:rPr>
              <w:t>否</w:t>
            </w:r>
          </w:p>
          <w:p>
            <w:pPr>
              <w:widowControl/>
              <w:spacing w:line="260" w:lineRule="exact"/>
              <w:jc w:val="center"/>
              <w:rPr>
                <w:rFonts w:ascii="宋体" w:hAnsi="宋体" w:cs="宋体"/>
                <w:kern w:val="0"/>
                <w:sz w:val="18"/>
                <w:szCs w:val="18"/>
              </w:rPr>
            </w:pPr>
          </w:p>
        </w:tc>
        <w:tc>
          <w:tcPr>
            <w:tcW w:w="922"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76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89</w:t>
            </w:r>
          </w:p>
        </w:tc>
        <w:tc>
          <w:tcPr>
            <w:tcW w:w="50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89</w:t>
            </w:r>
          </w:p>
        </w:tc>
        <w:tc>
          <w:tcPr>
            <w:tcW w:w="50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89</w:t>
            </w:r>
          </w:p>
        </w:tc>
        <w:tc>
          <w:tcPr>
            <w:tcW w:w="50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0</w:t>
            </w:r>
          </w:p>
        </w:tc>
        <w:tc>
          <w:tcPr>
            <w:tcW w:w="58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89</w:t>
            </w:r>
          </w:p>
        </w:tc>
        <w:tc>
          <w:tcPr>
            <w:tcW w:w="50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ascii="仿宋" w:hAnsi="仿宋" w:eastAsia="仿宋" w:cs="宋体"/>
                <w:kern w:val="0"/>
                <w:sz w:val="18"/>
                <w:szCs w:val="18"/>
              </w:rPr>
              <w:t>0</w:t>
            </w:r>
          </w:p>
        </w:tc>
        <w:tc>
          <w:tcPr>
            <w:tcW w:w="50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15</w:t>
            </w:r>
            <w:r>
              <w:rPr>
                <w:rFonts w:hint="eastAsia" w:ascii="宋体" w:cs="宋体"/>
                <w:kern w:val="0"/>
                <w:sz w:val="18"/>
                <w:szCs w:val="18"/>
              </w:rPr>
              <w:t>工作日</w:t>
            </w:r>
          </w:p>
        </w:tc>
        <w:tc>
          <w:tcPr>
            <w:tcW w:w="50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15</w:t>
            </w:r>
            <w:r>
              <w:rPr>
                <w:rFonts w:hint="eastAsia" w:ascii="宋体" w:cs="宋体"/>
                <w:kern w:val="0"/>
                <w:sz w:val="18"/>
                <w:szCs w:val="18"/>
              </w:rPr>
              <w:t>工作日</w:t>
            </w:r>
          </w:p>
        </w:tc>
        <w:tc>
          <w:tcPr>
            <w:tcW w:w="7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cs="宋体"/>
                <w:kern w:val="0"/>
                <w:sz w:val="18"/>
                <w:szCs w:val="18"/>
              </w:rPr>
              <w:t>否</w:t>
            </w:r>
          </w:p>
        </w:tc>
        <w:tc>
          <w:tcPr>
            <w:tcW w:w="67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cs="宋体"/>
                <w:kern w:val="0"/>
                <w:sz w:val="18"/>
                <w:szCs w:val="18"/>
              </w:rPr>
              <w:t>是</w:t>
            </w:r>
          </w:p>
        </w:tc>
        <w:tc>
          <w:tcPr>
            <w:tcW w:w="505"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ascii="仿宋" w:hAnsi="仿宋" w:eastAsia="仿宋" w:cs="宋体"/>
                <w:kern w:val="0"/>
                <w:sz w:val="18"/>
                <w:szCs w:val="18"/>
              </w:rPr>
              <w:t>0</w:t>
            </w:r>
          </w:p>
        </w:tc>
        <w:tc>
          <w:tcPr>
            <w:tcW w:w="50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0</w:t>
            </w:r>
          </w:p>
        </w:tc>
        <w:tc>
          <w:tcPr>
            <w:tcW w:w="48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0</w:t>
            </w:r>
          </w:p>
        </w:tc>
      </w:tr>
      <w:tr>
        <w:tblPrEx>
          <w:tblLayout w:type="fixed"/>
          <w:tblCellMar>
            <w:top w:w="0" w:type="dxa"/>
            <w:left w:w="108" w:type="dxa"/>
            <w:bottom w:w="0" w:type="dxa"/>
            <w:right w:w="108" w:type="dxa"/>
          </w:tblCellMar>
        </w:tblPrEx>
        <w:trPr>
          <w:trHeight w:val="927"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101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保留的行政许可</w:t>
            </w:r>
          </w:p>
        </w:tc>
        <w:tc>
          <w:tcPr>
            <w:tcW w:w="1976" w:type="dxa"/>
            <w:tcBorders>
              <w:top w:val="single" w:color="auto" w:sz="4" w:space="0"/>
              <w:left w:val="nil"/>
              <w:bottom w:val="single" w:color="auto" w:sz="4" w:space="0"/>
              <w:right w:val="single" w:color="auto" w:sz="4" w:space="0"/>
            </w:tcBorders>
            <w:vAlign w:val="top"/>
          </w:tcPr>
          <w:p>
            <w:pPr>
              <w:widowControl/>
              <w:spacing w:line="260" w:lineRule="exact"/>
              <w:jc w:val="center"/>
              <w:rPr>
                <w:rFonts w:hint="eastAsia" w:ascii="宋体" w:hAnsi="宋体" w:cs="宋体"/>
                <w:kern w:val="0"/>
                <w:sz w:val="18"/>
                <w:szCs w:val="18"/>
              </w:rPr>
            </w:pPr>
          </w:p>
          <w:p>
            <w:pPr>
              <w:widowControl/>
              <w:spacing w:line="260" w:lineRule="exact"/>
              <w:ind w:firstLine="180" w:firstLineChars="100"/>
              <w:jc w:val="center"/>
              <w:rPr>
                <w:rFonts w:ascii="宋体" w:hAnsi="宋体" w:cs="宋体"/>
                <w:kern w:val="0"/>
                <w:sz w:val="18"/>
                <w:szCs w:val="18"/>
              </w:rPr>
            </w:pPr>
            <w:r>
              <w:rPr>
                <w:rFonts w:hint="eastAsia" w:ascii="宋体" w:hAnsi="宋体" w:cs="宋体"/>
                <w:kern w:val="0"/>
                <w:sz w:val="18"/>
                <w:szCs w:val="18"/>
              </w:rPr>
              <w:t>食品摊贩登记</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p>
            <w:pPr>
              <w:spacing w:line="260" w:lineRule="exact"/>
              <w:ind w:left="57" w:leftChars="0"/>
              <w:jc w:val="center"/>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76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50</w:t>
            </w:r>
          </w:p>
        </w:tc>
        <w:tc>
          <w:tcPr>
            <w:tcW w:w="50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50</w:t>
            </w:r>
          </w:p>
        </w:tc>
        <w:tc>
          <w:tcPr>
            <w:tcW w:w="50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50</w:t>
            </w:r>
          </w:p>
        </w:tc>
        <w:tc>
          <w:tcPr>
            <w:tcW w:w="50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50</w:t>
            </w:r>
          </w:p>
        </w:tc>
        <w:tc>
          <w:tcPr>
            <w:tcW w:w="50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15</w:t>
            </w:r>
            <w:r>
              <w:rPr>
                <w:rFonts w:hint="eastAsia" w:ascii="宋体" w:cs="宋体"/>
                <w:kern w:val="0"/>
                <w:sz w:val="18"/>
                <w:szCs w:val="18"/>
              </w:rPr>
              <w:t>工作日</w:t>
            </w:r>
          </w:p>
        </w:tc>
        <w:tc>
          <w:tcPr>
            <w:tcW w:w="50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ascii="宋体" w:cs="宋体"/>
                <w:kern w:val="0"/>
                <w:sz w:val="18"/>
                <w:szCs w:val="18"/>
              </w:rPr>
              <w:t>15</w:t>
            </w:r>
            <w:r>
              <w:rPr>
                <w:rFonts w:hint="eastAsia" w:ascii="宋体" w:cs="宋体"/>
                <w:kern w:val="0"/>
                <w:sz w:val="18"/>
                <w:szCs w:val="18"/>
              </w:rPr>
              <w:t>工作日</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505"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bl>
    <w:p>
      <w:pPr>
        <w:rPr>
          <w:rFonts w:ascii="黑体" w:eastAsia="黑体"/>
        </w:rPr>
        <w:sectPr>
          <w:pgSz w:w="16838" w:h="11906" w:orient="landscape"/>
          <w:pgMar w:top="1871" w:right="1134" w:bottom="1588" w:left="1021" w:header="851" w:footer="1474" w:gutter="0"/>
          <w:pgNumType w:fmt="numberInDash"/>
          <w:cols w:space="720" w:num="1"/>
          <w:docGrid w:type="lines" w:linePitch="444" w:charSpace="0"/>
        </w:sectPr>
      </w:pPr>
    </w:p>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ascii="仿宋_GB2312" w:eastAsia="仿宋_GB2312"/>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w:t>
    </w:r>
    <w:r>
      <w:t xml:space="preserve"> 2 -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77753"/>
    <w:rsid w:val="0CF70571"/>
    <w:rsid w:val="10017DC3"/>
    <w:rsid w:val="1AA77753"/>
    <w:rsid w:val="1CC645E2"/>
    <w:rsid w:val="280E69C0"/>
    <w:rsid w:val="46AC3944"/>
    <w:rsid w:val="67171286"/>
    <w:rsid w:val="7D123C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paragraph" w:customStyle="1" w:styleId="5">
    <w:name w:val="p0"/>
    <w:basedOn w:val="1"/>
    <w:qFormat/>
    <w:uiPriority w:val="99"/>
    <w:pPr>
      <w:widowControl/>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2018-03-05T01:45:00Z</dcterms:created>
  <dc:creator>2015040607</dc:creator>
  <cp:lastModifiedBy>Administrator</cp:lastModifiedBy>
  <cp:lastPrinted>2018-03-05T02:22:00Z</cp:lastPrinted>
  <dcterms:modified xsi:type="dcterms:W3CDTF">2018-03-19T06:14:13Z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