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Calibri" w:hAnsi="Calibri" w:eastAsia="方正小标宋简体" w:cs="Times New Roman"/>
          <w:color w:val="auto"/>
          <w:spacing w:val="16"/>
          <w:sz w:val="44"/>
          <w:szCs w:val="44"/>
          <w:highlight w:val="none"/>
          <w:lang w:val="en-US" w:eastAsia="zh-CN"/>
        </w:rPr>
      </w:pPr>
      <w:bookmarkStart w:id="0" w:name="_GoBack"/>
      <w:r>
        <w:rPr>
          <w:rFonts w:hint="eastAsia" w:ascii="方正小标宋简体" w:hAnsi="方正小标宋简体" w:eastAsia="方正小标宋简体" w:cs="方正小标宋简体"/>
          <w:color w:val="auto"/>
          <w:spacing w:val="16"/>
          <w:sz w:val="44"/>
          <w:szCs w:val="44"/>
          <w:highlight w:val="none"/>
          <w:lang w:val="en-US" w:eastAsia="zh-CN"/>
        </w:rPr>
        <w:t>2022年</w:t>
      </w:r>
      <w:r>
        <w:rPr>
          <w:rFonts w:hint="eastAsia" w:ascii="Calibri" w:hAnsi="Calibri" w:eastAsia="方正小标宋简体" w:cs="Times New Roman"/>
          <w:color w:val="auto"/>
          <w:spacing w:val="16"/>
          <w:sz w:val="44"/>
          <w:szCs w:val="44"/>
          <w:highlight w:val="none"/>
          <w:lang w:val="en-US" w:eastAsia="zh-CN"/>
        </w:rPr>
        <w:t>广州市增城区促外贸稳增长</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Calibri" w:hAnsi="Calibri" w:eastAsia="方正小标宋简体" w:cs="Times New Roman"/>
          <w:color w:val="auto"/>
          <w:spacing w:val="16"/>
          <w:sz w:val="44"/>
          <w:szCs w:val="44"/>
          <w:highlight w:val="none"/>
          <w:lang w:val="en-US" w:eastAsia="zh-CN"/>
        </w:rPr>
      </w:pPr>
      <w:r>
        <w:rPr>
          <w:rFonts w:hint="eastAsia" w:ascii="Calibri" w:hAnsi="Calibri" w:eastAsia="方正小标宋简体" w:cs="Times New Roman"/>
          <w:color w:val="auto"/>
          <w:spacing w:val="16"/>
          <w:sz w:val="44"/>
          <w:szCs w:val="44"/>
          <w:highlight w:val="none"/>
          <w:lang w:val="en-US" w:eastAsia="zh-CN"/>
        </w:rPr>
        <w:t>扶持办法</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color w:val="auto"/>
          <w:spacing w:val="16"/>
          <w:sz w:val="36"/>
          <w:szCs w:val="36"/>
          <w:highlight w:val="none"/>
          <w:lang w:val="en-US" w:eastAsia="zh-CN"/>
        </w:rPr>
      </w:pPr>
      <w:r>
        <w:rPr>
          <w:rFonts w:hint="eastAsia" w:ascii="仿宋_GB2312" w:hAnsi="仿宋_GB2312" w:eastAsia="仿宋_GB2312" w:cs="仿宋_GB2312"/>
          <w:b w:val="0"/>
          <w:bCs w:val="0"/>
          <w:color w:val="auto"/>
          <w:spacing w:val="16"/>
          <w:sz w:val="36"/>
          <w:szCs w:val="36"/>
          <w:highlight w:val="none"/>
          <w:lang w:val="en-US" w:eastAsia="zh-CN"/>
        </w:rPr>
        <w:t>（公开征求意见稿）</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color w:val="auto"/>
          <w:sz w:val="32"/>
          <w:szCs w:val="32"/>
          <w:highlight w:val="none"/>
          <w:lang w:val="en-US" w:eastAsia="zh-CN"/>
        </w:rPr>
      </w:pPr>
    </w:p>
    <w:p>
      <w:pPr>
        <w:keepNext w:val="0"/>
        <w:keepLines w:val="0"/>
        <w:pageBreakBefore w:val="0"/>
        <w:numPr>
          <w:ilvl w:val="0"/>
          <w:numId w:val="1"/>
        </w:numPr>
        <w:kinsoku/>
        <w:wordWrap/>
        <w:overflowPunct/>
        <w:topLinePunct w:val="0"/>
        <w:autoSpaceDE/>
        <w:autoSpaceDN/>
        <w:bidi w:val="0"/>
        <w:adjustRightInd/>
        <w:snapToGrid w:val="0"/>
        <w:spacing w:line="560" w:lineRule="exact"/>
        <w:jc w:val="center"/>
        <w:textAlignment w:val="auto"/>
        <w:rPr>
          <w:rFonts w:hint="eastAsia"/>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总则</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10" w:leftChars="0"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第一条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贯彻落实中央、省、市推动贸易高质量发展的决策部署，加快推进我区跨境电子商务集聚发展，促进我区贸易新业态扩容提质；保障外贸企业供应链稳定畅通，全力助企纾困；支持企业规范运作、通关便利，结合我区实际，制定本办法。</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8" w:leftChars="0" w:firstLine="678" w:firstLineChars="212"/>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本办法适用于</w:t>
      </w:r>
      <w:r>
        <w:rPr>
          <w:rFonts w:hint="eastAsia" w:ascii="仿宋_GB2312" w:hAnsi="仿宋_GB2312" w:eastAsia="仿宋_GB2312" w:cs="仿宋_GB2312"/>
          <w:color w:val="auto"/>
          <w:sz w:val="32"/>
          <w:szCs w:val="32"/>
          <w:highlight w:val="none"/>
          <w:lang w:val="en-US" w:eastAsia="zh-CN"/>
        </w:rPr>
        <w:t>在增城从事生产经营活动、依法纳税、纳统，</w:t>
      </w:r>
      <w:r>
        <w:rPr>
          <w:rFonts w:hint="eastAsia" w:ascii="仿宋_GB2312" w:hAnsi="仿宋_GB2312" w:eastAsia="仿宋_GB2312" w:cs="仿宋_GB2312"/>
          <w:color w:val="auto"/>
          <w:sz w:val="32"/>
          <w:szCs w:val="32"/>
          <w:highlight w:val="none"/>
          <w:lang w:val="en-US" w:eastAsia="zh-CN"/>
        </w:rPr>
        <w:t>且未被“信用中国”平台列入失信黑名单的独立法人企业。</w:t>
      </w:r>
    </w:p>
    <w:p>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numPr>
          <w:ilvl w:val="0"/>
          <w:numId w:val="1"/>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支持跨境电子商务集聚发展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strike w:val="0"/>
          <w:dstrike w:val="0"/>
          <w:color w:val="auto"/>
          <w:sz w:val="32"/>
          <w:szCs w:val="32"/>
          <w:highlight w:val="none"/>
          <w:lang w:val="en-US" w:eastAsia="zh-CN"/>
        </w:rPr>
        <w:t>第三条</w:t>
      </w:r>
      <w:r>
        <w:rPr>
          <w:rFonts w:hint="eastAsia" w:ascii="仿宋_GB2312" w:hAnsi="仿宋_GB2312" w:eastAsia="仿宋_GB2312" w:cs="仿宋_GB2312"/>
          <w:strike w:val="0"/>
          <w:dstrike w:val="0"/>
          <w:color w:val="auto"/>
          <w:sz w:val="32"/>
          <w:szCs w:val="32"/>
          <w:highlight w:val="none"/>
          <w:lang w:val="en-US" w:eastAsia="zh-CN"/>
        </w:rPr>
        <w:t xml:space="preserve"> 对</w:t>
      </w:r>
      <w:r>
        <w:rPr>
          <w:rFonts w:hint="eastAsia" w:ascii="仿宋_GB2312" w:hAnsi="仿宋_GB2312" w:eastAsia="仿宋_GB2312" w:cs="仿宋_GB2312"/>
          <w:color w:val="auto"/>
          <w:sz w:val="32"/>
          <w:szCs w:val="32"/>
          <w:highlight w:val="none"/>
          <w:lang w:val="en-US" w:eastAsia="zh-CN"/>
        </w:rPr>
        <w:t>跨境电商经营企业在2022年1月1日至2022年12月31日期间，</w:t>
      </w:r>
      <w:r>
        <w:rPr>
          <w:rFonts w:hint="default" w:ascii="仿宋_GB2312" w:hAnsi="仿宋_GB2312" w:eastAsia="仿宋_GB2312" w:cs="仿宋_GB2312"/>
          <w:color w:val="auto"/>
          <w:sz w:val="32"/>
          <w:szCs w:val="32"/>
          <w:highlight w:val="none"/>
          <w:lang w:val="en-US" w:eastAsia="zh-CN"/>
        </w:rPr>
        <w:t>对外贸易额超过</w:t>
      </w:r>
      <w:r>
        <w:rPr>
          <w:rFonts w:hint="eastAsia" w:ascii="仿宋_GB2312" w:hAnsi="仿宋_GB2312" w:eastAsia="仿宋_GB2312" w:cs="仿宋_GB2312"/>
          <w:color w:val="auto"/>
          <w:sz w:val="32"/>
          <w:szCs w:val="32"/>
          <w:highlight w:val="none"/>
          <w:lang w:val="en-US" w:eastAsia="zh-CN"/>
        </w:rPr>
        <w:t>2000万美元、</w:t>
      </w:r>
      <w:r>
        <w:rPr>
          <w:rFonts w:hint="default" w:ascii="仿宋_GB2312" w:hAnsi="仿宋_GB2312" w:eastAsia="仿宋_GB2312" w:cs="仿宋_GB2312"/>
          <w:color w:val="auto"/>
          <w:sz w:val="32"/>
          <w:szCs w:val="32"/>
          <w:highlight w:val="none"/>
          <w:lang w:val="en-US" w:eastAsia="zh-CN"/>
        </w:rPr>
        <w:t>5000万美元、1亿美元，且同比增长20%以上的，分别给予</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val="en-US" w:eastAsia="zh-CN"/>
        </w:rPr>
        <w:t>20</w:t>
      </w:r>
      <w:r>
        <w:rPr>
          <w:rFonts w:hint="default" w:ascii="仿宋_GB2312" w:hAnsi="仿宋_GB2312" w:eastAsia="仿宋_GB2312" w:cs="仿宋_GB2312"/>
          <w:color w:val="auto"/>
          <w:sz w:val="32"/>
          <w:szCs w:val="32"/>
          <w:highlight w:val="none"/>
          <w:lang w:val="en-US" w:eastAsia="zh-CN"/>
        </w:rPr>
        <w:t>0万元的扶持。上年度对外贸易额无基数的，以</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lang w:val="en-US" w:eastAsia="zh-CN"/>
        </w:rPr>
        <w:t>00万美元作为基数。</w:t>
      </w:r>
      <w:r>
        <w:rPr>
          <w:rFonts w:hint="eastAsia" w:ascii="仿宋_GB2312" w:hAnsi="仿宋_GB2312" w:eastAsia="仿宋_GB2312" w:cs="仿宋_GB2312"/>
          <w:color w:val="auto"/>
          <w:sz w:val="32"/>
          <w:szCs w:val="32"/>
          <w:highlight w:val="none"/>
          <w:lang w:val="en-US" w:eastAsia="zh-CN"/>
        </w:rPr>
        <w:t>申请企业需在开展跨境电子商务贸易前到我区商务部门进行备案。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第四条</w:t>
      </w:r>
      <w:r>
        <w:rPr>
          <w:rFonts w:hint="eastAsia" w:ascii="仿宋_GB2312" w:hAnsi="仿宋_GB2312" w:eastAsia="仿宋_GB2312" w:cs="仿宋_GB2312"/>
          <w:color w:val="auto"/>
          <w:kern w:val="2"/>
          <w:sz w:val="32"/>
          <w:szCs w:val="32"/>
          <w:highlight w:val="none"/>
          <w:u w:val="none"/>
          <w:lang w:val="en-US" w:eastAsia="zh-CN" w:bidi="ar-SA"/>
        </w:rPr>
        <w:t xml:space="preserve"> </w:t>
      </w:r>
      <w:r>
        <w:rPr>
          <w:rFonts w:hint="default" w:ascii="仿宋_GB2312" w:hAnsi="仿宋_GB2312" w:eastAsia="仿宋_GB2312" w:cs="仿宋_GB2312"/>
          <w:color w:val="auto"/>
          <w:kern w:val="2"/>
          <w:sz w:val="32"/>
          <w:szCs w:val="32"/>
          <w:highlight w:val="none"/>
          <w:u w:val="none"/>
          <w:lang w:val="en-US" w:eastAsia="zh-CN" w:bidi="ar-SA"/>
        </w:rPr>
        <w:t>对跨境电商监管中心</w:t>
      </w:r>
      <w:r>
        <w:rPr>
          <w:rFonts w:hint="eastAsia" w:ascii="仿宋_GB2312" w:hAnsi="仿宋_GB2312" w:eastAsia="仿宋_GB2312" w:cs="仿宋_GB2312"/>
          <w:color w:val="auto"/>
          <w:kern w:val="2"/>
          <w:sz w:val="32"/>
          <w:szCs w:val="32"/>
          <w:highlight w:val="none"/>
          <w:u w:val="none"/>
          <w:lang w:val="en-US" w:eastAsia="zh-CN" w:bidi="ar-SA"/>
        </w:rPr>
        <w:t>（跨境电商园区）</w:t>
      </w:r>
      <w:r>
        <w:rPr>
          <w:rFonts w:hint="eastAsia" w:ascii="仿宋_GB2312" w:hAnsi="仿宋_GB2312" w:eastAsia="仿宋_GB2312" w:cs="仿宋_GB2312"/>
          <w:color w:val="auto"/>
          <w:sz w:val="32"/>
          <w:szCs w:val="32"/>
          <w:highlight w:val="none"/>
          <w:lang w:val="en-US" w:eastAsia="zh-CN"/>
        </w:rPr>
        <w:t>2022</w:t>
      </w:r>
      <w:r>
        <w:rPr>
          <w:rFonts w:hint="default" w:ascii="仿宋_GB2312" w:hAnsi="仿宋_GB2312" w:eastAsia="仿宋_GB2312" w:cs="仿宋_GB2312"/>
          <w:color w:val="auto"/>
          <w:kern w:val="2"/>
          <w:sz w:val="32"/>
          <w:szCs w:val="32"/>
          <w:highlight w:val="none"/>
          <w:u w:val="none"/>
          <w:lang w:val="en-US" w:eastAsia="zh-CN" w:bidi="ar-SA"/>
        </w:rPr>
        <w:t>年跨境电子商务包裹量达到500万件、300万件</w:t>
      </w:r>
      <w:r>
        <w:rPr>
          <w:rFonts w:hint="eastAsia" w:ascii="仿宋_GB2312" w:hAnsi="仿宋_GB2312" w:eastAsia="仿宋_GB2312" w:cs="仿宋_GB2312"/>
          <w:color w:val="auto"/>
          <w:kern w:val="2"/>
          <w:sz w:val="32"/>
          <w:szCs w:val="32"/>
          <w:highlight w:val="none"/>
          <w:u w:val="none"/>
          <w:lang w:val="en-US" w:eastAsia="zh-CN" w:bidi="ar-SA"/>
        </w:rPr>
        <w:t>、200万件</w:t>
      </w:r>
      <w:r>
        <w:rPr>
          <w:rFonts w:hint="default" w:ascii="仿宋_GB2312" w:hAnsi="仿宋_GB2312" w:eastAsia="仿宋_GB2312" w:cs="仿宋_GB2312"/>
          <w:color w:val="auto"/>
          <w:kern w:val="2"/>
          <w:sz w:val="32"/>
          <w:szCs w:val="32"/>
          <w:highlight w:val="none"/>
          <w:u w:val="none"/>
          <w:lang w:val="en-US" w:eastAsia="zh-CN" w:bidi="ar-SA"/>
        </w:rPr>
        <w:t>以上，且对应比上年度增长5%、10%、20%以上的，分别给予100万元、50</w:t>
      </w:r>
      <w:r>
        <w:rPr>
          <w:rFonts w:hint="eastAsia" w:ascii="仿宋_GB2312" w:hAnsi="仿宋_GB2312" w:eastAsia="仿宋_GB2312" w:cs="仿宋_GB2312"/>
          <w:color w:val="auto"/>
          <w:kern w:val="2"/>
          <w:sz w:val="32"/>
          <w:szCs w:val="32"/>
          <w:highlight w:val="none"/>
          <w:u w:val="none"/>
          <w:lang w:val="en-US" w:eastAsia="zh-CN" w:bidi="ar-SA"/>
        </w:rPr>
        <w:t>万元、30</w:t>
      </w:r>
      <w:r>
        <w:rPr>
          <w:rFonts w:hint="default" w:ascii="仿宋_GB2312" w:hAnsi="仿宋_GB2312" w:eastAsia="仿宋_GB2312" w:cs="仿宋_GB2312"/>
          <w:color w:val="auto"/>
          <w:kern w:val="2"/>
          <w:sz w:val="32"/>
          <w:szCs w:val="32"/>
          <w:highlight w:val="none"/>
          <w:u w:val="none"/>
          <w:lang w:val="en-US" w:eastAsia="zh-CN" w:bidi="ar-SA"/>
        </w:rPr>
        <w:t>万元资金扶持。上年度无基数的，以</w:t>
      </w:r>
      <w:r>
        <w:rPr>
          <w:rFonts w:hint="eastAsia" w:ascii="仿宋_GB2312" w:hAnsi="仿宋_GB2312" w:eastAsia="仿宋_GB2312" w:cs="仿宋_GB2312"/>
          <w:color w:val="auto"/>
          <w:kern w:val="2"/>
          <w:sz w:val="32"/>
          <w:szCs w:val="32"/>
          <w:highlight w:val="none"/>
          <w:u w:val="none"/>
          <w:lang w:val="en-US" w:eastAsia="zh-CN" w:bidi="ar-SA"/>
        </w:rPr>
        <w:t>15</w:t>
      </w:r>
      <w:r>
        <w:rPr>
          <w:rFonts w:hint="default" w:ascii="仿宋_GB2312" w:hAnsi="仿宋_GB2312" w:eastAsia="仿宋_GB2312" w:cs="仿宋_GB2312"/>
          <w:color w:val="auto"/>
          <w:kern w:val="2"/>
          <w:sz w:val="32"/>
          <w:szCs w:val="32"/>
          <w:highlight w:val="none"/>
          <w:u w:val="none"/>
          <w:lang w:val="en-US" w:eastAsia="zh-CN" w:bidi="ar-SA"/>
        </w:rPr>
        <w:t>0万件作为基数。</w:t>
      </w:r>
      <w:r>
        <w:rPr>
          <w:rFonts w:hint="eastAsia" w:ascii="仿宋_GB2312" w:hAnsi="仿宋_GB2312" w:eastAsia="仿宋_GB2312" w:cs="仿宋_GB2312"/>
          <w:color w:val="auto"/>
          <w:kern w:val="2"/>
          <w:sz w:val="32"/>
          <w:szCs w:val="32"/>
          <w:highlight w:val="none"/>
          <w:u w:val="none"/>
          <w:lang w:val="en-US" w:eastAsia="zh-CN" w:bidi="ar-SA"/>
        </w:rPr>
        <w:t>跨境电商监管中心（跨境电商园区）需取得海关部门经营海关监管作业场所的企业注册登记证书</w:t>
      </w:r>
      <w:r>
        <w:rPr>
          <w:rFonts w:hint="eastAsia" w:ascii="仿宋_GB2312" w:hAnsi="仿宋_GB2312" w:eastAsia="仿宋_GB2312" w:cs="仿宋_GB2312"/>
          <w:color w:val="auto"/>
          <w:kern w:val="2"/>
          <w:sz w:val="32"/>
          <w:szCs w:val="32"/>
          <w:highlight w:val="none"/>
          <w:u w:val="none"/>
          <w:lang w:val="en-US" w:eastAsia="zh-CN" w:bidi="ar-SA"/>
        </w:rPr>
        <w:t>等相关证明材料。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kern w:val="2"/>
          <w:sz w:val="32"/>
          <w:szCs w:val="32"/>
          <w:highlight w:val="none"/>
          <w:lang w:val="en-US" w:eastAsia="zh-CN" w:bidi="ar-SA"/>
        </w:rPr>
        <w:t>第五条</w:t>
      </w:r>
      <w:r>
        <w:rPr>
          <w:rFonts w:hint="eastAsia" w:ascii="仿宋" w:hAnsi="仿宋" w:eastAsia="仿宋" w:cstheme="minorBidi"/>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本办法所称“</w:t>
      </w:r>
      <w:r>
        <w:rPr>
          <w:rFonts w:hint="eastAsia" w:ascii="仿宋_GB2312" w:hAnsi="仿宋_GB2312" w:eastAsia="仿宋_GB2312" w:cs="仿宋_GB2312"/>
          <w:color w:val="auto"/>
          <w:sz w:val="32"/>
          <w:szCs w:val="32"/>
          <w:highlight w:val="none"/>
          <w:u w:val="none"/>
          <w:lang w:val="en-US" w:eastAsia="zh-CN"/>
        </w:rPr>
        <w:t>跨境电商经营企业</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是指自建跨境电商平台开展进出口业务以及借助第三方跨境平台开展进出口业务的企业。</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跨境电子商务对外贸易额</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是指海关纳入我区统计的跨境电商货物金额，包括B2B2C进口、B2B2C出口、B2C进口、B2C出口等货物金额。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企业实际跨境电商贸易进出口总额应以广州电子单一窗口跨境电商平台数据一致，不一致的以广州电子单一窗口跨境电商平台数据为准。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60" w:firstLineChars="200"/>
        <w:jc w:val="left"/>
        <w:textAlignment w:val="auto"/>
        <w:rPr>
          <w:rFonts w:hint="eastAsia" w:ascii="楷体_GB2312" w:hAnsi="楷体_GB2312" w:eastAsia="楷体_GB2312" w:cs="楷体_GB2312"/>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第三章 畅通外贸供应链</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第六条</w:t>
      </w:r>
      <w:r>
        <w:rPr>
          <w:rFonts w:hint="eastAsia" w:ascii="仿宋_GB2312" w:hAnsi="仿宋_GB2312" w:eastAsia="仿宋_GB2312" w:cs="仿宋_GB2312"/>
          <w:color w:val="auto"/>
          <w:kern w:val="2"/>
          <w:sz w:val="32"/>
          <w:szCs w:val="32"/>
          <w:highlight w:val="none"/>
          <w:u w:val="none"/>
          <w:lang w:val="en-US" w:eastAsia="zh-CN" w:bidi="ar-SA"/>
        </w:rPr>
        <w:t xml:space="preserve"> 对在特殊时期因跨境物流受阻且当年商品进出口额超过5000万元（含）以上的企业，按实际发生跨境海运物流运输费用的10%给予物流补贴，每家企业扶持资金不超过50万元。该项扶持金总额每年为2000万元，企业申请资金总额超过2000万元时，按比例分配资金。</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第七条</w:t>
      </w:r>
      <w:r>
        <w:rPr>
          <w:rFonts w:hint="eastAsia" w:ascii="仿宋_GB2312" w:hAnsi="仿宋_GB2312" w:eastAsia="仿宋_GB2312" w:cs="仿宋_GB2312"/>
          <w:color w:val="auto"/>
          <w:kern w:val="2"/>
          <w:sz w:val="32"/>
          <w:szCs w:val="32"/>
          <w:highlight w:val="none"/>
          <w:u w:val="none"/>
          <w:lang w:val="en-US" w:eastAsia="zh-CN" w:bidi="ar-SA"/>
        </w:rPr>
        <w:t xml:space="preserve"> 企业实际商品进出口总额应在增城区纳统，应与海关结关数据一致，不一致的以海关结关数据为准。企业实际商品进出口总额，不包括商品进入特殊监管区域的数据。</w:t>
      </w:r>
    </w:p>
    <w:p>
      <w:pPr>
        <w:pStyle w:val="2"/>
        <w:rPr>
          <w:rFonts w:hint="default"/>
          <w:color w:val="auto"/>
          <w:highlight w:val="none"/>
          <w:lang w:val="en-US" w:eastAsia="zh-CN"/>
        </w:rPr>
      </w:pPr>
      <w:r>
        <w:rPr>
          <w:rFonts w:hint="eastAsia" w:ascii="楷体_GB2312" w:hAnsi="楷体_GB2312" w:eastAsia="楷体_GB2312" w:cs="楷体_GB2312"/>
          <w:color w:val="auto"/>
          <w:sz w:val="28"/>
          <w:szCs w:val="28"/>
          <w:highlight w:val="none"/>
          <w:lang w:val="en-US" w:eastAsia="zh-CN"/>
        </w:rPr>
        <w:t xml:space="preserve">   </w:t>
      </w:r>
    </w:p>
    <w:p>
      <w:pPr>
        <w:pStyle w:val="2"/>
        <w:keepNext w:val="0"/>
        <w:keepLines w:val="0"/>
        <w:pageBreakBefore w:val="0"/>
        <w:kinsoku/>
        <w:wordWrap/>
        <w:overflowPunct/>
        <w:topLinePunct w:val="0"/>
        <w:autoSpaceDE/>
        <w:autoSpaceDN/>
        <w:bidi w:val="0"/>
        <w:adjustRightInd/>
        <w:snapToGrid w:val="0"/>
        <w:spacing w:line="560" w:lineRule="exact"/>
        <w:textAlignment w:val="auto"/>
        <w:rPr>
          <w:rFonts w:hint="eastAsia" w:ascii="楷体_GB2312" w:hAnsi="楷体_GB2312" w:eastAsia="楷体_GB2312" w:cs="楷体_GB2312"/>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第四章 认证奖励</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color w:val="auto"/>
          <w:highlight w:val="none"/>
          <w:lang w:val="en-US" w:eastAsia="zh-CN"/>
        </w:rPr>
      </w:pPr>
      <w:r>
        <w:rPr>
          <w:rFonts w:hint="eastAsia" w:ascii="黑体" w:hAnsi="黑体" w:eastAsia="黑体" w:cs="黑体"/>
          <w:color w:val="auto"/>
          <w:kern w:val="2"/>
          <w:sz w:val="32"/>
          <w:szCs w:val="32"/>
          <w:highlight w:val="none"/>
          <w:u w:val="none"/>
          <w:lang w:val="en-US" w:eastAsia="zh-CN" w:bidi="ar-SA"/>
        </w:rPr>
        <w:t xml:space="preserve">第八条 </w:t>
      </w:r>
      <w:r>
        <w:rPr>
          <w:rFonts w:hint="eastAsia" w:ascii="仿宋_GB2312" w:hAnsi="仿宋_GB2312" w:eastAsia="仿宋_GB2312" w:cs="仿宋_GB2312"/>
          <w:color w:val="auto"/>
          <w:kern w:val="2"/>
          <w:sz w:val="32"/>
          <w:szCs w:val="32"/>
          <w:highlight w:val="none"/>
          <w:lang w:val="en-US" w:eastAsia="zh-CN" w:bidi="ar-SA"/>
        </w:rPr>
        <w:t>对2021年后新注册或首次通过AEO（Authorized Economic Operator）高级认证的企业，给予一次性20万元奖励；已获得AEO高级认证，复审后再次获得的，给予一次性10万元奖励。</w:t>
      </w:r>
    </w:p>
    <w:p>
      <w:pPr>
        <w:pStyle w:val="2"/>
        <w:keepNext w:val="0"/>
        <w:keepLines w:val="0"/>
        <w:pageBreakBefore w:val="0"/>
        <w:kinsoku/>
        <w:wordWrap/>
        <w:overflowPunct/>
        <w:topLinePunct w:val="0"/>
        <w:autoSpaceDE/>
        <w:autoSpaceDN/>
        <w:bidi w:val="0"/>
        <w:adjustRightInd/>
        <w:snapToGrid w:val="0"/>
        <w:spacing w:line="560" w:lineRule="exact"/>
        <w:textAlignment w:val="auto"/>
        <w:rPr>
          <w:rFonts w:hint="eastAsia"/>
          <w:color w:val="auto"/>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仿宋" w:hAnsi="仿宋" w:eastAsia="仿宋" w:cstheme="minorBidi"/>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第五章  项目管理</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第九条</w:t>
      </w:r>
      <w:r>
        <w:rPr>
          <w:rFonts w:hint="eastAsia" w:ascii="仿宋_GB2312" w:hAnsi="仿宋_GB2312" w:eastAsia="仿宋_GB2312" w:cs="仿宋_GB2312"/>
          <w:color w:val="auto"/>
          <w:kern w:val="2"/>
          <w:sz w:val="32"/>
          <w:szCs w:val="32"/>
          <w:highlight w:val="none"/>
          <w:lang w:val="en-US" w:eastAsia="zh-CN" w:bidi="ar-SA"/>
        </w:rPr>
        <w:t xml:space="preserve"> 区科工商信局要规范资金管理，参照增城区商务发展专项资金管理办法对资金使用情况进行审计或绩效评价，区财政部门按照规定履行资金管理职责。</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第十条 </w:t>
      </w:r>
      <w:r>
        <w:rPr>
          <w:rFonts w:hint="eastAsia" w:ascii="仿宋_GB2312" w:hAnsi="仿宋_GB2312" w:eastAsia="仿宋_GB2312" w:cs="仿宋_GB2312"/>
          <w:color w:val="auto"/>
          <w:kern w:val="2"/>
          <w:sz w:val="32"/>
          <w:szCs w:val="32"/>
          <w:highlight w:val="none"/>
          <w:lang w:val="en-US" w:eastAsia="zh-CN" w:bidi="ar-SA"/>
        </w:rPr>
        <w:t>企业对申报材料真实性负责，要配合区科工商信局或由其委托第三方机构开展的审计、绩效评价工作。</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第十一条 </w:t>
      </w:r>
      <w:r>
        <w:rPr>
          <w:rFonts w:hint="eastAsia" w:ascii="仿宋_GB2312" w:hAnsi="仿宋_GB2312" w:eastAsia="仿宋_GB2312" w:cs="仿宋_GB2312"/>
          <w:color w:val="auto"/>
          <w:kern w:val="2"/>
          <w:sz w:val="32"/>
          <w:szCs w:val="32"/>
          <w:highlight w:val="none"/>
          <w:lang w:val="en-US" w:eastAsia="zh-CN" w:bidi="ar-SA"/>
        </w:rPr>
        <w:t>申报单位在资金申报和使用过程中，存在虚报、冒领等手段骗取财政资金，截留、挪用或擅自改变财政资金用途等违法行为的，按照《财政违法行为处罚处分条例》等法律法规处理，追回资金，涉嫌犯罪的依法移交司法机关追究刑事责任。</w:t>
      </w:r>
    </w:p>
    <w:p>
      <w:pPr>
        <w:keepNext w:val="0"/>
        <w:keepLines w:val="0"/>
        <w:pageBreakBefore w:val="0"/>
        <w:numPr>
          <w:ilvl w:val="0"/>
          <w:numId w:val="0"/>
        </w:numPr>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第六章</w:t>
      </w:r>
      <w:r>
        <w:rPr>
          <w:rFonts w:hint="eastAsia" w:ascii="黑体" w:hAnsi="黑体" w:eastAsia="黑体" w:cs="黑体"/>
          <w:color w:val="auto"/>
          <w:sz w:val="32"/>
          <w:szCs w:val="32"/>
          <w:highlight w:val="none"/>
          <w:lang w:val="en-US" w:eastAsia="zh-CN"/>
        </w:rPr>
        <w:t xml:space="preserve">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第十二条</w:t>
      </w:r>
      <w:r>
        <w:rPr>
          <w:rFonts w:hint="eastAsia" w:ascii="仿宋" w:hAnsi="仿宋" w:eastAsia="仿宋" w:cstheme="minorBidi"/>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符合本办法的同一项目、同一事项，同时符合本区其他扶持政策规定（含上级部门要求区里配套或负担资金的政策规定）的，按从高不重复的原则予以支持，另有规定的除外。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宋体"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第十三条</w:t>
      </w:r>
      <w:r>
        <w:rPr>
          <w:rFonts w:hint="eastAsia" w:ascii="仿宋" w:hAnsi="仿宋" w:eastAsia="仿宋" w:cstheme="minorBidi"/>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Hans" w:bidi="ar-SA"/>
        </w:rPr>
        <w:t>本</w:t>
      </w:r>
      <w:r>
        <w:rPr>
          <w:rFonts w:hint="eastAsia" w:ascii="仿宋_GB2312" w:hAnsi="仿宋_GB2312" w:eastAsia="仿宋_GB2312" w:cs="仿宋_GB2312"/>
          <w:color w:val="auto"/>
          <w:kern w:val="2"/>
          <w:sz w:val="32"/>
          <w:szCs w:val="32"/>
          <w:highlight w:val="none"/>
          <w:lang w:val="en-US" w:eastAsia="zh-CN" w:bidi="ar-SA"/>
        </w:rPr>
        <w:t>办法自印发之日起实施，有效期1年。本</w:t>
      </w:r>
      <w:r>
        <w:rPr>
          <w:rFonts w:hint="eastAsia" w:ascii="仿宋_GB2312" w:hAnsi="仿宋_GB2312" w:eastAsia="仿宋_GB2312" w:cs="仿宋_GB2312"/>
          <w:color w:val="auto"/>
          <w:sz w:val="32"/>
          <w:szCs w:val="32"/>
          <w:highlight w:val="none"/>
          <w:lang w:val="en-US" w:eastAsia="zh-CN"/>
        </w:rPr>
        <w:t>办法由区科工商信局负责解释。</w:t>
      </w:r>
      <w:r>
        <w:rPr>
          <w:rFonts w:hint="eastAsia" w:ascii="仿宋_GB2312" w:hAnsi="仿宋_GB2312" w:eastAsia="仿宋_GB2312" w:cs="仿宋_GB2312"/>
          <w:color w:val="auto"/>
          <w:kern w:val="2"/>
          <w:sz w:val="32"/>
          <w:szCs w:val="32"/>
          <w:highlight w:val="none"/>
          <w:lang w:val="en-US" w:eastAsia="zh-CN" w:bidi="ar-SA"/>
        </w:rPr>
        <w:t>政策兑现具体工作由</w:t>
      </w:r>
      <w:r>
        <w:rPr>
          <w:rFonts w:hint="eastAsia" w:ascii="仿宋_GB2312" w:hAnsi="仿宋_GB2312" w:eastAsia="仿宋_GB2312" w:cs="仿宋_GB2312"/>
          <w:color w:val="auto"/>
          <w:sz w:val="32"/>
          <w:szCs w:val="32"/>
          <w:highlight w:val="none"/>
          <w:lang w:val="en-US" w:eastAsia="zh-CN"/>
        </w:rPr>
        <w:t>区科工商信局</w:t>
      </w:r>
      <w:r>
        <w:rPr>
          <w:rFonts w:hint="eastAsia" w:ascii="仿宋_GB2312" w:hAnsi="仿宋_GB2312" w:eastAsia="仿宋_GB2312" w:cs="仿宋_GB2312"/>
          <w:color w:val="auto"/>
          <w:kern w:val="2"/>
          <w:sz w:val="32"/>
          <w:szCs w:val="32"/>
          <w:highlight w:val="none"/>
          <w:lang w:val="en-US" w:eastAsia="zh-CN" w:bidi="ar-SA"/>
        </w:rPr>
        <w:t>负责统筹。</w:t>
      </w:r>
    </w:p>
    <w:bookmarkEnd w:id="0"/>
    <w:sectPr>
      <w:footerReference r:id="rId3" w:type="default"/>
      <w:pgSz w:w="11906" w:h="16838"/>
      <w:pgMar w:top="1497" w:right="1486" w:bottom="1497" w:left="14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E1CE5"/>
    <w:multiLevelType w:val="singleLevel"/>
    <w:tmpl w:val="D6CE1CE5"/>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DFmYmE2YTk4NzM4ZDA5NmZkNmQ5NDE0ZTBhMzAifQ=="/>
  </w:docVars>
  <w:rsids>
    <w:rsidRoot w:val="6B133DAF"/>
    <w:rsid w:val="00F52A8D"/>
    <w:rsid w:val="0118690F"/>
    <w:rsid w:val="020D0D5D"/>
    <w:rsid w:val="02F53218"/>
    <w:rsid w:val="03576AF5"/>
    <w:rsid w:val="03661A20"/>
    <w:rsid w:val="04007C02"/>
    <w:rsid w:val="05025778"/>
    <w:rsid w:val="05A131E3"/>
    <w:rsid w:val="05F872A7"/>
    <w:rsid w:val="065B7836"/>
    <w:rsid w:val="06F55595"/>
    <w:rsid w:val="07041C7C"/>
    <w:rsid w:val="07A82607"/>
    <w:rsid w:val="07E31891"/>
    <w:rsid w:val="0840426E"/>
    <w:rsid w:val="09E90596"/>
    <w:rsid w:val="0A134092"/>
    <w:rsid w:val="0A5371A2"/>
    <w:rsid w:val="0AA51080"/>
    <w:rsid w:val="0B1D155E"/>
    <w:rsid w:val="0B7C073E"/>
    <w:rsid w:val="0C9874E7"/>
    <w:rsid w:val="0D6472D1"/>
    <w:rsid w:val="0D7A2C98"/>
    <w:rsid w:val="0E8F7665"/>
    <w:rsid w:val="0EDB39C9"/>
    <w:rsid w:val="0EE276D7"/>
    <w:rsid w:val="0F544D4B"/>
    <w:rsid w:val="108B0EA2"/>
    <w:rsid w:val="111C2572"/>
    <w:rsid w:val="115F467E"/>
    <w:rsid w:val="1292638E"/>
    <w:rsid w:val="137B5074"/>
    <w:rsid w:val="138F28CD"/>
    <w:rsid w:val="13EE3A98"/>
    <w:rsid w:val="142F6C80"/>
    <w:rsid w:val="14353540"/>
    <w:rsid w:val="14A423A8"/>
    <w:rsid w:val="15666C43"/>
    <w:rsid w:val="167B7F56"/>
    <w:rsid w:val="16CA1340"/>
    <w:rsid w:val="17105BFE"/>
    <w:rsid w:val="172779EC"/>
    <w:rsid w:val="17780248"/>
    <w:rsid w:val="187D1A90"/>
    <w:rsid w:val="188E5849"/>
    <w:rsid w:val="18925339"/>
    <w:rsid w:val="18954E2A"/>
    <w:rsid w:val="18E624D5"/>
    <w:rsid w:val="197D10BC"/>
    <w:rsid w:val="197D7D98"/>
    <w:rsid w:val="1999253D"/>
    <w:rsid w:val="1B0A2D61"/>
    <w:rsid w:val="1BCC2910"/>
    <w:rsid w:val="1CEA5163"/>
    <w:rsid w:val="1EDD4465"/>
    <w:rsid w:val="1F5645B0"/>
    <w:rsid w:val="2063580D"/>
    <w:rsid w:val="208410F7"/>
    <w:rsid w:val="21A305BF"/>
    <w:rsid w:val="21A34873"/>
    <w:rsid w:val="222D0C08"/>
    <w:rsid w:val="22A63A99"/>
    <w:rsid w:val="23066CCA"/>
    <w:rsid w:val="233C481F"/>
    <w:rsid w:val="242D23BA"/>
    <w:rsid w:val="246C2EE2"/>
    <w:rsid w:val="2480698E"/>
    <w:rsid w:val="27F156C8"/>
    <w:rsid w:val="291E49C7"/>
    <w:rsid w:val="2B5302F9"/>
    <w:rsid w:val="2BCE7FDF"/>
    <w:rsid w:val="2C3312F8"/>
    <w:rsid w:val="2EB771D0"/>
    <w:rsid w:val="300E150D"/>
    <w:rsid w:val="30125257"/>
    <w:rsid w:val="304E2683"/>
    <w:rsid w:val="339E4340"/>
    <w:rsid w:val="342E1F62"/>
    <w:rsid w:val="345A3198"/>
    <w:rsid w:val="351B4B49"/>
    <w:rsid w:val="353B5336"/>
    <w:rsid w:val="356869BA"/>
    <w:rsid w:val="35AD335B"/>
    <w:rsid w:val="35D07049"/>
    <w:rsid w:val="36A448BC"/>
    <w:rsid w:val="36E7464B"/>
    <w:rsid w:val="37CD3840"/>
    <w:rsid w:val="39A405D1"/>
    <w:rsid w:val="39BA1BA2"/>
    <w:rsid w:val="39DA600C"/>
    <w:rsid w:val="39F636A0"/>
    <w:rsid w:val="3A257964"/>
    <w:rsid w:val="3A9D573E"/>
    <w:rsid w:val="3AA024E0"/>
    <w:rsid w:val="3AB5667E"/>
    <w:rsid w:val="3AEB3426"/>
    <w:rsid w:val="3B277F78"/>
    <w:rsid w:val="3B6152FD"/>
    <w:rsid w:val="3B673FAC"/>
    <w:rsid w:val="3B915AA7"/>
    <w:rsid w:val="3C011D0B"/>
    <w:rsid w:val="3DFA1107"/>
    <w:rsid w:val="3E3C2C4E"/>
    <w:rsid w:val="3E9B71E2"/>
    <w:rsid w:val="3EB146DE"/>
    <w:rsid w:val="40D8415D"/>
    <w:rsid w:val="41230975"/>
    <w:rsid w:val="412608F2"/>
    <w:rsid w:val="418238EE"/>
    <w:rsid w:val="43915FC8"/>
    <w:rsid w:val="43C95804"/>
    <w:rsid w:val="442F4E47"/>
    <w:rsid w:val="44671946"/>
    <w:rsid w:val="44AC7E7E"/>
    <w:rsid w:val="44BA6EFA"/>
    <w:rsid w:val="44E322EB"/>
    <w:rsid w:val="45C149D5"/>
    <w:rsid w:val="45E62E74"/>
    <w:rsid w:val="45E83F3B"/>
    <w:rsid w:val="46195EA3"/>
    <w:rsid w:val="464F7B16"/>
    <w:rsid w:val="47CE1E28"/>
    <w:rsid w:val="47E32A9D"/>
    <w:rsid w:val="481928DE"/>
    <w:rsid w:val="482621B7"/>
    <w:rsid w:val="485A0F31"/>
    <w:rsid w:val="4D0B0C3B"/>
    <w:rsid w:val="4D2A0E71"/>
    <w:rsid w:val="4D3C7046"/>
    <w:rsid w:val="4D5B5E0F"/>
    <w:rsid w:val="4D5D32C9"/>
    <w:rsid w:val="4D7626B9"/>
    <w:rsid w:val="4D98130A"/>
    <w:rsid w:val="4EBB3F9B"/>
    <w:rsid w:val="50537E7C"/>
    <w:rsid w:val="50DB6B76"/>
    <w:rsid w:val="512C0FB6"/>
    <w:rsid w:val="516A4C96"/>
    <w:rsid w:val="518A40F8"/>
    <w:rsid w:val="53D11E6D"/>
    <w:rsid w:val="562543F0"/>
    <w:rsid w:val="56AE215F"/>
    <w:rsid w:val="56CE6835"/>
    <w:rsid w:val="5794449B"/>
    <w:rsid w:val="5895585D"/>
    <w:rsid w:val="5A3660C0"/>
    <w:rsid w:val="5A47275E"/>
    <w:rsid w:val="5ADA39FB"/>
    <w:rsid w:val="5B834092"/>
    <w:rsid w:val="5C1949F7"/>
    <w:rsid w:val="5CD03307"/>
    <w:rsid w:val="5D62176B"/>
    <w:rsid w:val="5D881E34"/>
    <w:rsid w:val="5DCD7E02"/>
    <w:rsid w:val="5EE928A0"/>
    <w:rsid w:val="5EEE18F6"/>
    <w:rsid w:val="60341DFF"/>
    <w:rsid w:val="60523316"/>
    <w:rsid w:val="605A3984"/>
    <w:rsid w:val="60AE2D05"/>
    <w:rsid w:val="61482832"/>
    <w:rsid w:val="61A3723C"/>
    <w:rsid w:val="620E503D"/>
    <w:rsid w:val="62CC27C3"/>
    <w:rsid w:val="63240AA6"/>
    <w:rsid w:val="63B3128D"/>
    <w:rsid w:val="64025D70"/>
    <w:rsid w:val="64FA4ADB"/>
    <w:rsid w:val="65436640"/>
    <w:rsid w:val="654D540F"/>
    <w:rsid w:val="65D73958"/>
    <w:rsid w:val="664B38B9"/>
    <w:rsid w:val="66B3122D"/>
    <w:rsid w:val="67065B78"/>
    <w:rsid w:val="68486805"/>
    <w:rsid w:val="68C006D4"/>
    <w:rsid w:val="6AD2649C"/>
    <w:rsid w:val="6B133DAF"/>
    <w:rsid w:val="6B3521BC"/>
    <w:rsid w:val="6BCC55E2"/>
    <w:rsid w:val="6CAB169B"/>
    <w:rsid w:val="6E1D3ED3"/>
    <w:rsid w:val="6E391F51"/>
    <w:rsid w:val="6E460DF4"/>
    <w:rsid w:val="6E4A58C8"/>
    <w:rsid w:val="6F667AFB"/>
    <w:rsid w:val="6FF944CB"/>
    <w:rsid w:val="710E3FA6"/>
    <w:rsid w:val="715720F9"/>
    <w:rsid w:val="725620A9"/>
    <w:rsid w:val="73337CF4"/>
    <w:rsid w:val="73D74B24"/>
    <w:rsid w:val="73F954CD"/>
    <w:rsid w:val="75134281"/>
    <w:rsid w:val="75B27865"/>
    <w:rsid w:val="784B16A9"/>
    <w:rsid w:val="78B638FB"/>
    <w:rsid w:val="79165CF7"/>
    <w:rsid w:val="792702FB"/>
    <w:rsid w:val="79CF3A29"/>
    <w:rsid w:val="7A7C6425"/>
    <w:rsid w:val="7BBA0FB3"/>
    <w:rsid w:val="7BBC487D"/>
    <w:rsid w:val="7BC42654"/>
    <w:rsid w:val="7D133070"/>
    <w:rsid w:val="7DE844FD"/>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unhideWhenUsed/>
    <w:qFormat/>
    <w:uiPriority w:val="99"/>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2336</Words>
  <Characters>2547</Characters>
  <Lines>0</Lines>
  <Paragraphs>0</Paragraphs>
  <TotalTime>2</TotalTime>
  <ScaleCrop>false</ScaleCrop>
  <LinksUpToDate>false</LinksUpToDate>
  <CharactersWithSpaces>2587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2021-03-25T06:22:00Z</dcterms:created>
  <dc:creator>Administrator</dc:creator>
  <cp:lastModifiedBy>何</cp:lastModifiedBy>
  <cp:lastPrinted>2022-06-02T10:09:00Z</cp:lastPrinted>
  <dcterms:modified xsi:type="dcterms:W3CDTF">2022-06-08T08:31:21Z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D901552A20444504B98E39C59CBFC31B</vt:lpwstr>
  </property>
</Properties>
</file>