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92" w:rsidRDefault="008B2792" w:rsidP="008B2792">
      <w:pPr>
        <w:pStyle w:val="p0"/>
        <w:jc w:val="center"/>
        <w:rPr>
          <w:rFonts w:ascii="黑体" w:eastAsia="黑体" w:hAnsi="黑体"/>
          <w:sz w:val="44"/>
          <w:szCs w:val="44"/>
        </w:rPr>
      </w:pPr>
      <w:r>
        <w:rPr>
          <w:rFonts w:ascii="黑体" w:eastAsia="黑体" w:hAnsi="黑体" w:hint="eastAsia"/>
          <w:sz w:val="44"/>
          <w:szCs w:val="44"/>
        </w:rPr>
        <w:t>广州市工商行政管理系统随机抽查事项清单</w:t>
      </w:r>
    </w:p>
    <w:tbl>
      <w:tblPr>
        <w:tblW w:w="0" w:type="auto"/>
        <w:jc w:val="center"/>
        <w:tblLayout w:type="fixed"/>
        <w:tblLook w:val="04A0"/>
      </w:tblPr>
      <w:tblGrid>
        <w:gridCol w:w="1253"/>
        <w:gridCol w:w="850"/>
        <w:gridCol w:w="2835"/>
        <w:gridCol w:w="1701"/>
        <w:gridCol w:w="6705"/>
      </w:tblGrid>
      <w:tr w:rsidR="00E66E8C" w:rsidTr="00941C1C">
        <w:trPr>
          <w:trHeight w:val="420"/>
          <w:jc w:val="center"/>
        </w:trPr>
        <w:tc>
          <w:tcPr>
            <w:tcW w:w="1253" w:type="dxa"/>
            <w:vMerge w:val="restart"/>
            <w:tcBorders>
              <w:top w:val="single" w:sz="4" w:space="0" w:color="000000"/>
              <w:left w:val="single" w:sz="4" w:space="0" w:color="000000"/>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抽查类别</w:t>
            </w:r>
          </w:p>
        </w:tc>
        <w:tc>
          <w:tcPr>
            <w:tcW w:w="3685" w:type="dxa"/>
            <w:gridSpan w:val="2"/>
            <w:tcBorders>
              <w:top w:val="single" w:sz="4" w:space="0" w:color="000000"/>
              <w:left w:val="nil"/>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抽查项目</w:t>
            </w:r>
          </w:p>
        </w:tc>
        <w:tc>
          <w:tcPr>
            <w:tcW w:w="1701" w:type="dxa"/>
            <w:vMerge w:val="restart"/>
            <w:tcBorders>
              <w:top w:val="single" w:sz="4" w:space="0" w:color="000000"/>
              <w:left w:val="nil"/>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检查对象</w:t>
            </w:r>
          </w:p>
        </w:tc>
        <w:tc>
          <w:tcPr>
            <w:tcW w:w="6705" w:type="dxa"/>
            <w:vMerge w:val="restart"/>
            <w:tcBorders>
              <w:top w:val="single" w:sz="4" w:space="0" w:color="000000"/>
              <w:left w:val="nil"/>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检查依据</w:t>
            </w:r>
          </w:p>
        </w:tc>
      </w:tr>
      <w:tr w:rsidR="00E66E8C" w:rsidTr="00941C1C">
        <w:trPr>
          <w:trHeight w:val="299"/>
          <w:jc w:val="center"/>
        </w:trPr>
        <w:tc>
          <w:tcPr>
            <w:tcW w:w="1253" w:type="dxa"/>
            <w:vMerge/>
            <w:tcBorders>
              <w:top w:val="single" w:sz="4" w:space="0" w:color="000000"/>
              <w:left w:val="single" w:sz="4" w:space="0" w:color="000000"/>
              <w:bottom w:val="single" w:sz="4" w:space="0" w:color="000000"/>
              <w:right w:val="single" w:sz="4" w:space="0" w:color="000000"/>
            </w:tcBorders>
            <w:vAlign w:val="center"/>
            <w:hideMark/>
          </w:tcPr>
          <w:p w:rsidR="00E66E8C" w:rsidRDefault="00E66E8C" w:rsidP="00941C1C">
            <w:pPr>
              <w:rPr>
                <w:rFonts w:ascii="方正小标宋_GBK" w:eastAsia="方正小标宋_GBK" w:hAnsi="Calibri" w:cs="宋体"/>
                <w:sz w:val="24"/>
                <w:szCs w:val="24"/>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序号</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jc w:val="center"/>
              <w:rPr>
                <w:rFonts w:ascii="方正小标宋_GBK" w:eastAsia="方正小标宋_GBK"/>
                <w:sz w:val="24"/>
                <w:szCs w:val="24"/>
              </w:rPr>
            </w:pPr>
            <w:r>
              <w:rPr>
                <w:rFonts w:ascii="方正小标宋_GBK" w:eastAsia="方正小标宋_GBK" w:hint="eastAsia"/>
                <w:sz w:val="24"/>
                <w:szCs w:val="24"/>
              </w:rPr>
              <w:t>抽查事项</w:t>
            </w:r>
          </w:p>
        </w:tc>
        <w:tc>
          <w:tcPr>
            <w:tcW w:w="1701" w:type="dxa"/>
            <w:vMerge/>
            <w:tcBorders>
              <w:top w:val="single" w:sz="4" w:space="0" w:color="000000"/>
              <w:left w:val="nil"/>
              <w:bottom w:val="single" w:sz="4" w:space="0" w:color="000000"/>
              <w:right w:val="single" w:sz="4" w:space="0" w:color="000000"/>
            </w:tcBorders>
            <w:vAlign w:val="center"/>
            <w:hideMark/>
          </w:tcPr>
          <w:p w:rsidR="00E66E8C" w:rsidRDefault="00E66E8C" w:rsidP="00941C1C">
            <w:pPr>
              <w:rPr>
                <w:rFonts w:ascii="方正小标宋_GBK" w:eastAsia="方正小标宋_GBK" w:hAnsi="Calibri" w:cs="宋体"/>
                <w:sz w:val="24"/>
                <w:szCs w:val="24"/>
              </w:rPr>
            </w:pPr>
          </w:p>
        </w:tc>
        <w:tc>
          <w:tcPr>
            <w:tcW w:w="6705" w:type="dxa"/>
            <w:vMerge/>
            <w:tcBorders>
              <w:top w:val="single" w:sz="4" w:space="0" w:color="000000"/>
              <w:left w:val="nil"/>
              <w:bottom w:val="single" w:sz="4" w:space="0" w:color="000000"/>
              <w:right w:val="single" w:sz="4" w:space="0" w:color="000000"/>
            </w:tcBorders>
            <w:vAlign w:val="center"/>
            <w:hideMark/>
          </w:tcPr>
          <w:p w:rsidR="00E66E8C" w:rsidRDefault="00E66E8C" w:rsidP="00941C1C">
            <w:pPr>
              <w:rPr>
                <w:rFonts w:ascii="方正小标宋_GBK" w:eastAsia="方正小标宋_GBK" w:hAnsi="Calibri" w:cs="宋体"/>
                <w:sz w:val="24"/>
                <w:szCs w:val="24"/>
              </w:rPr>
            </w:pPr>
          </w:p>
        </w:tc>
      </w:tr>
      <w:tr w:rsidR="00E66E8C" w:rsidTr="00941C1C">
        <w:trPr>
          <w:trHeight w:val="299"/>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jc w:val="center"/>
            </w:pPr>
            <w:r>
              <w:rPr>
                <w:rFonts w:ascii="宋体" w:hAnsi="宋体" w:hint="eastAsia"/>
              </w:rPr>
              <w:t>一、登记事项检查</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宋体" w:hAnsi="宋体" w:hint="eastAsia"/>
              </w:rPr>
              <w:t>1</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营业执照（登记证）规范使用情况的检查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企业、个体工商户、农民专业合作社、外国企业常驻代表机构</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中华人民共和国企业法人登记管理条例》第二十九条第一款《中华人民共和国公司登记管理条例》第七十一条、第七十二条《中华人民共和国合伙企业登记管理办法》第四十三条、第四十四条《外商投资合伙企业登记管理规定》第五十七条、第五十八条《中华人民共和国个人独资企业法》第三十五条第一款《个人独资企业登记管理办法》第四十条、第四十一条、第四十二条第二款《个体工商户条例》第二十二条《农民专业合作社登记管理条例》第二十七条《外国企业常驻代表机构登记管理条例》第十八条、第三十六条第三款、第三十八条</w:t>
            </w:r>
          </w:p>
        </w:tc>
      </w:tr>
      <w:tr w:rsidR="00E66E8C" w:rsidTr="00941C1C">
        <w:trPr>
          <w:trHeight w:val="299"/>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2</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名称规范使用情况的检查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企业、个体工商户、农民专业合作社、外国企业常驻代表机构</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名称登记管理规定》第二十六条《中华人民共和国个人独资企业法》第三十四条《个体工商户条例》第二十三条第一款《农民专业合作社登记管理条例》第二十七条《外国企业常驻代表机构登记管理条例》第十条、第三十八条</w:t>
            </w:r>
          </w:p>
        </w:tc>
      </w:tr>
      <w:tr w:rsidR="00E66E8C" w:rsidTr="00941C1C">
        <w:trPr>
          <w:trHeight w:val="299"/>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3</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经营（驻在）期限的检查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企业、外国企业常驻代表机构</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中华人民共和国企业法人登记管理条例》第二十九条第一款《中华人民共和国公司法》第二百一十一条第二款《中华人民共和国公司登记管理条例》第六十八条《中华人民共和国合伙企业法》第九十五条第二款《中华人民共和国合伙企业登记管理办法》第三十九条《外商投资合伙企业登记管理规定》第五十三条《外国企业常驻代表机构登记管理条例》第十六条、第三十五条第二款、第三十六条第三款、第三十七条、第三十八条</w:t>
            </w:r>
          </w:p>
        </w:tc>
      </w:tr>
      <w:tr w:rsidR="00E66E8C" w:rsidTr="00941C1C">
        <w:trPr>
          <w:trHeight w:val="299"/>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4</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经营（业务）范围中无需审</w:t>
            </w:r>
            <w:r>
              <w:rPr>
                <w:rFonts w:ascii="宋体" w:hAnsi="宋体" w:hint="eastAsia"/>
              </w:rPr>
              <w:lastRenderedPageBreak/>
              <w:t>批的经营（业务）项目的检查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lastRenderedPageBreak/>
              <w:t>企业、个体工商</w:t>
            </w:r>
            <w:r>
              <w:rPr>
                <w:rFonts w:ascii="宋体" w:hAnsi="宋体" w:hint="eastAsia"/>
              </w:rPr>
              <w:lastRenderedPageBreak/>
              <w:t>户、农民专业合作社、外国企业常驻代表机构</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lastRenderedPageBreak/>
              <w:t>《中华人民共和国企业法人登记管理条例》第二十九条第一款《中华人</w:t>
            </w:r>
            <w:r>
              <w:rPr>
                <w:rFonts w:ascii="宋体" w:hAnsi="宋体" w:hint="eastAsia"/>
              </w:rPr>
              <w:lastRenderedPageBreak/>
              <w:t>民共和国公司法》第二百一十一条第二款《中华人民共和国公司登记管理条例》第六十八条《中华人民共和国合伙企业法》第九十五条第二款《中华人民共和国个人独资企业法》第三十七条第二款《中华人民共和国合伙企业登记管理办法》第三十九条《外商投资合伙企业登记管理规定》第五十三条《个人独资企业登记管理办法》第三十八条《个体工商户条例》第四条第二款、第八条第二款《农民专业合作社登记管理条例》第二十七条、第二十八条《外国企业常驻代表机构登记管理条例》第三十五条第二款、第三十七条、第三十八条</w:t>
            </w:r>
          </w:p>
        </w:tc>
      </w:tr>
      <w:tr w:rsidR="00E66E8C" w:rsidTr="00941C1C">
        <w:trPr>
          <w:trHeight w:val="1201"/>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5</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住所（经营场所）或驻在场所的检查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企业、个体工商户、农民专业合作社、外国企业常驻代表机构</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left"/>
              <w:rPr>
                <w:rFonts w:ascii="Times New Roman" w:hAnsi="Times New Roman" w:cs="Times New Roman"/>
              </w:rPr>
            </w:pPr>
            <w:r>
              <w:rPr>
                <w:rFonts w:ascii="宋体" w:hAnsi="宋体" w:hint="eastAsia"/>
              </w:rPr>
              <w:t>同上</w:t>
            </w:r>
          </w:p>
        </w:tc>
      </w:tr>
      <w:tr w:rsidR="00E66E8C" w:rsidTr="00941C1C">
        <w:trPr>
          <w:trHeight w:val="299"/>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6</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注册资本实缴情况的检查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实行注册资本实缴制行业的企业</w:t>
            </w:r>
          </w:p>
        </w:tc>
        <w:tc>
          <w:tcPr>
            <w:tcW w:w="6705" w:type="dxa"/>
            <w:tcBorders>
              <w:top w:val="single" w:sz="4" w:space="0" w:color="000000"/>
              <w:left w:val="nil"/>
              <w:bottom w:val="single" w:sz="4" w:space="0" w:color="000000"/>
              <w:right w:val="single" w:sz="4" w:space="0" w:color="000000"/>
            </w:tcBorders>
            <w:hideMark/>
          </w:tcPr>
          <w:p w:rsidR="00E66E8C" w:rsidRDefault="00E66E8C" w:rsidP="00941C1C">
            <w:pPr>
              <w:pStyle w:val="p0"/>
              <w:spacing w:line="260" w:lineRule="atLeast"/>
              <w:rPr>
                <w:rFonts w:ascii="Times New Roman" w:hAnsi="Times New Roman" w:cs="Times New Roman"/>
              </w:rPr>
            </w:pPr>
            <w:r>
              <w:rPr>
                <w:rFonts w:ascii="宋体" w:hAnsi="宋体" w:hint="eastAsia"/>
              </w:rPr>
              <w:t>《中华人民共和国企业法人登记管理条例》第二十九条第一款《中华人民共和国公司法》第一百九十八条至第二百条、第二百一十一条第二款《中华人民共和国公司登记管理条例》第六十三条、第六十五条、第六十六条、第六十八条《中华人民共和国合伙企业法》第九十五条第二款《中华人民共和国个人独资企业法》第三十七条第二款《中华人民共和国合伙企业登记管理办法》第三十九条《外商投资合伙企业登记管理规定》第五十三条《个人独资企业登记管理办法》第三十八条</w:t>
            </w:r>
          </w:p>
        </w:tc>
      </w:tr>
      <w:tr w:rsidR="00E66E8C" w:rsidTr="00941C1C">
        <w:trPr>
          <w:trHeight w:val="299"/>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7</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法定代表人（负责人）任职</w:t>
            </w:r>
            <w:r>
              <w:rPr>
                <w:rFonts w:ascii="Times New Roman" w:hAnsi="Times New Roman" w:cs="Times New Roman"/>
              </w:rPr>
              <w:t>情况的</w:t>
            </w:r>
            <w:r>
              <w:rPr>
                <w:rFonts w:ascii="宋体" w:hAnsi="宋体" w:hint="eastAsia"/>
              </w:rPr>
              <w:t>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企业</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中华人民共和国企业法人登记管理条例》第二十九条第一款《企业法人法定代表人登记管理规定》第十二条《中华人民共和国公司法》第二百一十一条第二款《中华人民共和国公司登记管理条例》第六十八条《中华人民共和国合伙企业法》第九十五条第二款《中华人民共和国合伙企业登记管理办法》第三十九条《外商投资合伙企业登记管理规定》第五十三条《中华人民共和国个人独资企业法》第三十七条第二款《个人独资企业登记管理办法》第三十八条</w:t>
            </w:r>
          </w:p>
        </w:tc>
      </w:tr>
      <w:tr w:rsidR="00E66E8C" w:rsidTr="00941C1C">
        <w:trPr>
          <w:trHeight w:val="763"/>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8</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法定代表人、自然人股东身份真实性的检查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企业</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《中华人民共和国公司法》第一百九十八条《中华人民共和国合伙企业法》第九十三条《中华人民共和国个人独资企业法》第</w:t>
            </w:r>
            <w:r>
              <w:rPr>
                <w:rFonts w:ascii="Times New Roman" w:hAnsi="Times New Roman" w:cs="Times New Roman"/>
              </w:rPr>
              <w:t>三十三条</w:t>
            </w:r>
          </w:p>
        </w:tc>
      </w:tr>
      <w:tr w:rsidR="00E66E8C" w:rsidTr="00941C1C">
        <w:trPr>
          <w:trHeight w:val="299"/>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jc w:val="center"/>
            </w:pPr>
            <w:r>
              <w:rPr>
                <w:rFonts w:ascii="宋体" w:hAnsi="宋体" w:hint="eastAsia"/>
              </w:rPr>
              <w:t>二、公示信息检查</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9</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年度报告公示信息的检查及外国企业常驻代表机构年度报告情况的检查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企业、个体工商户、农民专业合作社、外国企业常驻代表机构</w:t>
            </w:r>
          </w:p>
        </w:tc>
        <w:tc>
          <w:tcPr>
            <w:tcW w:w="6705" w:type="dxa"/>
            <w:tcBorders>
              <w:top w:val="single" w:sz="4" w:space="0" w:color="000000"/>
              <w:left w:val="nil"/>
              <w:bottom w:val="single" w:sz="4" w:space="0" w:color="000000"/>
              <w:right w:val="single" w:sz="4" w:space="0" w:color="000000"/>
            </w:tcBorders>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外国企业常驻代表机构登记管理条例》第六条、第三十八条</w:t>
            </w:r>
          </w:p>
        </w:tc>
      </w:tr>
      <w:tr w:rsidR="00E66E8C" w:rsidTr="00941C1C">
        <w:trPr>
          <w:trHeight w:val="1127"/>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Calibri" w:eastAsia="宋体" w:hAnsi="Calibri" w:cs="宋体"/>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黑体" w:eastAsia="黑体" w:hAnsi="黑体"/>
              </w:rPr>
            </w:pPr>
            <w:r>
              <w:rPr>
                <w:rFonts w:ascii="黑体" w:eastAsia="黑体" w:hAnsi="黑体" w:hint="eastAsia"/>
              </w:rPr>
              <w:t>10</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黑体" w:eastAsia="黑体" w:hAnsi="黑体"/>
              </w:rPr>
            </w:pPr>
            <w:r>
              <w:rPr>
                <w:rFonts w:ascii="宋体" w:hAnsi="宋体" w:hint="eastAsia"/>
              </w:rPr>
              <w:t>即时公示信息的检查</w:t>
            </w:r>
          </w:p>
        </w:tc>
        <w:tc>
          <w:tcPr>
            <w:tcW w:w="1701"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企业</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《企业信息公示暂行条例》第三条、第十条、第十一条、第十二条、第十五条、第十七条《企业公示信息抽查暂行办法》第十条、第十二条《企业经营异常名录管理暂行办法》第四条、第七条、第八条、第九条</w:t>
            </w:r>
          </w:p>
        </w:tc>
      </w:tr>
      <w:tr w:rsidR="00E66E8C" w:rsidTr="00941C1C">
        <w:trPr>
          <w:trHeight w:val="690"/>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三、直销行为检查</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11</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重大变更的检查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直销企业总公司</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《直销管理条例》第七条、第八条、第十一条、第四十一条</w:t>
            </w:r>
          </w:p>
        </w:tc>
      </w:tr>
      <w:tr w:rsidR="00E66E8C" w:rsidTr="00941C1C">
        <w:trPr>
          <w:trHeight w:val="693"/>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12</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直销员报酬支付的检查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《直销管理条例》第二十四条、第四十九条</w:t>
            </w:r>
          </w:p>
        </w:tc>
      </w:tr>
      <w:tr w:rsidR="00E66E8C" w:rsidTr="00941C1C">
        <w:trPr>
          <w:trHeight w:val="693"/>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13</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信息报备和披露的检查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《直销管理条例》第二十八条、第五十条《直销企业信息报备、披露管理办法》第四条、第五条、第六条</w:t>
            </w:r>
          </w:p>
        </w:tc>
      </w:tr>
      <w:tr w:rsidR="00E66E8C" w:rsidTr="00941C1C">
        <w:trPr>
          <w:trHeight w:val="688"/>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四、流通领域商品质量检查</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14</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销售失效、变质的产品的检查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left"/>
              <w:rPr>
                <w:rFonts w:ascii="Times New Roman" w:hAnsi="Times New Roman" w:cs="Times New Roman"/>
              </w:rPr>
            </w:pPr>
            <w:r>
              <w:rPr>
                <w:rFonts w:ascii="宋体" w:hAnsi="宋体" w:hint="eastAsia"/>
              </w:rPr>
              <w:t>《产品质量法》第五十二条</w:t>
            </w:r>
          </w:p>
        </w:tc>
      </w:tr>
      <w:tr w:rsidR="00E66E8C" w:rsidTr="00941C1C">
        <w:trPr>
          <w:trHeight w:val="713"/>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15</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不符合产品包装、标识要求的检查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left"/>
              <w:rPr>
                <w:rFonts w:ascii="Times New Roman" w:hAnsi="Times New Roman" w:cs="Times New Roman"/>
              </w:rPr>
            </w:pPr>
            <w:r>
              <w:rPr>
                <w:rFonts w:ascii="宋体" w:hAnsi="宋体" w:hint="eastAsia"/>
              </w:rPr>
              <w:t>《产品质量法》第二十七条、第三十六条、第五十四条</w:t>
            </w:r>
          </w:p>
        </w:tc>
      </w:tr>
      <w:tr w:rsidR="00E66E8C" w:rsidTr="00941C1C">
        <w:trPr>
          <w:trHeight w:val="604"/>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16</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服务业经营者违法行为的检查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left"/>
              <w:rPr>
                <w:rFonts w:ascii="Times New Roman" w:hAnsi="Times New Roman" w:cs="Times New Roman"/>
              </w:rPr>
            </w:pPr>
            <w:r>
              <w:rPr>
                <w:rFonts w:ascii="宋体" w:hAnsi="宋体" w:hint="eastAsia"/>
              </w:rPr>
              <w:t>《产品质量法》第六十二条《流通领域商品质量监督管理办法》第十条、第十一条、第十五条、第三十条</w:t>
            </w:r>
          </w:p>
        </w:tc>
      </w:tr>
      <w:tr w:rsidR="00E66E8C" w:rsidTr="00941C1C">
        <w:trPr>
          <w:trHeight w:val="761"/>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17</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进货检查验收制度执行情况的检查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《产品质量法》第三十三条《流通领域商品质量监督管理办法》第二十二条</w:t>
            </w:r>
          </w:p>
        </w:tc>
      </w:tr>
      <w:tr w:rsidR="00E66E8C" w:rsidTr="00941C1C">
        <w:trPr>
          <w:trHeight w:val="830"/>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18</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销售者购进或销售商品的检查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《流通领域商品质量监督管理办法》第十三条、第三十二条</w:t>
            </w:r>
          </w:p>
        </w:tc>
      </w:tr>
      <w:tr w:rsidR="00E66E8C" w:rsidTr="00941C1C">
        <w:trPr>
          <w:trHeight w:val="2117"/>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19</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商品经营柜台出租者、商品展销会举办者、网络交易平台提供者、广播电视购物平台经营者，应当对申请进入其经营场所或者平台销售商品的经营者的主体资格履行审查登记义务的检查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《流通领域商品质量监督管理办法》第二十一条第一款、第三十三条</w:t>
            </w:r>
          </w:p>
        </w:tc>
      </w:tr>
      <w:tr w:rsidR="00E66E8C" w:rsidTr="00941C1C">
        <w:trPr>
          <w:trHeight w:val="700"/>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五、侵害消费者权益行为检查</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20</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经营者向消费者提供有关商品或者服务的信息的检查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企业、个体工商户、农民专业合作社</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《消费者权益保护法》第五十六条《侵害消费者权益行为处罚办法》第六条</w:t>
            </w:r>
          </w:p>
        </w:tc>
      </w:tr>
      <w:tr w:rsidR="00E66E8C" w:rsidTr="00941C1C">
        <w:trPr>
          <w:trHeight w:val="1264"/>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21</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使用格式条款、通知、声明、店堂告示等方式排除或者限制消费者权利、加重消费者义务的检查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《侵害消费者权益行为处罚办法》第十二条、第十五条</w:t>
            </w:r>
          </w:p>
        </w:tc>
      </w:tr>
      <w:tr w:rsidR="00E66E8C" w:rsidTr="00941C1C">
        <w:trPr>
          <w:trHeight w:val="472"/>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六、拍卖等重要领域市场规范管理</w:t>
            </w: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22</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拍卖活动经营资格的检查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《拍卖法》第十一条、第六十条《拍卖监督管理办法》第四条、第十一条</w:t>
            </w:r>
          </w:p>
        </w:tc>
      </w:tr>
      <w:tr w:rsidR="00E66E8C" w:rsidTr="00941C1C">
        <w:trPr>
          <w:trHeight w:val="724"/>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23</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文物经营活动经营资格的检查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《文物保护法》第五十三条、第五十四条、第七十二条</w:t>
            </w:r>
          </w:p>
        </w:tc>
      </w:tr>
      <w:tr w:rsidR="00E66E8C" w:rsidTr="00941C1C">
        <w:trPr>
          <w:trHeight w:val="707"/>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24</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为非法交易野生动物等违法行为提供交易服务的检查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《野生动物保护法》第三十二条、第五十一条</w:t>
            </w:r>
          </w:p>
        </w:tc>
      </w:tr>
      <w:tr w:rsidR="00E66E8C" w:rsidTr="00941C1C">
        <w:trPr>
          <w:trHeight w:val="560"/>
          <w:jc w:val="center"/>
        </w:trPr>
        <w:tc>
          <w:tcPr>
            <w:tcW w:w="1253" w:type="dxa"/>
            <w:vMerge w:val="restart"/>
            <w:tcBorders>
              <w:top w:val="nil"/>
              <w:left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lastRenderedPageBreak/>
              <w:t>七、广告行为检查</w:t>
            </w:r>
          </w:p>
        </w:tc>
        <w:tc>
          <w:tcPr>
            <w:tcW w:w="850"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jc w:val="center"/>
              <w:rPr>
                <w:rFonts w:ascii="Times New Roman" w:hAnsi="Times New Roman" w:cs="Times New Roman"/>
              </w:rPr>
            </w:pPr>
            <w:r w:rsidRPr="0092637A">
              <w:rPr>
                <w:rFonts w:ascii="宋体" w:hAnsi="宋体" w:hint="eastAsia"/>
              </w:rPr>
              <w:t>25</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广告发布登记情况的检查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企业、个体工商户或其他经营单位</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《广告法》第六条、第二十九条、第六十条《广告发布登记管理规定》</w:t>
            </w:r>
          </w:p>
        </w:tc>
      </w:tr>
      <w:tr w:rsidR="00E66E8C" w:rsidTr="00941C1C">
        <w:trPr>
          <w:trHeight w:val="993"/>
          <w:jc w:val="center"/>
        </w:trPr>
        <w:tc>
          <w:tcPr>
            <w:tcW w:w="1253" w:type="dxa"/>
            <w:vMerge/>
            <w:tcBorders>
              <w:left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jc w:val="center"/>
              <w:rPr>
                <w:rFonts w:ascii="Times New Roman" w:hAnsi="Times New Roman" w:cs="Times New Roman"/>
              </w:rPr>
            </w:pPr>
            <w:r w:rsidRPr="0092637A">
              <w:rPr>
                <w:rFonts w:ascii="宋体" w:hAnsi="宋体" w:hint="eastAsia"/>
              </w:rPr>
              <w:t>26</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广告经营者、广告发布者建立、健全广告业务的承接登记、审核、档案管理制度情况的检查</w:t>
            </w:r>
          </w:p>
        </w:tc>
        <w:tc>
          <w:tcPr>
            <w:tcW w:w="1701" w:type="dxa"/>
            <w:vMerge/>
            <w:tcBorders>
              <w:top w:val="nil"/>
              <w:left w:val="nil"/>
              <w:bottom w:val="single" w:sz="4" w:space="0" w:color="000000"/>
              <w:right w:val="single" w:sz="4" w:space="0" w:color="000000"/>
            </w:tcBorders>
            <w:vAlign w:val="center"/>
            <w:hideMark/>
          </w:tcPr>
          <w:p w:rsidR="00E66E8C" w:rsidRPr="0092637A"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rPr>
                <w:rFonts w:ascii="Times New Roman" w:hAnsi="Times New Roman" w:cs="Times New Roman"/>
              </w:rPr>
            </w:pPr>
            <w:r w:rsidRPr="0092637A">
              <w:rPr>
                <w:rFonts w:ascii="宋体" w:hAnsi="宋体" w:hint="eastAsia"/>
              </w:rPr>
              <w:t>《广告法》第三十四条、第六十一条</w:t>
            </w:r>
          </w:p>
        </w:tc>
      </w:tr>
      <w:tr w:rsidR="00E66E8C" w:rsidTr="00941C1C">
        <w:trPr>
          <w:trHeight w:val="993"/>
          <w:jc w:val="center"/>
        </w:trPr>
        <w:tc>
          <w:tcPr>
            <w:tcW w:w="1253" w:type="dxa"/>
            <w:vMerge/>
            <w:tcBorders>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jc w:val="center"/>
              <w:rPr>
                <w:rFonts w:ascii="宋体" w:hAnsi="宋体"/>
              </w:rPr>
            </w:pPr>
            <w:r w:rsidRPr="0092637A">
              <w:rPr>
                <w:rFonts w:ascii="宋体" w:hAnsi="宋体" w:hint="eastAsia"/>
              </w:rPr>
              <w:t>27</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spacing w:line="260" w:lineRule="exact"/>
              <w:rPr>
                <w:rFonts w:ascii="Times New Roman" w:eastAsia="仿宋_GB2312" w:hAnsi="Times New Roman"/>
                <w:szCs w:val="21"/>
              </w:rPr>
            </w:pPr>
            <w:r w:rsidRPr="0092637A">
              <w:rPr>
                <w:rFonts w:ascii="Times New Roman" w:hAnsi="Times New Roman" w:hint="eastAsia"/>
                <w:szCs w:val="21"/>
              </w:rPr>
              <w:t>房地产开发商在售楼盘广告发布情况检查</w:t>
            </w:r>
          </w:p>
        </w:tc>
        <w:tc>
          <w:tcPr>
            <w:tcW w:w="1701" w:type="dxa"/>
            <w:tcBorders>
              <w:top w:val="nil"/>
              <w:left w:val="nil"/>
              <w:bottom w:val="single" w:sz="4" w:space="0" w:color="000000"/>
              <w:right w:val="single" w:sz="4" w:space="0" w:color="000000"/>
            </w:tcBorders>
            <w:vAlign w:val="center"/>
            <w:hideMark/>
          </w:tcPr>
          <w:p w:rsidR="00E66E8C" w:rsidRPr="0092637A" w:rsidRDefault="00E66E8C" w:rsidP="00941C1C">
            <w:pPr>
              <w:spacing w:line="260" w:lineRule="exact"/>
              <w:rPr>
                <w:rFonts w:ascii="Times New Roman" w:eastAsia="仿宋_GB2312" w:hAnsi="Times New Roman"/>
                <w:szCs w:val="21"/>
              </w:rPr>
            </w:pPr>
            <w:r w:rsidRPr="0092637A">
              <w:rPr>
                <w:rFonts w:ascii="Times New Roman" w:hAnsi="Times New Roman" w:hint="eastAsia"/>
                <w:szCs w:val="21"/>
              </w:rPr>
              <w:t>在售楼盘房地产开发商</w:t>
            </w:r>
          </w:p>
        </w:tc>
        <w:tc>
          <w:tcPr>
            <w:tcW w:w="670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spacing w:line="260" w:lineRule="exact"/>
              <w:rPr>
                <w:rFonts w:ascii="Times New Roman" w:hAnsi="Times New Roman"/>
                <w:szCs w:val="21"/>
              </w:rPr>
            </w:pPr>
            <w:r w:rsidRPr="0092637A">
              <w:rPr>
                <w:rFonts w:ascii="Times New Roman" w:hAnsi="Times New Roman" w:hint="eastAsia"/>
                <w:szCs w:val="21"/>
              </w:rPr>
              <w:t>《广告法》第四、八、九、十、十一、十二、十三、十四、二十六、五十五、五十七、五十八、五十九条</w:t>
            </w:r>
          </w:p>
          <w:p w:rsidR="00E66E8C" w:rsidRPr="0092637A" w:rsidRDefault="00E66E8C" w:rsidP="00941C1C">
            <w:pPr>
              <w:spacing w:line="260" w:lineRule="exact"/>
              <w:rPr>
                <w:rFonts w:ascii="Times New Roman" w:hAnsi="Times New Roman"/>
                <w:szCs w:val="21"/>
              </w:rPr>
            </w:pPr>
            <w:r w:rsidRPr="0092637A">
              <w:rPr>
                <w:rFonts w:ascii="Times New Roman" w:hAnsi="Times New Roman" w:hint="eastAsia"/>
                <w:szCs w:val="21"/>
              </w:rPr>
              <w:t>《房地产广告发布规定》</w:t>
            </w:r>
          </w:p>
        </w:tc>
      </w:tr>
      <w:tr w:rsidR="00E66E8C" w:rsidTr="00941C1C">
        <w:trPr>
          <w:trHeight w:val="1083"/>
          <w:jc w:val="center"/>
        </w:trPr>
        <w:tc>
          <w:tcPr>
            <w:tcW w:w="1253" w:type="dxa"/>
            <w:vMerge w:val="restart"/>
            <w:tcBorders>
              <w:top w:val="nil"/>
              <w:left w:val="single" w:sz="4" w:space="0" w:color="000000"/>
              <w:bottom w:val="single" w:sz="4" w:space="0" w:color="000000"/>
              <w:right w:val="single" w:sz="4" w:space="0" w:color="000000"/>
            </w:tcBorders>
            <w:vAlign w:val="center"/>
            <w:hideMark/>
          </w:tcPr>
          <w:p w:rsidR="00E66E8C" w:rsidRDefault="00E66E8C" w:rsidP="00941C1C">
            <w:pPr>
              <w:pStyle w:val="p0"/>
              <w:spacing w:line="260" w:lineRule="atLeast"/>
              <w:jc w:val="center"/>
              <w:rPr>
                <w:rFonts w:ascii="Times New Roman" w:hAnsi="Times New Roman" w:cs="Times New Roman"/>
              </w:rPr>
            </w:pPr>
            <w:r>
              <w:rPr>
                <w:rFonts w:ascii="宋体" w:hAnsi="宋体" w:hint="eastAsia"/>
              </w:rPr>
              <w:t>八、商标、特殊标志行为检查</w:t>
            </w:r>
          </w:p>
        </w:tc>
        <w:tc>
          <w:tcPr>
            <w:tcW w:w="850"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jc w:val="center"/>
              <w:rPr>
                <w:rFonts w:ascii="Times New Roman" w:hAnsi="Times New Roman" w:cs="Times New Roman"/>
              </w:rPr>
            </w:pPr>
            <w:r w:rsidRPr="0092637A">
              <w:rPr>
                <w:rFonts w:ascii="宋体" w:hAnsi="宋体" w:hint="eastAsia"/>
              </w:rPr>
              <w:t>28</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商标使用行为的检查</w:t>
            </w:r>
          </w:p>
        </w:tc>
        <w:tc>
          <w:tcPr>
            <w:tcW w:w="1701" w:type="dxa"/>
            <w:vMerge w:val="restart"/>
            <w:tcBorders>
              <w:top w:val="nil"/>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企业、个体工商户、农民专业合作社</w:t>
            </w:r>
          </w:p>
        </w:tc>
        <w:tc>
          <w:tcPr>
            <w:tcW w:w="6705"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260" w:lineRule="atLeast"/>
              <w:jc w:val="left"/>
              <w:rPr>
                <w:rFonts w:ascii="Times New Roman" w:hAnsi="Times New Roman" w:cs="Times New Roman"/>
              </w:rPr>
            </w:pPr>
            <w:r w:rsidRPr="0092637A">
              <w:rPr>
                <w:rFonts w:ascii="宋体" w:hAnsi="宋体" w:hint="eastAsia"/>
              </w:rPr>
              <w:t>《中华人民共和国商标法》第六条、第十条、第十四条第五款、第四十三条第二款、第四十九条第一款、第五十一条、第五十二条、第五十三条《中华人民共和国商标法实施条例》第七十一条</w:t>
            </w:r>
          </w:p>
        </w:tc>
      </w:tr>
      <w:tr w:rsidR="00E66E8C" w:rsidTr="00941C1C">
        <w:trPr>
          <w:trHeight w:val="1128"/>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29</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集体商标、证明商标（含地理标志）使用行为的检查</w:t>
            </w:r>
          </w:p>
        </w:tc>
        <w:tc>
          <w:tcPr>
            <w:tcW w:w="1701" w:type="dxa"/>
            <w:vMerge/>
            <w:tcBorders>
              <w:top w:val="nil"/>
              <w:left w:val="nil"/>
              <w:bottom w:val="single" w:sz="4" w:space="0" w:color="000000"/>
              <w:right w:val="single" w:sz="4" w:space="0" w:color="000000"/>
            </w:tcBorders>
            <w:vAlign w:val="center"/>
            <w:hideMark/>
          </w:tcPr>
          <w:p w:rsidR="00E66E8C" w:rsidRPr="0092637A"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《中华人民共和国商标法》第十六条《中华人民共和国商标法实施条例》第四条《集体商标、证明商标注册和管理办法》第十七条、第十八条、第十九条、第二十条</w:t>
            </w:r>
          </w:p>
        </w:tc>
      </w:tr>
      <w:tr w:rsidR="00E66E8C" w:rsidTr="00941C1C">
        <w:trPr>
          <w:trHeight w:val="472"/>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30</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商标印制行为的检查</w:t>
            </w:r>
          </w:p>
        </w:tc>
        <w:tc>
          <w:tcPr>
            <w:tcW w:w="1701" w:type="dxa"/>
            <w:vMerge/>
            <w:tcBorders>
              <w:top w:val="nil"/>
              <w:left w:val="nil"/>
              <w:bottom w:val="single" w:sz="4" w:space="0" w:color="000000"/>
              <w:right w:val="single" w:sz="4" w:space="0" w:color="000000"/>
            </w:tcBorders>
            <w:vAlign w:val="center"/>
            <w:hideMark/>
          </w:tcPr>
          <w:p w:rsidR="00E66E8C" w:rsidRPr="0092637A"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《商标印制管理办法》第三条、第四条、第五条、第六条、第七条、第八条、第九条、第十条、第十一条、第十二条、第十三条</w:t>
            </w:r>
          </w:p>
        </w:tc>
      </w:tr>
      <w:tr w:rsidR="00E66E8C" w:rsidTr="00941C1C">
        <w:trPr>
          <w:trHeight w:val="472"/>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31</w:t>
            </w:r>
          </w:p>
        </w:tc>
        <w:tc>
          <w:tcPr>
            <w:tcW w:w="283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商标代理行为的检查</w:t>
            </w:r>
          </w:p>
        </w:tc>
        <w:tc>
          <w:tcPr>
            <w:tcW w:w="1701" w:type="dxa"/>
            <w:vMerge/>
            <w:tcBorders>
              <w:top w:val="nil"/>
              <w:left w:val="nil"/>
              <w:bottom w:val="single" w:sz="4" w:space="0" w:color="000000"/>
              <w:right w:val="single" w:sz="4" w:space="0" w:color="000000"/>
            </w:tcBorders>
            <w:vAlign w:val="center"/>
            <w:hideMark/>
          </w:tcPr>
          <w:p w:rsidR="00E66E8C" w:rsidRPr="0092637A"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Pr="0092637A" w:rsidRDefault="00E66E8C" w:rsidP="00941C1C">
            <w:pPr>
              <w:pStyle w:val="p0"/>
              <w:spacing w:line="260" w:lineRule="atLeast"/>
              <w:rPr>
                <w:rFonts w:ascii="Times New Roman" w:hAnsi="Times New Roman" w:cs="Times New Roman"/>
              </w:rPr>
            </w:pPr>
            <w:r w:rsidRPr="0092637A">
              <w:rPr>
                <w:rFonts w:ascii="宋体" w:hAnsi="宋体" w:hint="eastAsia"/>
              </w:rPr>
              <w:t>《中华人民共和国商标法》第六十八条第一款第（二）项《中华人民共和国商标法实施条例》第八十八条第（一）项、第八十九条</w:t>
            </w:r>
          </w:p>
        </w:tc>
      </w:tr>
      <w:tr w:rsidR="00E66E8C" w:rsidTr="00941C1C">
        <w:trPr>
          <w:trHeight w:val="472"/>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32</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特殊标志使用行为的检查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rPr>
                <w:rFonts w:ascii="Times New Roman" w:hAnsi="Times New Roman" w:cs="Times New Roman"/>
              </w:rPr>
            </w:pPr>
            <w:r>
              <w:rPr>
                <w:rFonts w:ascii="宋体" w:hAnsi="宋体" w:hint="eastAsia"/>
              </w:rPr>
              <w:t>《特殊标志管理条例》第十五条</w:t>
            </w:r>
          </w:p>
        </w:tc>
      </w:tr>
      <w:tr w:rsidR="00E66E8C" w:rsidTr="00941C1C">
        <w:trPr>
          <w:trHeight w:val="1010"/>
          <w:jc w:val="center"/>
        </w:trPr>
        <w:tc>
          <w:tcPr>
            <w:tcW w:w="1253" w:type="dxa"/>
            <w:vMerge w:val="restart"/>
            <w:tcBorders>
              <w:top w:val="nil"/>
              <w:left w:val="single" w:sz="4" w:space="0" w:color="000000"/>
              <w:bottom w:val="single" w:sz="4" w:space="0" w:color="000000"/>
              <w:right w:val="single" w:sz="4" w:space="0" w:color="000000"/>
            </w:tcBorders>
            <w:hideMark/>
          </w:tcPr>
          <w:p w:rsidR="00E66E8C" w:rsidRDefault="00E66E8C" w:rsidP="00941C1C">
            <w:pPr>
              <w:pStyle w:val="p0"/>
              <w:spacing w:line="240" w:lineRule="atLeast"/>
              <w:jc w:val="center"/>
              <w:rPr>
                <w:rFonts w:ascii="Times New Roman" w:hAnsi="Times New Roman" w:cs="Times New Roman"/>
              </w:rPr>
            </w:pPr>
            <w:r>
              <w:rPr>
                <w:rFonts w:ascii="宋体" w:hAnsi="宋体" w:hint="eastAsia"/>
              </w:rPr>
              <w:t>九、涉网企业公示信息检查</w:t>
            </w: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33</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sz w:val="22"/>
                <w:szCs w:val="22"/>
              </w:rPr>
              <w:t>按照规定向社会公示企业网站或网店真实信息的检查</w:t>
            </w:r>
          </w:p>
        </w:tc>
        <w:tc>
          <w:tcPr>
            <w:tcW w:w="1701" w:type="dxa"/>
            <w:vMerge w:val="restart"/>
            <w:tcBorders>
              <w:top w:val="nil"/>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rPr>
              <w:t>各类网络经营主体</w:t>
            </w: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rPr>
                <w:rFonts w:ascii="Times New Roman" w:hAnsi="Times New Roman" w:cs="Times New Roman"/>
              </w:rPr>
            </w:pPr>
            <w:r>
              <w:rPr>
                <w:rFonts w:ascii="宋体" w:hAnsi="宋体" w:hint="eastAsia"/>
              </w:rPr>
              <w:t>《企业信息公示暂行条例》第三条、第八条、第九条、第十一条、第十二条、第十五条、第十七条《企业公示信息抽查暂行办法》第十条、第十二条《企业经营异常名录管理暂行办法》第四条、第六条、第八条</w:t>
            </w:r>
          </w:p>
        </w:tc>
      </w:tr>
      <w:tr w:rsidR="00E66E8C" w:rsidTr="00941C1C">
        <w:trPr>
          <w:trHeight w:val="1400"/>
          <w:jc w:val="center"/>
        </w:trPr>
        <w:tc>
          <w:tcPr>
            <w:tcW w:w="1253" w:type="dxa"/>
            <w:vMerge/>
            <w:tcBorders>
              <w:top w:val="nil"/>
              <w:left w:val="single" w:sz="4" w:space="0" w:color="000000"/>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850" w:type="dxa"/>
            <w:tcBorders>
              <w:top w:val="single" w:sz="4" w:space="0" w:color="000000"/>
              <w:left w:val="nil"/>
              <w:bottom w:val="single" w:sz="4" w:space="0" w:color="000000"/>
              <w:right w:val="single" w:sz="4" w:space="0" w:color="000000"/>
            </w:tcBorders>
            <w:hideMark/>
          </w:tcPr>
          <w:p w:rsidR="00E66E8C" w:rsidRPr="0092637A" w:rsidRDefault="00E66E8C" w:rsidP="00941C1C">
            <w:pPr>
              <w:pStyle w:val="p0"/>
              <w:spacing w:line="320" w:lineRule="atLeast"/>
              <w:jc w:val="center"/>
              <w:rPr>
                <w:rFonts w:ascii="Times New Roman" w:hAnsi="Times New Roman" w:cs="Times New Roman"/>
              </w:rPr>
            </w:pPr>
            <w:r w:rsidRPr="0092637A">
              <w:rPr>
                <w:rFonts w:ascii="宋体" w:hAnsi="宋体" w:hint="eastAsia"/>
              </w:rPr>
              <w:t>34</w:t>
            </w:r>
          </w:p>
        </w:tc>
        <w:tc>
          <w:tcPr>
            <w:tcW w:w="283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spacing w:line="260" w:lineRule="atLeast"/>
              <w:rPr>
                <w:rFonts w:ascii="Times New Roman" w:hAnsi="Times New Roman" w:cs="Times New Roman"/>
              </w:rPr>
            </w:pPr>
            <w:r>
              <w:rPr>
                <w:rFonts w:ascii="宋体" w:hAnsi="宋体" w:hint="eastAsia"/>
                <w:sz w:val="22"/>
                <w:szCs w:val="22"/>
              </w:rPr>
              <w:t>按照规定在网站公开营业执照登载信息的检查</w:t>
            </w:r>
          </w:p>
        </w:tc>
        <w:tc>
          <w:tcPr>
            <w:tcW w:w="1701" w:type="dxa"/>
            <w:vMerge/>
            <w:tcBorders>
              <w:top w:val="nil"/>
              <w:left w:val="nil"/>
              <w:bottom w:val="single" w:sz="4" w:space="0" w:color="000000"/>
              <w:right w:val="single" w:sz="4" w:space="0" w:color="000000"/>
            </w:tcBorders>
            <w:vAlign w:val="center"/>
            <w:hideMark/>
          </w:tcPr>
          <w:p w:rsidR="00E66E8C" w:rsidRDefault="00E66E8C" w:rsidP="00941C1C">
            <w:pPr>
              <w:rPr>
                <w:rFonts w:ascii="Times New Roman" w:eastAsia="宋体" w:hAnsi="Times New Roman" w:cs="Times New Roman"/>
                <w:szCs w:val="21"/>
              </w:rPr>
            </w:pPr>
          </w:p>
        </w:tc>
        <w:tc>
          <w:tcPr>
            <w:tcW w:w="6705" w:type="dxa"/>
            <w:tcBorders>
              <w:top w:val="single" w:sz="4" w:space="0" w:color="000000"/>
              <w:left w:val="nil"/>
              <w:bottom w:val="single" w:sz="4" w:space="0" w:color="000000"/>
              <w:right w:val="single" w:sz="4" w:space="0" w:color="000000"/>
            </w:tcBorders>
            <w:vAlign w:val="center"/>
            <w:hideMark/>
          </w:tcPr>
          <w:p w:rsidR="00E66E8C" w:rsidRDefault="00E66E8C" w:rsidP="00941C1C">
            <w:pPr>
              <w:pStyle w:val="p0"/>
              <w:rPr>
                <w:rFonts w:ascii="Times New Roman" w:hAnsi="Times New Roman" w:cs="Times New Roman"/>
              </w:rPr>
            </w:pPr>
            <w:r>
              <w:rPr>
                <w:rFonts w:ascii="宋体" w:hAnsi="宋体" w:hint="eastAsia"/>
              </w:rPr>
              <w:t>《网络交易管理办法》第八条、第五十一条</w:t>
            </w:r>
          </w:p>
        </w:tc>
      </w:tr>
    </w:tbl>
    <w:p w:rsidR="005C25B0" w:rsidRPr="00E66E8C" w:rsidRDefault="005C25B0" w:rsidP="00E66E8C">
      <w:pPr>
        <w:pStyle w:val="p0"/>
        <w:jc w:val="center"/>
        <w:rPr>
          <w:rFonts w:ascii="仿宋_GB2312" w:eastAsia="仿宋_GB2312"/>
          <w:sz w:val="32"/>
          <w:szCs w:val="32"/>
        </w:rPr>
      </w:pPr>
    </w:p>
    <w:sectPr w:rsidR="005C25B0" w:rsidRPr="00E66E8C" w:rsidSect="005C25B0">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EE" w:rsidRDefault="00C223EE" w:rsidP="00250A8A">
      <w:pPr>
        <w:ind w:firstLine="640"/>
      </w:pPr>
      <w:r>
        <w:separator/>
      </w:r>
    </w:p>
  </w:endnote>
  <w:endnote w:type="continuationSeparator" w:id="1">
    <w:p w:rsidR="00C223EE" w:rsidRDefault="00C223EE" w:rsidP="00250A8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EE" w:rsidRDefault="00C223EE" w:rsidP="00250A8A">
      <w:pPr>
        <w:ind w:firstLine="640"/>
      </w:pPr>
      <w:r>
        <w:separator/>
      </w:r>
    </w:p>
  </w:footnote>
  <w:footnote w:type="continuationSeparator" w:id="1">
    <w:p w:rsidR="00C223EE" w:rsidRDefault="00C223EE" w:rsidP="00250A8A">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792"/>
    <w:rsid w:val="001F45CF"/>
    <w:rsid w:val="00250A8A"/>
    <w:rsid w:val="00363052"/>
    <w:rsid w:val="005C25B0"/>
    <w:rsid w:val="007237CD"/>
    <w:rsid w:val="007C604E"/>
    <w:rsid w:val="008B2792"/>
    <w:rsid w:val="00A151AE"/>
    <w:rsid w:val="00C223EE"/>
    <w:rsid w:val="00E66E8C"/>
    <w:rsid w:val="00EA0909"/>
    <w:rsid w:val="00ED0D34"/>
    <w:rsid w:val="00F90A9E"/>
    <w:rsid w:val="00F96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B2792"/>
    <w:pPr>
      <w:widowControl/>
    </w:pPr>
    <w:rPr>
      <w:rFonts w:ascii="Calibri" w:eastAsia="宋体" w:hAnsi="Calibri" w:cs="宋体"/>
      <w:kern w:val="0"/>
      <w:szCs w:val="21"/>
    </w:rPr>
  </w:style>
  <w:style w:type="paragraph" w:customStyle="1" w:styleId="p16">
    <w:name w:val="p16"/>
    <w:basedOn w:val="a"/>
    <w:rsid w:val="008B2792"/>
    <w:pPr>
      <w:widowControl/>
      <w:jc w:val="left"/>
    </w:pPr>
    <w:rPr>
      <w:rFonts w:ascii="Times New Roman" w:eastAsia="宋体" w:hAnsi="Times New Roman" w:cs="Times New Roman"/>
      <w:kern w:val="0"/>
      <w:szCs w:val="21"/>
    </w:rPr>
  </w:style>
  <w:style w:type="paragraph" w:customStyle="1" w:styleId="p17">
    <w:name w:val="p17"/>
    <w:basedOn w:val="a"/>
    <w:rsid w:val="008B2792"/>
    <w:pPr>
      <w:widowControl/>
    </w:pPr>
    <w:rPr>
      <w:rFonts w:ascii="Times New Roman" w:eastAsia="宋体" w:hAnsi="Times New Roman" w:cs="Times New Roman"/>
      <w:kern w:val="0"/>
      <w:sz w:val="20"/>
      <w:szCs w:val="20"/>
    </w:rPr>
  </w:style>
  <w:style w:type="paragraph" w:customStyle="1" w:styleId="p18">
    <w:name w:val="p18"/>
    <w:basedOn w:val="a"/>
    <w:rsid w:val="008B2792"/>
    <w:pPr>
      <w:widowControl/>
    </w:pPr>
    <w:rPr>
      <w:rFonts w:ascii="Calibri" w:eastAsia="宋体" w:hAnsi="Calibri" w:cs="宋体"/>
      <w:kern w:val="0"/>
      <w:sz w:val="20"/>
      <w:szCs w:val="20"/>
    </w:rPr>
  </w:style>
  <w:style w:type="character" w:styleId="a3">
    <w:name w:val="Hyperlink"/>
    <w:basedOn w:val="a0"/>
    <w:uiPriority w:val="99"/>
    <w:semiHidden/>
    <w:unhideWhenUsed/>
    <w:rsid w:val="008B2792"/>
    <w:rPr>
      <w:color w:val="0000FF"/>
      <w:u w:val="single"/>
    </w:rPr>
  </w:style>
  <w:style w:type="paragraph" w:styleId="a4">
    <w:name w:val="header"/>
    <w:basedOn w:val="a"/>
    <w:link w:val="Char"/>
    <w:uiPriority w:val="99"/>
    <w:semiHidden/>
    <w:unhideWhenUsed/>
    <w:rsid w:val="0025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0A8A"/>
    <w:rPr>
      <w:sz w:val="18"/>
      <w:szCs w:val="18"/>
    </w:rPr>
  </w:style>
  <w:style w:type="paragraph" w:styleId="a5">
    <w:name w:val="footer"/>
    <w:basedOn w:val="a"/>
    <w:link w:val="Char0"/>
    <w:uiPriority w:val="99"/>
    <w:semiHidden/>
    <w:unhideWhenUsed/>
    <w:rsid w:val="00250A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0A8A"/>
    <w:rPr>
      <w:sz w:val="18"/>
      <w:szCs w:val="18"/>
    </w:rPr>
  </w:style>
</w:styles>
</file>

<file path=word/webSettings.xml><?xml version="1.0" encoding="utf-8"?>
<w:webSettings xmlns:r="http://schemas.openxmlformats.org/officeDocument/2006/relationships" xmlns:w="http://schemas.openxmlformats.org/wordprocessingml/2006/main">
  <w:divs>
    <w:div w:id="1316685979">
      <w:bodyDiv w:val="1"/>
      <w:marLeft w:val="0"/>
      <w:marRight w:val="0"/>
      <w:marTop w:val="0"/>
      <w:marBottom w:val="0"/>
      <w:divBdr>
        <w:top w:val="none" w:sz="0" w:space="0" w:color="auto"/>
        <w:left w:val="none" w:sz="0" w:space="0" w:color="auto"/>
        <w:bottom w:val="none" w:sz="0" w:space="0" w:color="auto"/>
        <w:right w:val="none" w:sz="0" w:space="0" w:color="auto"/>
      </w:divBdr>
      <w:divsChild>
        <w:div w:id="1810585675">
          <w:marLeft w:val="1440"/>
          <w:marRight w:val="1440"/>
          <w:marTop w:val="1797"/>
          <w:marBottom w:val="17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558</Words>
  <Characters>3182</Characters>
  <Application>Microsoft Office Word</Application>
  <DocSecurity>0</DocSecurity>
  <Lines>26</Lines>
  <Paragraphs>7</Paragraphs>
  <ScaleCrop>false</ScaleCrop>
  <Company>Microsoft</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2018-04-26T01:36:00Z</dcterms:created>
  <dcterms:modified xsi:type="dcterms:W3CDTF">2018-05-25T02:38:00Z</dcterms:modified>
</cp:coreProperties>
</file>