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_GB2312" w:hAnsi="仿宋" w:eastAsia="仿宋_GB2312"/>
          <w:color w:val="000000"/>
          <w:sz w:val="32"/>
          <w:szCs w:val="32"/>
        </w:rPr>
      </w:pPr>
      <w:r>
        <w:rPr>
          <w:rFonts w:hint="eastAsia" w:ascii="仿宋_GB2312" w:hAnsi="仿宋" w:eastAsia="仿宋_GB2312" w:cs="仿宋_GB2312"/>
          <w:b/>
          <w:bCs/>
          <w:color w:val="000000"/>
          <w:kern w:val="0"/>
          <w:sz w:val="32"/>
          <w:szCs w:val="32"/>
        </w:rPr>
        <w:t>违法事实：</w:t>
      </w:r>
      <w:r>
        <w:rPr>
          <w:rFonts w:hint="eastAsia" w:ascii="仿宋_GB2312" w:hAnsi="仿宋" w:eastAsia="仿宋_GB2312"/>
          <w:color w:val="000000"/>
          <w:sz w:val="32"/>
          <w:szCs w:val="32"/>
        </w:rPr>
        <w:t>2017年1月19日，我局执法人员对你单位进行执法检查，执法人员在你单位经营场所内发现有一批无中文标签的酒类产品，你单位无法提供上述产品的进货单据和供货商证照，也无法提供上述食品的合格证明文件。你单位购进食品时未查验供货者许可证和食品的合格证明文件的行为违反了《中华人民共和国食品安全法》第五十三条第一款的规定：“食品经营者采购食品，应当查验供货者的许可证和食品出厂检验合格证或者其他合格证明（以下称合格证明文件）。”根据GB7718-2011《食品安全国家标准 预包装食品标签通则》中3.8的要求：“应使用规范的汉字（商标除外）”，你单位经营无中文标签食品的行为违反了《中华人民共和国食品安全法》第六十七条第三款的规定：“食品安全国家标准对标签标注事项另有规定的，从其规定。”经调查，上述食品涉案货值*，违法所得无法认定。</w:t>
      </w:r>
    </w:p>
    <w:p>
      <w:pPr>
        <w:spacing w:line="360" w:lineRule="auto"/>
        <w:jc w:val="left"/>
        <w:rPr>
          <w:rFonts w:ascii="仿宋_GB2312" w:hAnsi="仿宋_GB2312" w:eastAsia="仿宋_GB2312" w:cs="仿宋_GB2312"/>
          <w:color w:val="000000"/>
          <w:sz w:val="32"/>
          <w:szCs w:val="32"/>
        </w:rPr>
      </w:pPr>
      <w:r>
        <w:rPr>
          <w:rFonts w:hint="eastAsia" w:ascii="仿宋_GB2312" w:hAnsi="仿宋" w:eastAsia="仿宋_GB2312" w:cs="仿宋_GB2312"/>
          <w:b/>
          <w:bCs/>
          <w:color w:val="000000"/>
          <w:kern w:val="0"/>
          <w:sz w:val="32"/>
          <w:szCs w:val="32"/>
        </w:rPr>
        <w:t>相关证据：</w:t>
      </w:r>
      <w:r>
        <w:rPr>
          <w:rFonts w:hint="eastAsia" w:ascii="仿宋_GB2312" w:hAnsi="仿宋_GB2312" w:eastAsia="仿宋_GB2312" w:cs="仿宋_GB2312"/>
          <w:color w:val="000000"/>
          <w:sz w:val="32"/>
          <w:szCs w:val="32"/>
        </w:rPr>
        <w:t>1、营业执照、食品经营许可证、负责人身份证复印件；2、现场检查笔录、照片、询问调查笔录等；</w:t>
      </w:r>
    </w:p>
    <w:p>
      <w:pPr>
        <w:spacing w:line="360" w:lineRule="auto"/>
        <w:jc w:val="left"/>
        <w:rPr>
          <w:rFonts w:ascii="仿宋_GB2312" w:hAnsi="仿宋_GB2312" w:eastAsia="仿宋_GB2312" w:cs="仿宋_GB2312"/>
          <w:color w:val="000000"/>
          <w:kern w:val="0"/>
          <w:sz w:val="32"/>
          <w:szCs w:val="32"/>
        </w:rPr>
      </w:pPr>
      <w:r>
        <w:rPr>
          <w:rFonts w:hint="eastAsia" w:ascii="仿宋_GB2312" w:hAnsi="仿宋" w:eastAsia="仿宋_GB2312" w:cs="仿宋_GB2312"/>
          <w:b/>
          <w:bCs/>
          <w:color w:val="000000"/>
          <w:kern w:val="0"/>
          <w:sz w:val="32"/>
          <w:szCs w:val="32"/>
        </w:rPr>
        <w:t>行政处罚依据和种类：</w:t>
      </w:r>
      <w:r>
        <w:rPr>
          <w:rFonts w:hint="eastAsia" w:ascii="仿宋_GB2312" w:hAnsi="仿宋_GB2312" w:eastAsia="仿宋_GB2312" w:cs="仿宋_GB2312"/>
          <w:color w:val="000000"/>
          <w:kern w:val="0"/>
          <w:sz w:val="32"/>
          <w:szCs w:val="32"/>
        </w:rPr>
        <w:t>对你单位购进食品时未查验查验许可证和合格证明文件的行为，依据《</w:t>
      </w:r>
      <w:r>
        <w:rPr>
          <w:rFonts w:hint="eastAsia" w:ascii="仿宋_GB2312" w:hAnsi="仿宋" w:eastAsia="仿宋_GB2312"/>
          <w:color w:val="000000"/>
          <w:sz w:val="32"/>
          <w:szCs w:val="32"/>
        </w:rPr>
        <w:t>中华人民共和国</w:t>
      </w:r>
      <w:r>
        <w:rPr>
          <w:rFonts w:hint="eastAsia" w:ascii="仿宋_GB2312" w:hAnsi="仿宋_GB2312" w:eastAsia="仿宋_GB2312" w:cs="仿宋_GB2312"/>
          <w:color w:val="000000"/>
          <w:kern w:val="0"/>
          <w:sz w:val="32"/>
          <w:szCs w:val="32"/>
        </w:rPr>
        <w:t>食品安全法》第一百二十六条第一款第（三）项的规定：“违反本法规定，有下列情形之一的，由县级以上人民政府食品药品监督管理部门责令改正，给予警告；拒不改正的，处五千元以上五万元以下罚款；情节严重的，责令停产停业，直至吊销许可证：（三）食品、食品添加剂生产经营者进货时未查验许可证和相关证明文件，或者未按规定建立并遵守进货查验记录、出厂检验记录和销售记录制度；”我局决定对你单位给予以下行政处罚：警告。</w:t>
      </w:r>
    </w:p>
    <w:p>
      <w:pPr>
        <w:spacing w:line="360" w:lineRule="auto"/>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对你单位经营标签不符合食品安全标准食品的行为，因你单位已主动停止违法行为，违法情节轻微且及时纠正，未造成严重危害后果，根据《</w:t>
      </w:r>
      <w:r>
        <w:rPr>
          <w:rFonts w:hint="eastAsia" w:ascii="仿宋_GB2312" w:hAnsi="仿宋" w:eastAsia="仿宋_GB2312"/>
          <w:color w:val="000000"/>
          <w:sz w:val="32"/>
          <w:szCs w:val="32"/>
        </w:rPr>
        <w:t>中华人民共和国</w:t>
      </w:r>
      <w:r>
        <w:rPr>
          <w:rFonts w:hint="eastAsia" w:ascii="仿宋_GB2312" w:hAnsi="仿宋_GB2312" w:eastAsia="仿宋_GB2312" w:cs="仿宋_GB2312"/>
          <w:color w:val="000000"/>
          <w:kern w:val="0"/>
          <w:sz w:val="32"/>
          <w:szCs w:val="32"/>
        </w:rPr>
        <w:t>食品安全法》第一百二十五条第一款（二）项的规定：“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我局决定对你单位减轻处罚如下：1、没收扣押的物品；2、处罚款59350元。</w:t>
      </w:r>
    </w:p>
    <w:p>
      <w:pPr>
        <w:spacing w:line="360" w:lineRule="auto"/>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请在接到本处罚决定书之日起</w:t>
      </w:r>
      <w:r>
        <w:rPr>
          <w:rFonts w:ascii="仿宋_GB2312" w:hAnsi="仿宋_GB2312" w:eastAsia="仿宋_GB2312" w:cs="仿宋_GB2312"/>
          <w:color w:val="000000"/>
          <w:kern w:val="0"/>
          <w:sz w:val="32"/>
          <w:szCs w:val="32"/>
        </w:rPr>
        <w:t>15</w:t>
      </w:r>
      <w:r>
        <w:rPr>
          <w:rFonts w:hint="eastAsia" w:ascii="仿宋_GB2312" w:hAnsi="仿宋_GB2312" w:eastAsia="仿宋_GB2312" w:cs="仿宋_GB2312"/>
          <w:color w:val="000000"/>
          <w:kern w:val="0"/>
          <w:sz w:val="32"/>
          <w:szCs w:val="32"/>
        </w:rPr>
        <w:t>日内将罚没款缴到广州市非税收入缴款通知书上指定的银行。逾期不缴纳罚没款的，根据《中华人民共和国行政处罚法》第五十一条第</w:t>
      </w:r>
      <w:r>
        <w:rPr>
          <w:rFonts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rPr>
        <w:t>一</w:t>
      </w:r>
      <w:r>
        <w:rPr>
          <w:rFonts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rPr>
        <w:t>项的规定，每日按罚款数额的</w:t>
      </w:r>
      <w:r>
        <w:rPr>
          <w:rFonts w:ascii="仿宋_GB2312" w:hAnsi="仿宋_GB2312" w:eastAsia="仿宋_GB2312" w:cs="仿宋_GB2312"/>
          <w:color w:val="000000"/>
          <w:kern w:val="0"/>
          <w:sz w:val="32"/>
          <w:szCs w:val="32"/>
        </w:rPr>
        <w:t>3%</w:t>
      </w:r>
      <w:r>
        <w:rPr>
          <w:rFonts w:hint="eastAsia" w:ascii="仿宋_GB2312" w:hAnsi="仿宋_GB2312" w:eastAsia="仿宋_GB2312" w:cs="仿宋_GB2312"/>
          <w:color w:val="000000"/>
          <w:kern w:val="0"/>
          <w:sz w:val="32"/>
          <w:szCs w:val="32"/>
        </w:rPr>
        <w:t>加处罚款，并将</w:t>
      </w:r>
      <w:r>
        <w:rPr>
          <w:rFonts w:hint="eastAsia" w:ascii="仿宋_GB2312" w:hAnsi="仿宋" w:eastAsia="仿宋_GB2312" w:cs="仿宋_GB2312"/>
          <w:color w:val="000000"/>
          <w:kern w:val="0"/>
          <w:sz w:val="32"/>
          <w:szCs w:val="32"/>
        </w:rPr>
        <w:t>依法申请人民法院强制执行。</w:t>
      </w:r>
    </w:p>
    <w:p>
      <w:pPr>
        <w:spacing w:line="360" w:lineRule="auto"/>
        <w:ind w:firstLine="640" w:firstLineChars="200"/>
        <w:jc w:val="left"/>
        <w:rPr>
          <w:rFonts w:ascii="仿宋_GB2312" w:hAnsi="仿宋" w:eastAsia="仿宋_GB2312"/>
          <w:color w:val="000000"/>
          <w:kern w:val="0"/>
          <w:sz w:val="32"/>
          <w:szCs w:val="32"/>
        </w:rPr>
      </w:pPr>
      <w:r>
        <w:rPr>
          <w:rFonts w:hint="eastAsia" w:ascii="仿宋_GB2312" w:hAnsi="仿宋" w:eastAsia="仿宋_GB2312" w:cs="仿宋_GB2312"/>
          <w:color w:val="000000"/>
          <w:kern w:val="0"/>
          <w:sz w:val="32"/>
          <w:szCs w:val="32"/>
        </w:rPr>
        <w:t>如不服本处罚决定，可在接到本处罚决定书之日起60日内向广州市食品药品监督管理局或者广州市增城区人民政府申请行政复议，复议机关地址和电话分别为广州市荔湾区彭城东路16号、81743215和广州市增城区荔城街惠民路1号426室、32829072，也可以于6个月内依法向广州铁路运输第一法院提起行政诉讼。</w:t>
      </w:r>
    </w:p>
    <w:p>
      <w:pPr>
        <w:tabs>
          <w:tab w:val="left" w:pos="8364"/>
        </w:tabs>
        <w:autoSpaceDE w:val="0"/>
        <w:autoSpaceDN w:val="0"/>
        <w:adjustRightInd w:val="0"/>
        <w:spacing w:beforeLines="50" w:line="360" w:lineRule="auto"/>
        <w:ind w:right="420" w:firstLine="2720" w:firstLineChars="850"/>
        <w:rPr>
          <w:rFonts w:ascii="仿宋_GB2312" w:hAnsi="仿宋" w:eastAsia="仿宋_GB2312"/>
          <w:color w:val="000000"/>
          <w:kern w:val="0"/>
          <w:sz w:val="32"/>
          <w:szCs w:val="32"/>
        </w:rPr>
      </w:pPr>
      <w:r>
        <w:rPr>
          <w:rFonts w:hint="eastAsia" w:ascii="仿宋_GB2312" w:hAnsi="仿宋" w:eastAsia="仿宋_GB2312" w:cs="仿宋_GB2312"/>
          <w:color w:val="000000"/>
          <w:kern w:val="0"/>
          <w:sz w:val="32"/>
          <w:szCs w:val="32"/>
        </w:rPr>
        <w:t>广州市增城区食品药品监督管理局</w:t>
      </w:r>
    </w:p>
    <w:p>
      <w:pPr>
        <w:autoSpaceDE w:val="0"/>
        <w:autoSpaceDN w:val="0"/>
        <w:adjustRightInd w:val="0"/>
        <w:spacing w:beforeLines="50" w:line="360" w:lineRule="auto"/>
        <w:ind w:firstLine="4000" w:firstLineChars="1250"/>
        <w:rPr>
          <w:rFonts w:ascii="仿宋_GB2312" w:hAnsi="仿宋" w:eastAsia="仿宋_GB2312"/>
          <w:color w:val="000000"/>
          <w:kern w:val="0"/>
          <w:sz w:val="32"/>
          <w:szCs w:val="32"/>
        </w:rPr>
      </w:pPr>
      <w:r>
        <w:rPr>
          <w:rFonts w:hint="eastAsia" w:ascii="仿宋_GB2312" w:hAnsi="仿宋" w:eastAsia="仿宋_GB2312" w:cs="仿宋_GB2312"/>
          <w:color w:val="000000"/>
          <w:kern w:val="0"/>
          <w:sz w:val="32"/>
          <w:szCs w:val="32"/>
          <w:lang w:val="en-US" w:eastAsia="zh-CN"/>
        </w:rPr>
        <w:t>2018</w:t>
      </w:r>
      <w:r>
        <w:rPr>
          <w:rFonts w:hint="eastAsia" w:ascii="仿宋_GB2312" w:hAnsi="仿宋" w:eastAsia="仿宋_GB2312" w:cs="仿宋_GB2312"/>
          <w:color w:val="000000"/>
          <w:kern w:val="0"/>
          <w:sz w:val="32"/>
          <w:szCs w:val="32"/>
        </w:rPr>
        <w:t>年</w:t>
      </w:r>
      <w:r>
        <w:rPr>
          <w:rFonts w:hint="eastAsia" w:ascii="仿宋_GB2312" w:hAnsi="仿宋" w:eastAsia="仿宋_GB2312" w:cs="仿宋_GB2312"/>
          <w:color w:val="000000"/>
          <w:kern w:val="0"/>
          <w:sz w:val="32"/>
          <w:szCs w:val="32"/>
          <w:lang w:val="en-US" w:eastAsia="zh-CN"/>
        </w:rPr>
        <w:t>6</w:t>
      </w:r>
      <w:r>
        <w:rPr>
          <w:rFonts w:hint="eastAsia" w:ascii="仿宋_GB2312" w:hAnsi="仿宋" w:eastAsia="仿宋_GB2312" w:cs="仿宋_GB2312"/>
          <w:color w:val="000000"/>
          <w:kern w:val="0"/>
          <w:sz w:val="32"/>
          <w:szCs w:val="32"/>
        </w:rPr>
        <w:t>月</w:t>
      </w:r>
      <w:r>
        <w:rPr>
          <w:rFonts w:hint="eastAsia" w:ascii="仿宋_GB2312" w:hAnsi="仿宋" w:eastAsia="仿宋_GB2312" w:cs="仿宋_GB2312"/>
          <w:color w:val="000000"/>
          <w:kern w:val="0"/>
          <w:sz w:val="32"/>
          <w:szCs w:val="32"/>
          <w:lang w:val="en-US" w:eastAsia="zh-CN"/>
        </w:rPr>
        <w:t>29</w:t>
      </w:r>
      <w:bookmarkStart w:id="0" w:name="_GoBack"/>
      <w:bookmarkEnd w:id="0"/>
      <w:r>
        <w:rPr>
          <w:rFonts w:hint="eastAsia" w:ascii="仿宋_GB2312" w:hAnsi="仿宋" w:eastAsia="仿宋_GB2312" w:cs="仿宋_GB2312"/>
          <w:color w:val="000000"/>
          <w:kern w:val="0"/>
          <w:sz w:val="32"/>
          <w:szCs w:val="32"/>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246" w:right="1286" w:bottom="1091"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p>
    <w:pPr>
      <w:pStyle w:val="3"/>
      <w:ind w:right="360"/>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黑体" w:hAnsi="黑体" w:eastAsia="黑体"/>
        <w:b/>
        <w:bCs/>
        <w:color w:val="000000"/>
        <w:sz w:val="32"/>
        <w:szCs w:val="32"/>
      </w:rPr>
    </w:pPr>
    <w:r>
      <w:rPr>
        <w:rFonts w:hint="eastAsia" w:ascii="黑体" w:hAnsi="黑体" w:eastAsia="黑体" w:cs="黑体"/>
        <w:b/>
        <w:bCs/>
        <w:color w:val="000000"/>
        <w:sz w:val="32"/>
        <w:szCs w:val="32"/>
      </w:rPr>
      <w:t>食品药品行政处罚文书</w:t>
    </w:r>
  </w:p>
  <w:p>
    <w:pPr>
      <w:autoSpaceDE w:val="0"/>
      <w:autoSpaceDN w:val="0"/>
      <w:adjustRightInd w:val="0"/>
      <w:spacing w:line="360" w:lineRule="auto"/>
      <w:jc w:val="center"/>
      <w:rPr>
        <w:rFonts w:cs="宋体"/>
        <w:b/>
        <w:bCs/>
        <w:color w:val="000000"/>
        <w:kern w:val="0"/>
        <w:sz w:val="44"/>
        <w:szCs w:val="44"/>
      </w:rPr>
    </w:pPr>
    <w:r>
      <w:rPr>
        <w:rFonts w:hint="eastAsia" w:cs="宋体"/>
        <w:b/>
        <w:bCs/>
        <w:color w:val="000000"/>
        <w:kern w:val="0"/>
        <w:sz w:val="44"/>
        <w:szCs w:val="44"/>
      </w:rPr>
      <w:t>（行政处罚决定书）副页</w:t>
    </w:r>
  </w:p>
  <w:p>
    <w:pPr>
      <w:pStyle w:val="4"/>
      <w:pBdr>
        <w:bottom w:val="none" w:color="auto" w:sz="0" w:space="0"/>
      </w:pBdr>
      <w:jc w:val="right"/>
    </w:pPr>
    <w:r>
      <w:rPr>
        <w:rFonts w:ascii="Times New Roman" w:hAnsi="Times New Roman" w:cs="Times New Roman"/>
        <w:b/>
        <w:sz w:val="21"/>
        <w:szCs w:val="21"/>
      </w:rPr>
      <w:pict>
        <v:line id="_x0000_s14339" o:spid="_x0000_s14339" o:spt="20" style="position:absolute;left:0pt;margin-left:-9pt;margin-top:16.9pt;height:2.4pt;width:468pt;z-index:1024;mso-width-relative:page;mso-height-relative:page;" coordsize="21600,21600">
          <v:path arrowok="t"/>
          <v:fill focussize="0,0"/>
          <v:stroke weight="1.5pt"/>
          <v:imagedata o:title=""/>
          <o:lock v:ext="edit"/>
        </v:line>
      </w:pict>
    </w:r>
    <w:r>
      <w:rPr>
        <w:rFonts w:hint="eastAsia" w:ascii="仿宋_GB2312" w:hAnsi="仿宋" w:eastAsia="仿宋_GB2312" w:cs="仿宋_GB2312"/>
        <w:color w:val="000000"/>
        <w:sz w:val="28"/>
        <w:szCs w:val="28"/>
      </w:rPr>
      <w:t>（增）食药监食</w:t>
    </w:r>
    <w:r>
      <w:rPr>
        <w:rFonts w:hint="eastAsia" w:ascii="仿宋_GB2312" w:hAnsi="仿宋" w:eastAsia="仿宋_GB2312" w:cs="仿宋_GB2312"/>
        <w:color w:val="000000"/>
        <w:kern w:val="0"/>
        <w:sz w:val="28"/>
        <w:szCs w:val="28"/>
      </w:rPr>
      <w:t>罚</w:t>
    </w:r>
    <w:r>
      <w:rPr>
        <w:rFonts w:hint="eastAsia" w:ascii="仿宋_GB2312" w:hAnsi="仿宋" w:eastAsia="仿宋_GB2312" w:cs="仿宋_GB2312"/>
        <w:color w:val="000000"/>
        <w:sz w:val="28"/>
        <w:szCs w:val="28"/>
      </w:rPr>
      <w:t>〔</w:t>
    </w:r>
    <w:r>
      <w:rPr>
        <w:rFonts w:ascii="仿宋_GB2312" w:hAnsi="仿宋" w:eastAsia="仿宋_GB2312" w:cs="仿宋_GB2312"/>
        <w:color w:val="000000"/>
        <w:sz w:val="28"/>
        <w:szCs w:val="28"/>
      </w:rPr>
      <w:t>201</w:t>
    </w:r>
    <w:r>
      <w:rPr>
        <w:rFonts w:hint="eastAsia" w:ascii="仿宋_GB2312" w:hAnsi="仿宋" w:eastAsia="仿宋_GB2312" w:cs="仿宋_GB2312"/>
        <w:color w:val="000000"/>
        <w:sz w:val="28"/>
        <w:szCs w:val="28"/>
      </w:rPr>
      <w:t>8〕31</w:t>
    </w:r>
    <w:r>
      <w:rPr>
        <w:rFonts w:hint="eastAsia" w:ascii="仿宋_GB2312" w:hAnsi="仿宋" w:eastAsia="仿宋_GB2312" w:cs="仿宋_GB2312"/>
        <w:color w:val="000000"/>
        <w:kern w:val="0"/>
        <w:sz w:val="28"/>
        <w:szCs w:val="28"/>
      </w:rPr>
      <w:t>号 第3页共3页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黑体" w:hAnsi="黑体" w:eastAsia="黑体"/>
        <w:b/>
        <w:bCs/>
        <w:color w:val="000000"/>
        <w:sz w:val="32"/>
        <w:szCs w:val="32"/>
      </w:rPr>
    </w:pPr>
    <w:r>
      <w:rPr>
        <w:rFonts w:hint="eastAsia" w:ascii="黑体" w:hAnsi="黑体" w:eastAsia="黑体" w:cs="黑体"/>
        <w:b/>
        <w:bCs/>
        <w:color w:val="000000"/>
        <w:sz w:val="32"/>
        <w:szCs w:val="32"/>
      </w:rPr>
      <w:t>食品药品行政处罚文书</w:t>
    </w:r>
  </w:p>
  <w:p>
    <w:pPr>
      <w:autoSpaceDE w:val="0"/>
      <w:autoSpaceDN w:val="0"/>
      <w:adjustRightInd w:val="0"/>
      <w:spacing w:line="360" w:lineRule="auto"/>
      <w:jc w:val="center"/>
      <w:rPr>
        <w:rFonts w:cs="宋体"/>
        <w:b/>
        <w:bCs/>
        <w:color w:val="000000"/>
        <w:kern w:val="0"/>
        <w:sz w:val="44"/>
        <w:szCs w:val="44"/>
      </w:rPr>
    </w:pPr>
    <w:r>
      <w:rPr>
        <w:rFonts w:hint="eastAsia" w:cs="宋体"/>
        <w:b/>
        <w:bCs/>
        <w:color w:val="000000"/>
        <w:kern w:val="0"/>
        <w:sz w:val="44"/>
        <w:szCs w:val="44"/>
      </w:rPr>
      <w:t>（行政处罚决定书）副页</w:t>
    </w:r>
  </w:p>
  <w:p>
    <w:pPr>
      <w:pStyle w:val="4"/>
      <w:pBdr>
        <w:bottom w:val="none" w:color="auto" w:sz="0" w:space="0"/>
      </w:pBdr>
      <w:jc w:val="right"/>
    </w:pPr>
    <w:r>
      <w:rPr>
        <w:rFonts w:ascii="Times New Roman" w:hAnsi="Times New Roman" w:cs="Times New Roman"/>
        <w:b/>
        <w:sz w:val="21"/>
        <w:szCs w:val="21"/>
      </w:rPr>
      <w:pict>
        <v:line id="_x0000_s14340" o:spid="_x0000_s14340" o:spt="20" style="position:absolute;left:0pt;margin-left:-9pt;margin-top:16.9pt;height:2.4pt;width:468pt;z-index:1024;mso-width-relative:page;mso-height-relative:page;" coordsize="21600,21600">
          <v:path arrowok="t"/>
          <v:fill focussize="0,0"/>
          <v:stroke weight="1.5pt"/>
          <v:imagedata o:title=""/>
          <o:lock v:ext="edit"/>
        </v:line>
      </w:pict>
    </w:r>
    <w:r>
      <w:rPr>
        <w:rFonts w:hint="eastAsia" w:ascii="仿宋_GB2312" w:hAnsi="仿宋" w:eastAsia="仿宋_GB2312" w:cs="仿宋_GB2312"/>
        <w:color w:val="000000"/>
        <w:sz w:val="28"/>
        <w:szCs w:val="28"/>
      </w:rPr>
      <w:t>（增）食药监食</w:t>
    </w:r>
    <w:r>
      <w:rPr>
        <w:rFonts w:hint="eastAsia" w:ascii="仿宋_GB2312" w:hAnsi="仿宋" w:eastAsia="仿宋_GB2312" w:cs="仿宋_GB2312"/>
        <w:color w:val="000000"/>
        <w:kern w:val="0"/>
        <w:sz w:val="28"/>
        <w:szCs w:val="28"/>
      </w:rPr>
      <w:t>罚</w:t>
    </w:r>
    <w:r>
      <w:rPr>
        <w:rFonts w:hint="eastAsia" w:ascii="仿宋_GB2312" w:hAnsi="仿宋" w:eastAsia="仿宋_GB2312" w:cs="仿宋_GB2312"/>
        <w:color w:val="000000"/>
        <w:sz w:val="28"/>
        <w:szCs w:val="28"/>
      </w:rPr>
      <w:t>〔</w:t>
    </w:r>
    <w:r>
      <w:rPr>
        <w:rFonts w:ascii="仿宋_GB2312" w:hAnsi="仿宋" w:eastAsia="仿宋_GB2312" w:cs="仿宋_GB2312"/>
        <w:color w:val="000000"/>
        <w:sz w:val="28"/>
        <w:szCs w:val="28"/>
      </w:rPr>
      <w:t>201</w:t>
    </w:r>
    <w:r>
      <w:rPr>
        <w:rFonts w:hint="eastAsia" w:ascii="仿宋_GB2312" w:hAnsi="仿宋" w:eastAsia="仿宋_GB2312" w:cs="仿宋_GB2312"/>
        <w:color w:val="000000"/>
        <w:sz w:val="28"/>
        <w:szCs w:val="28"/>
      </w:rPr>
      <w:t>8〕31</w:t>
    </w:r>
    <w:r>
      <w:rPr>
        <w:rFonts w:hint="eastAsia" w:ascii="仿宋_GB2312" w:hAnsi="仿宋" w:eastAsia="仿宋_GB2312" w:cs="仿宋_GB2312"/>
        <w:color w:val="000000"/>
        <w:kern w:val="0"/>
        <w:sz w:val="28"/>
        <w:szCs w:val="28"/>
      </w:rPr>
      <w:t>号 第2页共3页</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0" w:after="0" w:line="360" w:lineRule="auto"/>
      <w:jc w:val="center"/>
      <w:rPr>
        <w:rFonts w:ascii="黑体" w:hAnsi="黑体" w:eastAsia="黑体" w:cs="Times New Roman"/>
        <w:b/>
        <w:bCs/>
        <w:color w:val="000000"/>
        <w:sz w:val="32"/>
        <w:szCs w:val="32"/>
      </w:rPr>
    </w:pPr>
    <w:r>
      <w:rPr>
        <w:rFonts w:hint="eastAsia" w:ascii="黑体" w:hAnsi="黑体" w:eastAsia="黑体" w:cs="黑体"/>
        <w:b/>
        <w:bCs/>
        <w:color w:val="000000"/>
        <w:sz w:val="32"/>
        <w:szCs w:val="32"/>
      </w:rPr>
      <w:t>食品药品行政处罚文书</w:t>
    </w:r>
  </w:p>
  <w:p>
    <w:pPr>
      <w:autoSpaceDE w:val="0"/>
      <w:autoSpaceDN w:val="0"/>
      <w:adjustRightInd w:val="0"/>
      <w:spacing w:line="360" w:lineRule="auto"/>
      <w:jc w:val="center"/>
      <w:rPr>
        <w:b/>
        <w:bCs/>
        <w:color w:val="000000"/>
        <w:kern w:val="0"/>
        <w:sz w:val="44"/>
        <w:szCs w:val="44"/>
      </w:rPr>
    </w:pPr>
    <w:r>
      <w:rPr>
        <w:rFonts w:hint="eastAsia" w:cs="宋体"/>
        <w:b/>
        <w:bCs/>
        <w:color w:val="000000"/>
        <w:kern w:val="0"/>
        <w:sz w:val="44"/>
        <w:szCs w:val="44"/>
      </w:rPr>
      <w:t>行政处罚决定书</w:t>
    </w:r>
  </w:p>
  <w:p>
    <w:pPr>
      <w:autoSpaceDE w:val="0"/>
      <w:autoSpaceDN w:val="0"/>
      <w:adjustRightInd w:val="0"/>
      <w:spacing w:beforeLines="50" w:line="360" w:lineRule="auto"/>
      <w:jc w:val="right"/>
      <w:rPr>
        <w:rFonts w:ascii="仿宋_GB2312" w:hAnsi="仿宋" w:eastAsia="仿宋_GB2312" w:cs="仿宋_GB2312"/>
        <w:color w:val="000000"/>
        <w:kern w:val="0"/>
        <w:sz w:val="28"/>
        <w:szCs w:val="28"/>
      </w:rPr>
    </w:pPr>
    <w:r>
      <w:pict>
        <v:line id="_x0000_s14338" o:spid="_x0000_s14338" o:spt="20" style="position:absolute;left:0pt;margin-left:-9pt;margin-top:26.05pt;height:2.4pt;width:468pt;z-index:1024;mso-width-relative:page;mso-height-relative:page;" coordsize="21600,21600">
          <v:path arrowok="t"/>
          <v:fill focussize="0,0"/>
          <v:stroke weight="1.5pt"/>
          <v:imagedata o:title=""/>
          <o:lock v:ext="edit"/>
        </v:line>
      </w:pict>
    </w:r>
    <w:r>
      <w:rPr>
        <w:rFonts w:hint="eastAsia" w:ascii="仿宋_GB2312" w:hAnsi="仿宋" w:eastAsia="仿宋_GB2312" w:cs="仿宋_GB2312"/>
        <w:color w:val="000000"/>
        <w:sz w:val="28"/>
        <w:szCs w:val="28"/>
      </w:rPr>
      <w:t>（增）食药监食</w:t>
    </w:r>
    <w:r>
      <w:rPr>
        <w:rFonts w:hint="eastAsia" w:ascii="仿宋_GB2312" w:hAnsi="仿宋" w:eastAsia="仿宋_GB2312" w:cs="仿宋_GB2312"/>
        <w:color w:val="000000"/>
        <w:kern w:val="0"/>
        <w:sz w:val="28"/>
        <w:szCs w:val="28"/>
      </w:rPr>
      <w:t>罚</w:t>
    </w:r>
    <w:r>
      <w:rPr>
        <w:rFonts w:hint="eastAsia" w:ascii="仿宋_GB2312" w:hAnsi="仿宋" w:eastAsia="仿宋_GB2312" w:cs="仿宋_GB2312"/>
        <w:color w:val="000000"/>
        <w:sz w:val="28"/>
        <w:szCs w:val="28"/>
      </w:rPr>
      <w:t>〔</w:t>
    </w:r>
    <w:r>
      <w:rPr>
        <w:rFonts w:ascii="仿宋_GB2312" w:hAnsi="仿宋" w:eastAsia="仿宋_GB2312" w:cs="仿宋_GB2312"/>
        <w:color w:val="000000"/>
        <w:sz w:val="28"/>
        <w:szCs w:val="28"/>
      </w:rPr>
      <w:t>201</w:t>
    </w:r>
    <w:r>
      <w:rPr>
        <w:rFonts w:hint="eastAsia" w:ascii="仿宋_GB2312" w:hAnsi="仿宋" w:eastAsia="仿宋_GB2312" w:cs="仿宋_GB2312"/>
        <w:color w:val="000000"/>
        <w:sz w:val="28"/>
        <w:szCs w:val="28"/>
      </w:rPr>
      <w:t>8〕31</w:t>
    </w:r>
    <w:r>
      <w:rPr>
        <w:rFonts w:hint="eastAsia" w:ascii="仿宋_GB2312" w:hAnsi="仿宋" w:eastAsia="仿宋_GB2312" w:cs="仿宋_GB2312"/>
        <w:color w:val="000000"/>
        <w:kern w:val="0"/>
        <w:sz w:val="28"/>
        <w:szCs w:val="28"/>
      </w:rPr>
      <w:t>号 第</w:t>
    </w:r>
    <w:r>
      <w:rPr>
        <w:rFonts w:ascii="仿宋_GB2312" w:hAnsi="仿宋" w:eastAsia="仿宋_GB2312" w:cs="仿宋_GB2312"/>
        <w:color w:val="000000"/>
        <w:kern w:val="0"/>
        <w:sz w:val="28"/>
        <w:szCs w:val="28"/>
      </w:rPr>
      <w:t xml:space="preserve"> 1 </w:t>
    </w:r>
    <w:r>
      <w:rPr>
        <w:rFonts w:hint="eastAsia" w:ascii="仿宋_GB2312" w:hAnsi="仿宋" w:eastAsia="仿宋_GB2312" w:cs="仿宋_GB2312"/>
        <w:color w:val="000000"/>
        <w:kern w:val="0"/>
        <w:sz w:val="28"/>
        <w:szCs w:val="28"/>
      </w:rPr>
      <w:t>页共 3 页</w:t>
    </w:r>
  </w:p>
  <w:p>
    <w:pPr>
      <w:autoSpaceDE w:val="0"/>
      <w:autoSpaceDN w:val="0"/>
      <w:adjustRightInd w:val="0"/>
      <w:spacing w:line="360" w:lineRule="auto"/>
      <w:jc w:val="left"/>
      <w:rPr>
        <w:rFonts w:ascii="仿宋_GB2312" w:hAnsi="仿宋" w:eastAsia="仿宋_GB2312"/>
        <w:color w:val="000000"/>
        <w:sz w:val="32"/>
        <w:szCs w:val="32"/>
      </w:rPr>
    </w:pPr>
    <w:r>
      <w:rPr>
        <w:rFonts w:hint="eastAsia" w:ascii="仿宋_GB2312" w:hAnsi="仿宋" w:eastAsia="仿宋_GB2312" w:cs="仿宋_GB2312"/>
        <w:b/>
        <w:bCs/>
        <w:color w:val="000000"/>
        <w:kern w:val="0"/>
        <w:sz w:val="32"/>
        <w:szCs w:val="32"/>
      </w:rPr>
      <w:t>当事人：</w:t>
    </w:r>
    <w:r>
      <w:rPr>
        <w:rFonts w:hint="eastAsia" w:ascii="仿宋_GB2312" w:hAnsi="仿宋_GB2312" w:eastAsia="仿宋_GB2312" w:cs="仿宋_GB2312"/>
        <w:bCs/>
        <w:color w:val="000000"/>
        <w:sz w:val="32"/>
        <w:szCs w:val="32"/>
      </w:rPr>
      <w:t>广州市港霸贸易有限公司</w:t>
    </w:r>
  </w:p>
  <w:p>
    <w:pPr>
      <w:autoSpaceDE w:val="0"/>
      <w:autoSpaceDN w:val="0"/>
      <w:adjustRightInd w:val="0"/>
      <w:spacing w:line="360" w:lineRule="auto"/>
      <w:jc w:val="left"/>
      <w:rPr>
        <w:rFonts w:ascii="仿宋_GB2312" w:hAnsi="仿宋" w:eastAsia="仿宋_GB2312" w:cs="仿宋_GB2312"/>
        <w:color w:val="000000"/>
        <w:sz w:val="32"/>
        <w:szCs w:val="32"/>
      </w:rPr>
    </w:pPr>
    <w:r>
      <w:rPr>
        <w:rFonts w:hint="eastAsia" w:ascii="仿宋_GB2312" w:hAnsi="仿宋" w:eastAsia="仿宋_GB2312" w:cs="仿宋_GB2312"/>
        <w:b/>
        <w:bCs/>
        <w:color w:val="000000"/>
        <w:kern w:val="0"/>
        <w:sz w:val="32"/>
        <w:szCs w:val="32"/>
      </w:rPr>
      <w:t>地址（住址）：</w:t>
    </w:r>
    <w:r>
      <w:rPr>
        <w:rFonts w:hint="eastAsia" w:ascii="仿宋_GB2312" w:hAnsi="仿宋" w:eastAsia="仿宋_GB2312" w:cs="仿宋_GB2312"/>
        <w:color w:val="000000"/>
        <w:sz w:val="32"/>
        <w:szCs w:val="32"/>
      </w:rPr>
      <w:t>广州市增城荔城街府佑路248号</w:t>
    </w:r>
  </w:p>
  <w:p>
    <w:pPr>
      <w:autoSpaceDE w:val="0"/>
      <w:autoSpaceDN w:val="0"/>
      <w:adjustRightInd w:val="0"/>
      <w:spacing w:line="360" w:lineRule="auto"/>
      <w:jc w:val="left"/>
      <w:rPr>
        <w:rFonts w:ascii="仿宋_GB2312" w:hAnsi="仿宋" w:eastAsia="仿宋_GB2312" w:cs="仿宋_GB2312"/>
        <w:color w:val="000000"/>
        <w:sz w:val="32"/>
        <w:szCs w:val="32"/>
      </w:rPr>
    </w:pPr>
    <w:r>
      <w:rPr>
        <w:rFonts w:hint="eastAsia" w:ascii="仿宋_GB2312" w:hAnsi="仿宋" w:eastAsia="仿宋_GB2312" w:cs="仿宋_GB2312"/>
        <w:b/>
        <w:bCs/>
        <w:color w:val="000000"/>
        <w:kern w:val="0"/>
        <w:sz w:val="32"/>
        <w:szCs w:val="32"/>
      </w:rPr>
      <w:t>营业执照或其他资质证明</w:t>
    </w:r>
    <w:r>
      <w:rPr>
        <w:rFonts w:hint="eastAsia" w:ascii="仿宋_GB2312" w:hAnsi="仿宋" w:eastAsia="仿宋_GB2312" w:cs="仿宋_GB2312"/>
        <w:color w:val="000000"/>
        <w:kern w:val="0"/>
        <w:sz w:val="32"/>
        <w:szCs w:val="32"/>
      </w:rPr>
      <w:t>：</w:t>
    </w:r>
    <w:r>
      <w:rPr>
        <w:rFonts w:hint="eastAsia" w:ascii="仿宋_GB2312" w:hAnsi="仿宋" w:eastAsia="仿宋_GB2312" w:cs="仿宋"/>
        <w:color w:val="000000"/>
        <w:sz w:val="32"/>
        <w:szCs w:val="32"/>
      </w:rPr>
      <w:t>食品经营许可证</w:t>
    </w:r>
  </w:p>
  <w:p>
    <w:pPr>
      <w:autoSpaceDE w:val="0"/>
      <w:autoSpaceDN w:val="0"/>
      <w:adjustRightInd w:val="0"/>
      <w:spacing w:line="360" w:lineRule="auto"/>
      <w:jc w:val="left"/>
      <w:rPr>
        <w:rFonts w:ascii="仿宋_GB2312" w:hAnsi="仿宋" w:eastAsia="仿宋_GB2312" w:cs="仿宋_GB2312"/>
        <w:color w:val="000000"/>
        <w:sz w:val="32"/>
        <w:szCs w:val="32"/>
      </w:rPr>
    </w:pPr>
    <w:r>
      <w:rPr>
        <w:rFonts w:hint="eastAsia" w:ascii="仿宋_GB2312" w:hAnsi="仿宋" w:eastAsia="仿宋_GB2312" w:cs="仿宋_GB2312"/>
        <w:b/>
        <w:bCs/>
        <w:color w:val="000000"/>
        <w:kern w:val="0"/>
        <w:sz w:val="32"/>
        <w:szCs w:val="32"/>
      </w:rPr>
      <w:t>编号：</w:t>
    </w:r>
    <w:r>
      <w:rPr>
        <w:rFonts w:hint="eastAsia" w:ascii="仿宋_GB2312" w:hAnsi="仿宋" w:eastAsia="仿宋_GB2312" w:cs="仿宋"/>
        <w:color w:val="000000"/>
        <w:sz w:val="32"/>
        <w:szCs w:val="32"/>
      </w:rPr>
      <w:t xml:space="preserve">JY14401830038572 </w:t>
    </w:r>
    <w:r>
      <w:rPr>
        <w:rFonts w:hint="eastAsia" w:ascii="仿宋_GB2312" w:hAnsi="仿宋" w:eastAsia="仿宋_GB2312" w:cs="仿宋_GB2312"/>
        <w:b/>
        <w:bCs/>
        <w:color w:val="000000"/>
        <w:kern w:val="0"/>
        <w:sz w:val="32"/>
        <w:szCs w:val="32"/>
      </w:rPr>
      <w:t>邮编：</w:t>
    </w:r>
    <w:r>
      <w:rPr>
        <w:rFonts w:ascii="仿宋_GB2312" w:hAnsi="仿宋" w:eastAsia="仿宋_GB2312" w:cs="仿宋_GB2312"/>
        <w:color w:val="000000"/>
        <w:sz w:val="32"/>
        <w:szCs w:val="32"/>
      </w:rPr>
      <w:t xml:space="preserve">511300  </w:t>
    </w:r>
  </w:p>
  <w:p>
    <w:pPr>
      <w:autoSpaceDE w:val="0"/>
      <w:autoSpaceDN w:val="0"/>
      <w:adjustRightInd w:val="0"/>
      <w:spacing w:line="360" w:lineRule="auto"/>
      <w:jc w:val="left"/>
      <w:rPr>
        <w:rFonts w:ascii="仿宋_GB2312" w:hAnsi="仿宋" w:eastAsia="仿宋_GB2312" w:cs="仿宋_GB2312"/>
        <w:color w:val="000000"/>
        <w:sz w:val="32"/>
        <w:szCs w:val="32"/>
      </w:rPr>
    </w:pPr>
    <w:r>
      <w:rPr>
        <w:rFonts w:hint="eastAsia" w:ascii="仿宋_GB2312" w:hAnsi="仿宋" w:eastAsia="仿宋_GB2312" w:cs="仿宋_GB2312"/>
        <w:b/>
        <w:bCs/>
        <w:color w:val="000000"/>
        <w:kern w:val="0"/>
        <w:sz w:val="32"/>
        <w:szCs w:val="32"/>
      </w:rPr>
      <w:t>法定代表人（负责人）：</w:t>
    </w:r>
    <w:r>
      <w:rPr>
        <w:rFonts w:hint="eastAsia" w:ascii="仿宋_GB2312" w:hAnsi="Arial" w:eastAsia="仿宋_GB2312" w:cs="仿宋_GB2312"/>
        <w:color w:val="000000"/>
        <w:sz w:val="32"/>
        <w:szCs w:val="32"/>
      </w:rPr>
      <w:t xml:space="preserve">徐金围 </w:t>
    </w:r>
    <w:r>
      <w:rPr>
        <w:rFonts w:hint="eastAsia" w:ascii="仿宋_GB2312" w:hAnsi="仿宋" w:eastAsia="仿宋_GB2312" w:cs="仿宋_GB2312"/>
        <w:b/>
        <w:bCs/>
        <w:color w:val="000000"/>
        <w:kern w:val="0"/>
        <w:sz w:val="32"/>
        <w:szCs w:val="32"/>
      </w:rPr>
      <w:t>性别：</w:t>
    </w:r>
    <w:r>
      <w:rPr>
        <w:rFonts w:hint="eastAsia" w:ascii="仿宋_GB2312" w:hAnsi="仿宋" w:eastAsia="仿宋_GB2312" w:cs="仿宋_GB2312"/>
        <w:color w:val="000000"/>
        <w:sz w:val="32"/>
        <w:szCs w:val="32"/>
      </w:rPr>
      <w:t xml:space="preserve">* </w:t>
    </w:r>
    <w:r>
      <w:rPr>
        <w:rFonts w:hint="eastAsia" w:ascii="仿宋_GB2312" w:hAnsi="仿宋" w:eastAsia="仿宋_GB2312" w:cs="仿宋_GB2312"/>
        <w:b/>
        <w:bCs/>
        <w:color w:val="000000"/>
        <w:kern w:val="0"/>
        <w:sz w:val="32"/>
        <w:szCs w:val="32"/>
      </w:rPr>
      <w:t>职务：</w:t>
    </w:r>
    <w:r>
      <w:rPr>
        <w:rFonts w:hint="eastAsia" w:ascii="仿宋_GB2312" w:hAnsi="仿宋" w:eastAsia="仿宋_GB2312" w:cs="仿宋_GB2312"/>
        <w:color w:val="000000"/>
        <w:sz w:val="32"/>
        <w:szCs w:val="32"/>
      </w:rPr>
      <w:t>法定代表人</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1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02A9F"/>
    <w:rsid w:val="000105B4"/>
    <w:rsid w:val="0001396F"/>
    <w:rsid w:val="00015B21"/>
    <w:rsid w:val="00045DB4"/>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731A"/>
    <w:rsid w:val="00102A87"/>
    <w:rsid w:val="00121CEC"/>
    <w:rsid w:val="00134D3E"/>
    <w:rsid w:val="00152CE0"/>
    <w:rsid w:val="00160DEE"/>
    <w:rsid w:val="0016559E"/>
    <w:rsid w:val="00166453"/>
    <w:rsid w:val="0017278A"/>
    <w:rsid w:val="00182618"/>
    <w:rsid w:val="001A0C89"/>
    <w:rsid w:val="001B45C1"/>
    <w:rsid w:val="001C1790"/>
    <w:rsid w:val="001C48F2"/>
    <w:rsid w:val="001C5424"/>
    <w:rsid w:val="001E1D18"/>
    <w:rsid w:val="002020A7"/>
    <w:rsid w:val="00231598"/>
    <w:rsid w:val="00232B94"/>
    <w:rsid w:val="00255C87"/>
    <w:rsid w:val="00256027"/>
    <w:rsid w:val="002777BC"/>
    <w:rsid w:val="002831D5"/>
    <w:rsid w:val="00284FDE"/>
    <w:rsid w:val="00295FF1"/>
    <w:rsid w:val="002C142C"/>
    <w:rsid w:val="002E7E1A"/>
    <w:rsid w:val="003127AE"/>
    <w:rsid w:val="00323C74"/>
    <w:rsid w:val="00343048"/>
    <w:rsid w:val="00380392"/>
    <w:rsid w:val="00384FAA"/>
    <w:rsid w:val="00394278"/>
    <w:rsid w:val="003A0ABE"/>
    <w:rsid w:val="003A1D94"/>
    <w:rsid w:val="003A55CC"/>
    <w:rsid w:val="003D150E"/>
    <w:rsid w:val="003D630C"/>
    <w:rsid w:val="003F3761"/>
    <w:rsid w:val="003F68AA"/>
    <w:rsid w:val="0040293D"/>
    <w:rsid w:val="00402D17"/>
    <w:rsid w:val="00414601"/>
    <w:rsid w:val="004259DB"/>
    <w:rsid w:val="00425DC3"/>
    <w:rsid w:val="004404D4"/>
    <w:rsid w:val="00442743"/>
    <w:rsid w:val="004528DB"/>
    <w:rsid w:val="00475365"/>
    <w:rsid w:val="00476B0C"/>
    <w:rsid w:val="004811BE"/>
    <w:rsid w:val="0048146C"/>
    <w:rsid w:val="00481A8C"/>
    <w:rsid w:val="00485D52"/>
    <w:rsid w:val="004869B2"/>
    <w:rsid w:val="004A6141"/>
    <w:rsid w:val="004B387D"/>
    <w:rsid w:val="004C26D7"/>
    <w:rsid w:val="004C35AE"/>
    <w:rsid w:val="004C57F7"/>
    <w:rsid w:val="004E02C0"/>
    <w:rsid w:val="004E0BBA"/>
    <w:rsid w:val="004E43F6"/>
    <w:rsid w:val="004F2515"/>
    <w:rsid w:val="00504367"/>
    <w:rsid w:val="00523F27"/>
    <w:rsid w:val="0053044A"/>
    <w:rsid w:val="005467E1"/>
    <w:rsid w:val="005511FD"/>
    <w:rsid w:val="0055222E"/>
    <w:rsid w:val="005804D6"/>
    <w:rsid w:val="005831E9"/>
    <w:rsid w:val="00587501"/>
    <w:rsid w:val="00594F97"/>
    <w:rsid w:val="005A367A"/>
    <w:rsid w:val="005C3C12"/>
    <w:rsid w:val="005D3FBF"/>
    <w:rsid w:val="005E44A8"/>
    <w:rsid w:val="00607754"/>
    <w:rsid w:val="00613E41"/>
    <w:rsid w:val="0062636B"/>
    <w:rsid w:val="00635C62"/>
    <w:rsid w:val="00646CBB"/>
    <w:rsid w:val="00660B8F"/>
    <w:rsid w:val="00661741"/>
    <w:rsid w:val="00661F5F"/>
    <w:rsid w:val="00662514"/>
    <w:rsid w:val="0067016A"/>
    <w:rsid w:val="0067681D"/>
    <w:rsid w:val="0068469F"/>
    <w:rsid w:val="00684D7E"/>
    <w:rsid w:val="00690AE1"/>
    <w:rsid w:val="00695152"/>
    <w:rsid w:val="006961F3"/>
    <w:rsid w:val="006A2CD2"/>
    <w:rsid w:val="006C1E51"/>
    <w:rsid w:val="006D0410"/>
    <w:rsid w:val="006D44DB"/>
    <w:rsid w:val="006D638A"/>
    <w:rsid w:val="006E0E4D"/>
    <w:rsid w:val="006E1538"/>
    <w:rsid w:val="006F5964"/>
    <w:rsid w:val="006F7FE7"/>
    <w:rsid w:val="0070177F"/>
    <w:rsid w:val="007135AB"/>
    <w:rsid w:val="007220BA"/>
    <w:rsid w:val="00731375"/>
    <w:rsid w:val="00734422"/>
    <w:rsid w:val="00764EF2"/>
    <w:rsid w:val="0078242B"/>
    <w:rsid w:val="00783B7F"/>
    <w:rsid w:val="007B74CA"/>
    <w:rsid w:val="007C3ED6"/>
    <w:rsid w:val="007C453C"/>
    <w:rsid w:val="007D6ABC"/>
    <w:rsid w:val="007E2652"/>
    <w:rsid w:val="007F3952"/>
    <w:rsid w:val="007F7912"/>
    <w:rsid w:val="0080219A"/>
    <w:rsid w:val="00802F8A"/>
    <w:rsid w:val="00813310"/>
    <w:rsid w:val="0081404E"/>
    <w:rsid w:val="00817EAE"/>
    <w:rsid w:val="008246D9"/>
    <w:rsid w:val="00824AEE"/>
    <w:rsid w:val="008325CC"/>
    <w:rsid w:val="00842C68"/>
    <w:rsid w:val="00851F68"/>
    <w:rsid w:val="00854CD9"/>
    <w:rsid w:val="00876D32"/>
    <w:rsid w:val="008A7B32"/>
    <w:rsid w:val="008B3E1B"/>
    <w:rsid w:val="008B622D"/>
    <w:rsid w:val="008B6465"/>
    <w:rsid w:val="008E3017"/>
    <w:rsid w:val="008E526A"/>
    <w:rsid w:val="008E7066"/>
    <w:rsid w:val="008F491F"/>
    <w:rsid w:val="008F4A67"/>
    <w:rsid w:val="00902A9F"/>
    <w:rsid w:val="00903EE8"/>
    <w:rsid w:val="009059D7"/>
    <w:rsid w:val="009230A1"/>
    <w:rsid w:val="00923B52"/>
    <w:rsid w:val="00925F6F"/>
    <w:rsid w:val="00927D09"/>
    <w:rsid w:val="00951138"/>
    <w:rsid w:val="00965AED"/>
    <w:rsid w:val="00992033"/>
    <w:rsid w:val="009944FC"/>
    <w:rsid w:val="00994789"/>
    <w:rsid w:val="009A305E"/>
    <w:rsid w:val="009A402F"/>
    <w:rsid w:val="009A6CDB"/>
    <w:rsid w:val="009A7D0B"/>
    <w:rsid w:val="009C3123"/>
    <w:rsid w:val="009C5A29"/>
    <w:rsid w:val="009D7E3F"/>
    <w:rsid w:val="009E3092"/>
    <w:rsid w:val="009F3DDD"/>
    <w:rsid w:val="009F52D1"/>
    <w:rsid w:val="009F7CF4"/>
    <w:rsid w:val="00A005DC"/>
    <w:rsid w:val="00A12F5A"/>
    <w:rsid w:val="00A1526F"/>
    <w:rsid w:val="00A21737"/>
    <w:rsid w:val="00A24A5C"/>
    <w:rsid w:val="00A3530A"/>
    <w:rsid w:val="00A504AE"/>
    <w:rsid w:val="00A52840"/>
    <w:rsid w:val="00A75DD9"/>
    <w:rsid w:val="00A7744D"/>
    <w:rsid w:val="00A82740"/>
    <w:rsid w:val="00A8351E"/>
    <w:rsid w:val="00A91CFE"/>
    <w:rsid w:val="00A93ED5"/>
    <w:rsid w:val="00A95470"/>
    <w:rsid w:val="00AA6FE1"/>
    <w:rsid w:val="00AB13E5"/>
    <w:rsid w:val="00AC3E47"/>
    <w:rsid w:val="00AD0F5C"/>
    <w:rsid w:val="00AE3BF6"/>
    <w:rsid w:val="00AE5A2C"/>
    <w:rsid w:val="00AF14BF"/>
    <w:rsid w:val="00B021D0"/>
    <w:rsid w:val="00B058BA"/>
    <w:rsid w:val="00B13F6A"/>
    <w:rsid w:val="00B17AE3"/>
    <w:rsid w:val="00B23758"/>
    <w:rsid w:val="00B27769"/>
    <w:rsid w:val="00B32AA8"/>
    <w:rsid w:val="00B40197"/>
    <w:rsid w:val="00B52CF2"/>
    <w:rsid w:val="00B62F64"/>
    <w:rsid w:val="00B63958"/>
    <w:rsid w:val="00B6738F"/>
    <w:rsid w:val="00B7448D"/>
    <w:rsid w:val="00B766AC"/>
    <w:rsid w:val="00B80F2C"/>
    <w:rsid w:val="00B91104"/>
    <w:rsid w:val="00B964AE"/>
    <w:rsid w:val="00BA6892"/>
    <w:rsid w:val="00BA713A"/>
    <w:rsid w:val="00BC2027"/>
    <w:rsid w:val="00BC2B28"/>
    <w:rsid w:val="00BC448B"/>
    <w:rsid w:val="00BD7E96"/>
    <w:rsid w:val="00BE0923"/>
    <w:rsid w:val="00BF5A50"/>
    <w:rsid w:val="00BF6B91"/>
    <w:rsid w:val="00BF74D1"/>
    <w:rsid w:val="00C04C5C"/>
    <w:rsid w:val="00C170F2"/>
    <w:rsid w:val="00C218C1"/>
    <w:rsid w:val="00C241F7"/>
    <w:rsid w:val="00C30576"/>
    <w:rsid w:val="00C37DF0"/>
    <w:rsid w:val="00C43307"/>
    <w:rsid w:val="00C44D90"/>
    <w:rsid w:val="00C62C8E"/>
    <w:rsid w:val="00C730A1"/>
    <w:rsid w:val="00C73540"/>
    <w:rsid w:val="00C75D9A"/>
    <w:rsid w:val="00C81243"/>
    <w:rsid w:val="00C859E4"/>
    <w:rsid w:val="00C929A9"/>
    <w:rsid w:val="00CB13AB"/>
    <w:rsid w:val="00CC1F19"/>
    <w:rsid w:val="00CD6E8D"/>
    <w:rsid w:val="00CE11B2"/>
    <w:rsid w:val="00CF34DC"/>
    <w:rsid w:val="00D02B27"/>
    <w:rsid w:val="00D03E8B"/>
    <w:rsid w:val="00D0714E"/>
    <w:rsid w:val="00D129E3"/>
    <w:rsid w:val="00D2053E"/>
    <w:rsid w:val="00D266B5"/>
    <w:rsid w:val="00D338B2"/>
    <w:rsid w:val="00D41718"/>
    <w:rsid w:val="00D41D02"/>
    <w:rsid w:val="00D552A8"/>
    <w:rsid w:val="00D615F9"/>
    <w:rsid w:val="00D64BC0"/>
    <w:rsid w:val="00D71A82"/>
    <w:rsid w:val="00D75C4F"/>
    <w:rsid w:val="00D7659C"/>
    <w:rsid w:val="00D826BE"/>
    <w:rsid w:val="00D82915"/>
    <w:rsid w:val="00D91F68"/>
    <w:rsid w:val="00DA461A"/>
    <w:rsid w:val="00DB0087"/>
    <w:rsid w:val="00DB0532"/>
    <w:rsid w:val="00DB1324"/>
    <w:rsid w:val="00DB203B"/>
    <w:rsid w:val="00DB6077"/>
    <w:rsid w:val="00DC3789"/>
    <w:rsid w:val="00DD3B3C"/>
    <w:rsid w:val="00DD6FF5"/>
    <w:rsid w:val="00DE3086"/>
    <w:rsid w:val="00E0331C"/>
    <w:rsid w:val="00E04479"/>
    <w:rsid w:val="00E123E2"/>
    <w:rsid w:val="00E30834"/>
    <w:rsid w:val="00E45A63"/>
    <w:rsid w:val="00E51201"/>
    <w:rsid w:val="00E532CE"/>
    <w:rsid w:val="00E61EBB"/>
    <w:rsid w:val="00E72EF9"/>
    <w:rsid w:val="00E9072A"/>
    <w:rsid w:val="00E95904"/>
    <w:rsid w:val="00EA3D8D"/>
    <w:rsid w:val="00EB3968"/>
    <w:rsid w:val="00EC3B67"/>
    <w:rsid w:val="00EE61FA"/>
    <w:rsid w:val="00EF3ADC"/>
    <w:rsid w:val="00EF660B"/>
    <w:rsid w:val="00EF66A3"/>
    <w:rsid w:val="00F01DC3"/>
    <w:rsid w:val="00F149D3"/>
    <w:rsid w:val="00F22331"/>
    <w:rsid w:val="00F361EC"/>
    <w:rsid w:val="00F36C9D"/>
    <w:rsid w:val="00F42108"/>
    <w:rsid w:val="00F43444"/>
    <w:rsid w:val="00F52130"/>
    <w:rsid w:val="00F65169"/>
    <w:rsid w:val="00F8331E"/>
    <w:rsid w:val="00F854DE"/>
    <w:rsid w:val="00F86A66"/>
    <w:rsid w:val="00F913F8"/>
    <w:rsid w:val="00F919D4"/>
    <w:rsid w:val="00F91A25"/>
    <w:rsid w:val="00FA0A5F"/>
    <w:rsid w:val="00FA613A"/>
    <w:rsid w:val="00FA7EAC"/>
    <w:rsid w:val="00FB6626"/>
    <w:rsid w:val="00FC05A9"/>
    <w:rsid w:val="00FC13BD"/>
    <w:rsid w:val="00FC572F"/>
    <w:rsid w:val="00FC5AA5"/>
    <w:rsid w:val="00FF01D4"/>
    <w:rsid w:val="1F7B4FEC"/>
    <w:rsid w:val="2A182A79"/>
    <w:rsid w:val="30B66FE3"/>
    <w:rsid w:val="532D3520"/>
    <w:rsid w:val="552E6ACE"/>
    <w:rsid w:val="558B717A"/>
    <w:rsid w:val="6A277DD7"/>
    <w:rsid w:val="7668787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4"/>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rFonts w:ascii="Calibri" w:hAnsi="Calibri" w:cs="Calibri"/>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Calibri" w:hAnsi="Calibri" w:cs="Calibri"/>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7">
    <w:name w:val="Table Grid"/>
    <w:basedOn w:val="6"/>
    <w:qFormat/>
    <w:locked/>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9">
    <w:name w:val="Strong"/>
    <w:basedOn w:val="8"/>
    <w:qFormat/>
    <w:locked/>
    <w:uiPriority w:val="99"/>
    <w:rPr>
      <w:b/>
      <w:bCs/>
    </w:rPr>
  </w:style>
  <w:style w:type="character" w:styleId="10">
    <w:name w:val="page number"/>
    <w:basedOn w:val="8"/>
    <w:qFormat/>
    <w:uiPriority w:val="99"/>
  </w:style>
  <w:style w:type="character" w:customStyle="1" w:styleId="11">
    <w:name w:val="页眉 Char"/>
    <w:basedOn w:val="8"/>
    <w:link w:val="4"/>
    <w:qFormat/>
    <w:locked/>
    <w:uiPriority w:val="99"/>
    <w:rPr>
      <w:sz w:val="18"/>
      <w:szCs w:val="18"/>
    </w:rPr>
  </w:style>
  <w:style w:type="character" w:customStyle="1" w:styleId="12">
    <w:name w:val="页脚 Char"/>
    <w:basedOn w:val="8"/>
    <w:link w:val="3"/>
    <w:qFormat/>
    <w:locked/>
    <w:uiPriority w:val="99"/>
    <w:rPr>
      <w:sz w:val="18"/>
      <w:szCs w:val="18"/>
    </w:rPr>
  </w:style>
  <w:style w:type="paragraph" w:customStyle="1" w:styleId="13">
    <w:name w:val="p17"/>
    <w:basedOn w:val="1"/>
    <w:qFormat/>
    <w:uiPriority w:val="99"/>
    <w:pPr>
      <w:widowControl/>
      <w:spacing w:before="100" w:after="100"/>
      <w:jc w:val="left"/>
    </w:pPr>
    <w:rPr>
      <w:rFonts w:ascii="宋体" w:hAnsi="宋体" w:cs="宋体"/>
      <w:kern w:val="0"/>
      <w:sz w:val="24"/>
      <w:szCs w:val="24"/>
    </w:rPr>
  </w:style>
  <w:style w:type="character" w:customStyle="1" w:styleId="14">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196</Words>
  <Characters>1123</Characters>
  <Lines>9</Lines>
  <Paragraphs>2</Paragraphs>
  <TotalTime>37</TotalTime>
  <ScaleCrop>false</ScaleCrop>
  <LinksUpToDate>false</LinksUpToDate>
  <CharactersWithSpaces>1317</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2014-09-22T07:53:00Z</dcterms:created>
  <dc:creator>李嘉祺</dc:creator>
  <cp:lastModifiedBy>aGoni'</cp:lastModifiedBy>
  <cp:lastPrinted>2017-03-09T09:03:00Z</cp:lastPrinted>
  <dcterms:modified xsi:type="dcterms:W3CDTF">2019-07-04T07:42:50Z</dcterms:modified>
  <dc:title>食品药品行政处罚文书</dc:title>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