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〔2018〕96</w:t>
      </w:r>
      <w:r>
        <w:rPr>
          <w:rFonts w:hint="eastAsia" w:ascii="仿宋_GB2312" w:hAnsi="仿宋" w:eastAsia="仿宋_GB2312"/>
          <w:color w:val="000000"/>
          <w:kern w:val="0"/>
          <w:sz w:val="28"/>
          <w:szCs w:val="28"/>
        </w:rPr>
        <w:t>号 第1页 共2页</w:t>
      </w:r>
    </w:p>
    <w:p>
      <w:pPr>
        <w:keepNext w:val="0"/>
        <w:keepLines w:val="0"/>
        <w:pageBreakBefore w:val="0"/>
        <w:kinsoku/>
        <w:wordWrap/>
        <w:overflowPunct/>
        <w:topLinePunct w:val="0"/>
        <w:autoSpaceDE/>
        <w:autoSpaceDN/>
        <w:bidi w:val="0"/>
        <w:adjustRightInd/>
        <w:snapToGrid/>
        <w:spacing w:line="500" w:lineRule="exact"/>
        <w:ind w:right="0" w:rightChars="0"/>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color w:val="000000"/>
          <w:sz w:val="32"/>
          <w:szCs w:val="32"/>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0</wp:posOffset>
                </wp:positionV>
                <wp:extent cx="5615940" cy="635"/>
                <wp:effectExtent l="0" t="0" r="0" b="0"/>
                <wp:wrapNone/>
                <wp:docPr id="1"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0pt;height:0.05pt;width:442.2pt;z-index:251666432;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Evy+rRAAAAAgEAAA8AAAAAAAAAAQAgAAAAIgAAAGRycy9kb3ducmV2LnhtbFBLAQIU&#10;ABQAAAAIAIdO4kCRNUhLwQEAAI4DAAAOAAAAAAAAAAEAIAAAACABAABkcnMvZTJvRG9jLnhtbFBL&#10;BQYAAAAABgAGAFkBAABTBQAAAAA=&#10;">
                <v:fill on="f" focussize="0,0"/>
                <v:stroke weight="1.5pt" color="#000000" joinstyle="round"/>
                <v:imagedata o:title=""/>
                <o:lock v:ext="edit" aspectratio="f"/>
              </v:line>
            </w:pict>
          </mc:Fallback>
        </mc:AlternateContent>
      </w:r>
      <w:r>
        <w:rPr>
          <w:rFonts w:hint="eastAsia" w:ascii="仿宋_GB2312" w:hAnsi="仿宋_GB2312" w:eastAsia="仿宋_GB2312" w:cs="仿宋_GB2312"/>
          <w:color w:val="000000"/>
          <w:kern w:val="0"/>
          <w:sz w:val="32"/>
          <w:szCs w:val="32"/>
        </w:rPr>
        <w:t>当事人：</w:t>
      </w:r>
      <w:r>
        <w:rPr>
          <w:rFonts w:hint="eastAsia" w:ascii="仿宋_GB2312" w:hAnsi="仿宋_GB2312" w:eastAsia="仿宋_GB2312" w:cs="仿宋_GB2312"/>
          <w:color w:val="000000"/>
          <w:sz w:val="32"/>
          <w:szCs w:val="32"/>
        </w:rPr>
        <w:t>广州市东洲农产品市场经营管理有限公司</w:t>
      </w:r>
    </w:p>
    <w:p>
      <w:pPr>
        <w:keepNext w:val="0"/>
        <w:keepLines w:val="0"/>
        <w:pageBreakBefore w:val="0"/>
        <w:kinsoku/>
        <w:wordWrap/>
        <w:overflowPunct/>
        <w:topLinePunct w:val="0"/>
        <w:autoSpaceDE/>
        <w:autoSpaceDN/>
        <w:bidi w:val="0"/>
        <w:adjustRightInd/>
        <w:snapToGrid/>
        <w:spacing w:line="500" w:lineRule="exact"/>
        <w:ind w:right="0" w:rightChars="0"/>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color w:val="000000"/>
          <w:kern w:val="0"/>
          <w:sz w:val="32"/>
          <w:szCs w:val="32"/>
        </w:rPr>
        <w:t>经营场所：</w:t>
      </w:r>
      <w:r>
        <w:rPr>
          <w:rFonts w:hint="eastAsia" w:ascii="仿宋_GB2312" w:hAnsi="仿宋_GB2312" w:eastAsia="仿宋_GB2312" w:cs="仿宋_GB2312"/>
          <w:color w:val="000000"/>
          <w:sz w:val="32"/>
          <w:szCs w:val="32"/>
        </w:rPr>
        <w:t>广州市增城区新塘镇东洲村东洲大道旁</w:t>
      </w:r>
      <w:r>
        <w:rPr>
          <w:rFonts w:hint="eastAsia" w:ascii="仿宋_GB2312" w:hAnsi="仿宋_GB2312" w:eastAsia="仿宋_GB2312" w:cs="仿宋_GB2312"/>
          <w:bCs/>
          <w:color w:val="000000"/>
          <w:sz w:val="32"/>
          <w:szCs w:val="32"/>
        </w:rPr>
        <w:t xml:space="preserve">       </w:t>
      </w:r>
      <w:r>
        <w:rPr>
          <w:rFonts w:hint="eastAsia" w:ascii="仿宋_GB2312" w:hAnsi="仿宋_GB2312" w:eastAsia="仿宋_GB2312" w:cs="仿宋_GB2312"/>
          <w:color w:val="000000"/>
          <w:kern w:val="0"/>
          <w:sz w:val="32"/>
          <w:szCs w:val="32"/>
        </w:rPr>
        <w:t>邮编：511340</w:t>
      </w:r>
    </w:p>
    <w:p>
      <w:pPr>
        <w:keepNext w:val="0"/>
        <w:keepLines w:val="0"/>
        <w:pageBreakBefore w:val="0"/>
        <w:kinsoku/>
        <w:wordWrap/>
        <w:overflowPunct/>
        <w:topLinePunct w:val="0"/>
        <w:autoSpaceDE/>
        <w:autoSpaceDN/>
        <w:bidi w:val="0"/>
        <w:adjustRightInd/>
        <w:snapToGrid/>
        <w:spacing w:line="500" w:lineRule="exact"/>
        <w:ind w:right="0" w:rightChars="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法定代表人（负责人）：</w:t>
      </w:r>
      <w:r>
        <w:rPr>
          <w:rFonts w:hint="eastAsia" w:ascii="仿宋_GB2312" w:hAnsi="仿宋_GB2312" w:eastAsia="仿宋_GB2312" w:cs="仿宋_GB2312"/>
          <w:color w:val="000000"/>
          <w:sz w:val="32"/>
          <w:szCs w:val="32"/>
        </w:rPr>
        <w:t>李坪坚</w:t>
      </w:r>
      <w:r>
        <w:rPr>
          <w:rFonts w:hint="eastAsia" w:ascii="仿宋_GB2312" w:hAnsi="仿宋_GB2312" w:eastAsia="仿宋_GB2312" w:cs="仿宋_GB2312"/>
          <w:color w:val="000000"/>
          <w:kern w:val="0"/>
          <w:sz w:val="32"/>
          <w:szCs w:val="32"/>
        </w:rPr>
        <w:t xml:space="preserve">  性别：</w:t>
      </w:r>
      <w:r>
        <w:rPr>
          <w:rFonts w:hint="eastAsia" w:ascii="仿宋_GB2312" w:hAnsi="仿宋_GB2312" w:eastAsia="仿宋_GB2312" w:cs="仿宋_GB2312"/>
          <w:color w:val="000000"/>
          <w:sz w:val="32"/>
          <w:szCs w:val="32"/>
        </w:rPr>
        <w:t xml:space="preserve">男 </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lang w:eastAsia="zh-CN"/>
        </w:rPr>
        <w:t>职务：负责人</w:t>
      </w:r>
      <w:r>
        <w:rPr>
          <w:rFonts w:hint="eastAsia" w:ascii="仿宋_GB2312" w:hAnsi="仿宋_GB2312" w:eastAsia="仿宋_GB2312" w:cs="仿宋_GB2312"/>
          <w:color w:val="000000"/>
          <w:sz w:val="32"/>
          <w:szCs w:val="32"/>
        </w:rPr>
        <w:t xml:space="preserve">     </w:t>
      </w:r>
    </w:p>
    <w:p>
      <w:pPr>
        <w:keepNext w:val="0"/>
        <w:keepLines w:val="0"/>
        <w:pageBreakBefore w:val="0"/>
        <w:kinsoku/>
        <w:wordWrap/>
        <w:overflowPunct/>
        <w:topLinePunct w:val="0"/>
        <w:autoSpaceDE/>
        <w:autoSpaceDN/>
        <w:bidi w:val="0"/>
        <w:adjustRightInd/>
        <w:snapToGrid/>
        <w:spacing w:line="500" w:lineRule="exact"/>
        <w:ind w:right="0" w:rightChars="0"/>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身份证号码：</w:t>
      </w:r>
      <w:r>
        <w:rPr>
          <w:rFonts w:hint="eastAsia" w:ascii="仿宋_GB2312" w:hAnsi="仿宋_GB2312" w:eastAsia="仿宋_GB2312" w:cs="仿宋_GB2312"/>
          <w:color w:val="000000"/>
          <w:sz w:val="32"/>
          <w:szCs w:val="32"/>
          <w:lang w:val="en-US" w:eastAsia="zh-CN"/>
        </w:rPr>
        <w:t>xxxxxxxxxxxxxxxxxxx</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right="0" w:rightChars="0"/>
        <w:textAlignment w:val="auto"/>
        <w:outlineLvl w:val="9"/>
        <w:rPr>
          <w:rFonts w:hint="eastAsia" w:ascii="仿宋_GB2312" w:hAnsi="仿宋_GB2312" w:eastAsia="仿宋_GB2312" w:cs="仿宋_GB2312"/>
          <w:b/>
          <w:bCs/>
          <w:color w:val="000000"/>
          <w:kern w:val="0"/>
          <w:sz w:val="32"/>
          <w:szCs w:val="32"/>
        </w:rPr>
      </w:pP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500" w:lineRule="exact"/>
        <w:ind w:right="0" w:rightChars="0"/>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keepNext w:val="0"/>
        <w:keepLines w:val="0"/>
        <w:pageBreakBefore w:val="0"/>
        <w:kinsoku/>
        <w:wordWrap/>
        <w:overflowPunct/>
        <w:topLinePunct w:val="0"/>
        <w:autoSpaceDE/>
        <w:autoSpaceDN/>
        <w:bidi w:val="0"/>
        <w:adjustRightInd/>
        <w:snapToGrid/>
        <w:spacing w:beforeLines="50" w:line="50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现查明，你单位作为零售市场，在2017年1月至2018年8月30日期间，未按规定，存在未制止</w:t>
      </w:r>
      <w:bookmarkStart w:id="0" w:name="_GoBack"/>
      <w:bookmarkEnd w:id="0"/>
      <w:r>
        <w:rPr>
          <w:rFonts w:hint="eastAsia" w:ascii="仿宋_GB2312" w:hAnsi="仿宋_GB2312" w:eastAsia="仿宋_GB2312" w:cs="仿宋_GB2312"/>
          <w:color w:val="000000"/>
          <w:sz w:val="32"/>
          <w:szCs w:val="32"/>
        </w:rPr>
        <w:t>将当天未售完的活禽滞留在市场内的行为，我局执法人员已于2018年8月24日对你单位发出了《责令改正通知书》，责令你单位立即改正上述违法行为，并给予警告。</w:t>
      </w:r>
    </w:p>
    <w:p>
      <w:pPr>
        <w:keepNext w:val="0"/>
        <w:keepLines w:val="0"/>
        <w:pageBreakBefore w:val="0"/>
        <w:kinsoku/>
        <w:wordWrap/>
        <w:overflowPunct/>
        <w:topLinePunct w:val="0"/>
        <w:autoSpaceDE/>
        <w:autoSpaceDN/>
        <w:bidi w:val="0"/>
        <w:adjustRightInd/>
        <w:snapToGrid/>
        <w:spacing w:beforeLines="50" w:line="50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综上，你单位存在未制止将当天未售完的活禽滞留在市场内的行为违反了《广东省家禽经营管理办法》第九条第（六）项“活禽经营市场开办者应当遵守下列规定：（六）制止将未经宰杀的活禽带出零售市场或者将当天未售完的活禽滞留在零售市场等情形；”的规定。</w:t>
      </w:r>
    </w:p>
    <w:p>
      <w:pPr>
        <w:keepNext w:val="0"/>
        <w:keepLines w:val="0"/>
        <w:pageBreakBefore w:val="0"/>
        <w:widowControl/>
        <w:kinsoku/>
        <w:wordWrap/>
        <w:overflowPunct/>
        <w:topLinePunct w:val="0"/>
        <w:autoSpaceDE/>
        <w:autoSpaceDN/>
        <w:bidi w:val="0"/>
        <w:adjustRightInd/>
        <w:snapToGrid/>
        <w:spacing w:line="500" w:lineRule="exact"/>
        <w:ind w:right="0" w:rightChars="0"/>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相关证据：</w:t>
      </w:r>
    </w:p>
    <w:p>
      <w:pPr>
        <w:keepNext w:val="0"/>
        <w:keepLines w:val="0"/>
        <w:pageBreakBefore w:val="0"/>
        <w:widowControl/>
        <w:kinsoku/>
        <w:wordWrap/>
        <w:overflowPunct/>
        <w:topLinePunct w:val="0"/>
        <w:autoSpaceDE/>
        <w:autoSpaceDN/>
        <w:bidi w:val="0"/>
        <w:adjustRightInd/>
        <w:snapToGrid/>
        <w:spacing w:line="500" w:lineRule="exact"/>
        <w:ind w:right="0" w:rightChars="0" w:firstLine="64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广州市东洲农产品市场经营管理有限公司的营业执照复印件1份；2、法定代表人李坪坚的身份证复印件、委托书和被委托人林仁福的身份证复印件各1份；3、活禽经营户的营业执照复印件23份；4、现场检查笔录和询问调查笔录各1份；5、现场检查照片12张。</w:t>
      </w:r>
    </w:p>
    <w:p>
      <w:pPr>
        <w:tabs>
          <w:tab w:val="left" w:pos="840"/>
        </w:tabs>
        <w:jc w:val="center"/>
        <w:rPr>
          <w:rFonts w:ascii="仿宋_GB2312" w:hAnsi="仿宋" w:eastAsia="仿宋_GB2312"/>
          <w:color w:val="000000"/>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lang w:eastAsia="zh-CN"/>
        </w:rPr>
        <w:t>（</w:t>
      </w:r>
      <w:r>
        <w:rPr>
          <w:rFonts w:hint="eastAsia"/>
          <w:b/>
          <w:color w:val="000000"/>
          <w:kern w:val="0"/>
          <w:sz w:val="44"/>
        </w:rPr>
        <w:t>行政处罚决定书</w:t>
      </w:r>
      <w:r>
        <w:rPr>
          <w:rFonts w:hint="eastAsia"/>
          <w:b/>
          <w:color w:val="000000"/>
          <w:kern w:val="0"/>
          <w:sz w:val="44"/>
          <w:lang w:eastAsia="zh-CN"/>
        </w:rPr>
        <w:t>）副页</w:t>
      </w:r>
    </w:p>
    <w:p>
      <w:pPr>
        <w:keepNext w:val="0"/>
        <w:keepLines w:val="0"/>
        <w:pageBreakBefore w:val="0"/>
        <w:widowControl/>
        <w:kinsoku/>
        <w:wordWrap/>
        <w:overflowPunct/>
        <w:topLinePunct w:val="0"/>
        <w:autoSpaceDE/>
        <w:autoSpaceDN/>
        <w:bidi w:val="0"/>
        <w:adjustRightInd/>
        <w:snapToGrid/>
        <w:spacing w:line="500" w:lineRule="exact"/>
        <w:ind w:left="210" w:right="0" w:rightChars="0" w:hanging="210" w:hangingChars="100"/>
        <w:jc w:val="left"/>
        <w:textAlignment w:val="auto"/>
        <w:outlineLvl w:val="9"/>
        <w:rPr>
          <w:rFonts w:hint="eastAsia" w:ascii="仿宋_GB2312" w:hAnsi="仿宋" w:eastAsia="仿宋_GB2312"/>
          <w:color w:val="000000"/>
          <w:kern w:val="0"/>
          <w:sz w:val="28"/>
          <w:szCs w:val="28"/>
        </w:rPr>
      </w:pPr>
      <w:r>
        <w:rPr>
          <w:rFonts w:ascii="仿宋_GB2312" w:hAnsi="仿宋" w:eastAsia="仿宋_GB2312"/>
          <w:color w:val="000000"/>
          <w:szCs w:val="21"/>
        </w:rPr>
        <mc:AlternateContent>
          <mc:Choice Requires="wps">
            <w:drawing>
              <wp:anchor distT="0" distB="0" distL="114300" distR="114300" simplePos="0" relativeHeight="251679744" behindDoc="0" locked="0" layoutInCell="1" allowOverlap="1">
                <wp:simplePos x="0" y="0"/>
                <wp:positionH relativeFrom="column">
                  <wp:posOffset>-66675</wp:posOffset>
                </wp:positionH>
                <wp:positionV relativeFrom="paragraph">
                  <wp:posOffset>379095</wp:posOffset>
                </wp:positionV>
                <wp:extent cx="5615940" cy="635"/>
                <wp:effectExtent l="0" t="0" r="0" b="0"/>
                <wp:wrapNone/>
                <wp:docPr id="2" name="直线 11"/>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5.25pt;margin-top:29.85pt;height:0.05pt;width:442.2pt;z-index:251679744;mso-width-relative:page;mso-height-relative:page;" filled="f" stroked="t" coordsize="21600,21600" o:gfxdata="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nOk0UdcAAAAJAQAADwAAAAAAAAABACAAAAAiAAAA&#10;ZHJzL2Rvd25yZXYueG1sUEsBAhQAFAAAAAgAh07iQMrXM9vPAQAAkQMAAA4AAAAAAAAAAQAgAAAA&#10;JgEAAGRycy9lMm9Eb2MueG1sUEsFBgAAAAAGAAYAWQEAAGcFA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sz w:val="28"/>
          <w:szCs w:val="28"/>
        </w:rPr>
        <w:t>（增新）食药监食</w:t>
      </w:r>
      <w:r>
        <w:rPr>
          <w:rFonts w:hint="eastAsia" w:ascii="仿宋_GB2312" w:hAnsi="仿宋" w:eastAsia="仿宋_GB2312"/>
          <w:color w:val="000000"/>
          <w:kern w:val="0"/>
          <w:sz w:val="28"/>
          <w:szCs w:val="28"/>
        </w:rPr>
        <w:t>罚</w:t>
      </w:r>
      <w:r>
        <w:rPr>
          <w:rFonts w:hint="eastAsia" w:ascii="仿宋_GB2312" w:hAnsi="仿宋" w:eastAsia="仿宋_GB2312"/>
          <w:color w:val="000000"/>
          <w:sz w:val="28"/>
          <w:szCs w:val="28"/>
        </w:rPr>
        <w:t>〔2018〕96</w:t>
      </w:r>
      <w:r>
        <w:rPr>
          <w:rFonts w:hint="eastAsia" w:ascii="仿宋_GB2312" w:hAnsi="仿宋" w:eastAsia="仿宋_GB2312"/>
          <w:color w:val="000000"/>
          <w:kern w:val="0"/>
          <w:sz w:val="28"/>
          <w:szCs w:val="28"/>
        </w:rPr>
        <w:t>号 第2页 共2页</w:t>
      </w:r>
    </w:p>
    <w:p>
      <w:pPr>
        <w:keepNext w:val="0"/>
        <w:keepLines w:val="0"/>
        <w:pageBreakBefore w:val="0"/>
        <w:widowControl/>
        <w:kinsoku/>
        <w:wordWrap/>
        <w:overflowPunct/>
        <w:topLinePunct w:val="0"/>
        <w:autoSpaceDE/>
        <w:autoSpaceDN/>
        <w:bidi w:val="0"/>
        <w:adjustRightInd/>
        <w:snapToGrid/>
        <w:spacing w:line="500" w:lineRule="exact"/>
        <w:ind w:left="210" w:right="0" w:rightChars="0" w:hanging="321" w:hangingChars="10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 xml:space="preserve">行政处罚依据和种类：                                                          </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left"/>
        <w:textAlignment w:val="auto"/>
        <w:outlineLvl w:val="9"/>
        <w:rPr>
          <w:rFonts w:ascii="仿宋_GB2312" w:hAnsi="仿宋_GB2312" w:eastAsia="仿宋_GB2312" w:cs="仿宋_GB2312"/>
          <w:b/>
          <w:bCs/>
          <w:color w:val="000000"/>
          <w:kern w:val="0"/>
          <w:sz w:val="32"/>
          <w:szCs w:val="32"/>
        </w:rPr>
      </w:pPr>
      <w:r>
        <w:rPr>
          <w:rFonts w:hint="eastAsia" w:ascii="仿宋_GB2312" w:hAnsi="仿宋_GB2312" w:eastAsia="仿宋_GB2312" w:cs="仿宋_GB2312"/>
          <w:color w:val="000000"/>
          <w:sz w:val="32"/>
          <w:szCs w:val="32"/>
        </w:rPr>
        <w:t>鉴于你单位的违法行为未造成严重后果，对于你单位存在未制止将当天未售完的活禽留</w:t>
      </w:r>
      <w:r>
        <w:rPr>
          <w:rFonts w:hint="eastAsia" w:ascii="仿宋_GB2312" w:hAnsi="仿宋" w:eastAsia="仿宋_GB2312"/>
          <w:color w:val="000000"/>
          <w:sz w:val="32"/>
          <w:szCs w:val="32"/>
        </w:rPr>
        <w:t>在市场内的行为，依据《广东省家禽经营管理办法》第二十九条第一款“活禽经营市场开办者违反本办法第九条第二、三、四、五、六项规定的，由食品药品监督管理部门责令改正，给予警告；拒不改正的，处5000元以上2万元以下的罚款。”的规定，本局决定对你单位处罚款11000元。</w:t>
      </w:r>
    </w:p>
    <w:p>
      <w:pPr>
        <w:keepNext w:val="0"/>
        <w:keepLines w:val="0"/>
        <w:pageBreakBefore w:val="0"/>
        <w:widowControl/>
        <w:kinsoku/>
        <w:wordWrap/>
        <w:overflowPunct/>
        <w:topLinePunct w:val="0"/>
        <w:bidi w:val="0"/>
        <w:adjustRightInd/>
        <w:snapToGrid/>
        <w:spacing w:line="500" w:lineRule="exact"/>
        <w:ind w:firstLine="64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请</w:t>
      </w:r>
      <w:r>
        <w:rPr>
          <w:rFonts w:hint="eastAsia" w:ascii="仿宋_GB2312" w:hAnsi="仿宋_GB2312" w:eastAsia="仿宋_GB2312" w:cs="仿宋_GB2312"/>
          <w:color w:val="000000"/>
          <w:sz w:val="32"/>
          <w:szCs w:val="32"/>
          <w:lang w:eastAsia="zh-CN"/>
        </w:rPr>
        <w:t>你（单位）</w:t>
      </w:r>
      <w:r>
        <w:rPr>
          <w:rFonts w:hint="eastAsia" w:ascii="仿宋_GB2312" w:hAnsi="仿宋_GB2312" w:eastAsia="仿宋_GB2312" w:cs="仿宋_GB2312"/>
          <w:color w:val="000000"/>
          <w:sz w:val="32"/>
          <w:szCs w:val="32"/>
        </w:rPr>
        <w:t>在接到本处罚决定书之日起15日内将罚没款缴到广州市非税收入缴款通知书</w:t>
      </w:r>
      <w:r>
        <w:rPr>
          <w:rFonts w:hint="eastAsia" w:ascii="仿宋_GB2312" w:hAnsi="仿宋_GB2312" w:eastAsia="仿宋_GB2312" w:cs="仿宋_GB2312"/>
          <w:sz w:val="32"/>
          <w:szCs w:val="32"/>
        </w:rPr>
        <w:t>上指定的</w:t>
      </w:r>
      <w:r>
        <w:rPr>
          <w:rFonts w:hint="eastAsia" w:ascii="仿宋_GB2312" w:hAnsi="仿宋_GB2312" w:eastAsia="仿宋_GB2312" w:cs="仿宋_GB2312"/>
          <w:color w:val="000000"/>
          <w:kern w:val="0"/>
          <w:sz w:val="32"/>
          <w:szCs w:val="32"/>
        </w:rPr>
        <w:t>银行。逾期不缴纳罚没款的，根据《中华人民共和国行政处罚法》第五十一条第一项的规定，每日按罚款数额的3%加处罚款，并将依法申请人民法院强制执行。</w:t>
      </w:r>
    </w:p>
    <w:p>
      <w:pPr>
        <w:keepNext w:val="0"/>
        <w:keepLines w:val="0"/>
        <w:pageBreakBefore w:val="0"/>
        <w:tabs>
          <w:tab w:val="left" w:pos="840"/>
        </w:tabs>
        <w:kinsoku/>
        <w:wordWrap/>
        <w:overflowPunct/>
        <w:topLinePunct w:val="0"/>
        <w:bidi w:val="0"/>
        <w:adjustRightInd/>
        <w:snapToGrid/>
        <w:spacing w:line="500" w:lineRule="exact"/>
        <w:ind w:firstLine="640" w:firstLineChars="200"/>
        <w:jc w:val="left"/>
        <w:textAlignment w:val="auto"/>
        <w:outlineLvl w:val="9"/>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如不服本处罚决定，可在接到本处罚决定书之日起60日内向</w:t>
      </w:r>
      <w:r>
        <w:rPr>
          <w:rFonts w:hint="eastAsia" w:ascii="仿宋_GB2312" w:hAnsi="仿宋_GB2312" w:eastAsia="仿宋_GB2312" w:cs="仿宋_GB2312"/>
          <w:color w:val="000000"/>
          <w:sz w:val="32"/>
          <w:szCs w:val="32"/>
        </w:rPr>
        <w:t>广州市</w:t>
      </w:r>
      <w:r>
        <w:rPr>
          <w:rFonts w:hint="eastAsia" w:ascii="仿宋_GB2312" w:hAnsi="仿宋_GB2312" w:eastAsia="仿宋_GB2312" w:cs="仿宋_GB2312"/>
          <w:color w:val="000000"/>
          <w:kern w:val="0"/>
          <w:sz w:val="32"/>
          <w:szCs w:val="32"/>
        </w:rPr>
        <w:t>食品药品监督管理局或者广州市</w:t>
      </w:r>
      <w:r>
        <w:rPr>
          <w:rFonts w:hint="eastAsia" w:ascii="仿宋_GB2312" w:hAnsi="仿宋_GB2312" w:eastAsia="仿宋_GB2312" w:cs="仿宋_GB2312"/>
          <w:color w:val="000000"/>
          <w:sz w:val="32"/>
          <w:szCs w:val="32"/>
        </w:rPr>
        <w:t>增城区</w:t>
      </w:r>
      <w:r>
        <w:rPr>
          <w:rFonts w:hint="eastAsia" w:ascii="仿宋_GB2312" w:hAnsi="仿宋_GB2312" w:eastAsia="仿宋_GB2312" w:cs="仿宋_GB2312"/>
          <w:color w:val="000000"/>
          <w:kern w:val="0"/>
          <w:sz w:val="32"/>
          <w:szCs w:val="32"/>
        </w:rPr>
        <w:t>人民政府申请行政复议，复议机关地址和电话分别为广州市荔湾区彭城东路16号、81743215和广州市增城区荔城街惠民路1号426室、32829072，也可以于6个月内依法向广州铁路运输第一法院提起行政诉讼。</w:t>
      </w:r>
    </w:p>
    <w:p>
      <w:pPr>
        <w:keepNext w:val="0"/>
        <w:keepLines w:val="0"/>
        <w:pageBreakBefore w:val="0"/>
        <w:kinsoku/>
        <w:wordWrap/>
        <w:overflowPunct/>
        <w:topLinePunct w:val="0"/>
        <w:autoSpaceDE w:val="0"/>
        <w:autoSpaceDN w:val="0"/>
        <w:bidi w:val="0"/>
        <w:adjustRightInd/>
        <w:snapToGrid/>
        <w:spacing w:line="500" w:lineRule="exact"/>
        <w:ind w:right="400"/>
        <w:textAlignment w:val="auto"/>
        <w:outlineLvl w:val="9"/>
        <w:rPr>
          <w:rFonts w:ascii="仿宋_GB2312" w:hAnsi="仿宋_GB2312" w:eastAsia="仿宋_GB2312" w:cs="仿宋_GB2312"/>
          <w:color w:val="000000"/>
          <w:kern w:val="0"/>
          <w:sz w:val="32"/>
          <w:szCs w:val="32"/>
        </w:rPr>
      </w:pPr>
    </w:p>
    <w:p>
      <w:pPr>
        <w:keepNext w:val="0"/>
        <w:keepLines w:val="0"/>
        <w:pageBreakBefore w:val="0"/>
        <w:widowControl/>
        <w:kinsoku/>
        <w:wordWrap/>
        <w:overflowPunct/>
        <w:topLinePunct w:val="0"/>
        <w:autoSpaceDE w:val="0"/>
        <w:autoSpaceDN w:val="0"/>
        <w:bidi w:val="0"/>
        <w:adjustRightInd/>
        <w:snapToGrid/>
        <w:spacing w:line="500" w:lineRule="exact"/>
        <w:jc w:val="both"/>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p>
    <w:p>
      <w:pPr>
        <w:keepNext w:val="0"/>
        <w:keepLines w:val="0"/>
        <w:pageBreakBefore w:val="0"/>
        <w:widowControl/>
        <w:kinsoku/>
        <w:wordWrap/>
        <w:overflowPunct/>
        <w:topLinePunct w:val="0"/>
        <w:autoSpaceDE w:val="0"/>
        <w:autoSpaceDN w:val="0"/>
        <w:bidi w:val="0"/>
        <w:adjustRightInd/>
        <w:snapToGrid/>
        <w:spacing w:line="500" w:lineRule="exact"/>
        <w:ind w:left="105" w:hanging="160" w:hangingChars="50"/>
        <w:jc w:val="right"/>
        <w:textAlignment w:val="auto"/>
        <w:outlineLvl w:val="9"/>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广州市增城区食品药品监督管理局</w:t>
      </w:r>
    </w:p>
    <w:p>
      <w:pPr>
        <w:keepNext w:val="0"/>
        <w:keepLines w:val="0"/>
        <w:pageBreakBefore w:val="0"/>
        <w:widowControl/>
        <w:tabs>
          <w:tab w:val="left" w:pos="8364"/>
        </w:tabs>
        <w:kinsoku/>
        <w:wordWrap/>
        <w:overflowPunct/>
        <w:topLinePunct w:val="0"/>
        <w:autoSpaceDE w:val="0"/>
        <w:autoSpaceDN w:val="0"/>
        <w:bidi w:val="0"/>
        <w:adjustRightInd/>
        <w:snapToGrid/>
        <w:spacing w:beforeLines="50" w:line="500" w:lineRule="exact"/>
        <w:ind w:right="840" w:firstLine="5120" w:firstLineChars="1600"/>
        <w:textAlignment w:val="auto"/>
        <w:outlineLvl w:val="9"/>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2018年9月2</w:t>
      </w: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1FA"/>
    <w:rsid w:val="00034204"/>
    <w:rsid w:val="00042415"/>
    <w:rsid w:val="000823F7"/>
    <w:rsid w:val="00091769"/>
    <w:rsid w:val="00092500"/>
    <w:rsid w:val="000B213A"/>
    <w:rsid w:val="000E3A4C"/>
    <w:rsid w:val="00101D8F"/>
    <w:rsid w:val="0010435F"/>
    <w:rsid w:val="001724F1"/>
    <w:rsid w:val="00172A27"/>
    <w:rsid w:val="00186E6C"/>
    <w:rsid w:val="001C7E9E"/>
    <w:rsid w:val="00210298"/>
    <w:rsid w:val="00212A10"/>
    <w:rsid w:val="0022505B"/>
    <w:rsid w:val="00234A95"/>
    <w:rsid w:val="0024566A"/>
    <w:rsid w:val="002613FC"/>
    <w:rsid w:val="002A45F8"/>
    <w:rsid w:val="002A68E0"/>
    <w:rsid w:val="002E1853"/>
    <w:rsid w:val="002E4969"/>
    <w:rsid w:val="002F4769"/>
    <w:rsid w:val="0032639D"/>
    <w:rsid w:val="00332583"/>
    <w:rsid w:val="003A4CA1"/>
    <w:rsid w:val="003B6508"/>
    <w:rsid w:val="0047064C"/>
    <w:rsid w:val="004B5B63"/>
    <w:rsid w:val="005630E6"/>
    <w:rsid w:val="00576F2E"/>
    <w:rsid w:val="005C74CA"/>
    <w:rsid w:val="005F412D"/>
    <w:rsid w:val="0061246A"/>
    <w:rsid w:val="006142A0"/>
    <w:rsid w:val="00645D72"/>
    <w:rsid w:val="00662465"/>
    <w:rsid w:val="00685CAC"/>
    <w:rsid w:val="006F0C24"/>
    <w:rsid w:val="0072271E"/>
    <w:rsid w:val="0074054B"/>
    <w:rsid w:val="0076011E"/>
    <w:rsid w:val="007A0EE8"/>
    <w:rsid w:val="00836E89"/>
    <w:rsid w:val="00837615"/>
    <w:rsid w:val="00855421"/>
    <w:rsid w:val="0089247D"/>
    <w:rsid w:val="008C26DA"/>
    <w:rsid w:val="00915452"/>
    <w:rsid w:val="0094528C"/>
    <w:rsid w:val="009605FD"/>
    <w:rsid w:val="00966A89"/>
    <w:rsid w:val="0097656D"/>
    <w:rsid w:val="009B2252"/>
    <w:rsid w:val="00A15300"/>
    <w:rsid w:val="00AB7CFC"/>
    <w:rsid w:val="00AC3E6D"/>
    <w:rsid w:val="00AE7C32"/>
    <w:rsid w:val="00AE7D2A"/>
    <w:rsid w:val="00AF2269"/>
    <w:rsid w:val="00B13FCC"/>
    <w:rsid w:val="00B16AB9"/>
    <w:rsid w:val="00B2455A"/>
    <w:rsid w:val="00B52C3C"/>
    <w:rsid w:val="00B7799A"/>
    <w:rsid w:val="00B958A7"/>
    <w:rsid w:val="00BB1B13"/>
    <w:rsid w:val="00BC7B25"/>
    <w:rsid w:val="00BD7D03"/>
    <w:rsid w:val="00BD7F54"/>
    <w:rsid w:val="00C31414"/>
    <w:rsid w:val="00CC713A"/>
    <w:rsid w:val="00D16E3A"/>
    <w:rsid w:val="00D36EC5"/>
    <w:rsid w:val="00DA5049"/>
    <w:rsid w:val="00E25013"/>
    <w:rsid w:val="00E723DE"/>
    <w:rsid w:val="00E90CB9"/>
    <w:rsid w:val="00EA3664"/>
    <w:rsid w:val="00ED3F5D"/>
    <w:rsid w:val="00F05D9E"/>
    <w:rsid w:val="00F50431"/>
    <w:rsid w:val="00F673BC"/>
    <w:rsid w:val="00FB2D28"/>
    <w:rsid w:val="00FC0689"/>
    <w:rsid w:val="00FD07F0"/>
    <w:rsid w:val="00FD19A6"/>
    <w:rsid w:val="0F550823"/>
    <w:rsid w:val="25A851D1"/>
    <w:rsid w:val="2B7E2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p17"/>
    <w:basedOn w:val="1"/>
    <w:qFormat/>
    <w:uiPriority w:val="0"/>
    <w:pPr>
      <w:widowControl/>
      <w:spacing w:before="100" w:after="100"/>
      <w:jc w:val="left"/>
    </w:pPr>
    <w:rPr>
      <w:rFonts w:ascii="宋体" w:hAnsi="宋体" w:cs="宋体"/>
      <w:kern w:val="0"/>
      <w:sz w:val="24"/>
      <w:szCs w:val="24"/>
    </w:rPr>
  </w:style>
  <w:style w:type="character" w:customStyle="1" w:styleId="7">
    <w:name w:val="页眉 Char"/>
    <w:basedOn w:val="4"/>
    <w:link w:val="3"/>
    <w:semiHidden/>
    <w:qFormat/>
    <w:uiPriority w:val="99"/>
    <w:rPr>
      <w:kern w:val="2"/>
      <w:sz w:val="18"/>
      <w:szCs w:val="18"/>
    </w:rPr>
  </w:style>
  <w:style w:type="character" w:customStyle="1" w:styleId="8">
    <w:name w:val="页脚 Char"/>
    <w:basedOn w:val="4"/>
    <w:link w:val="2"/>
    <w:qFormat/>
    <w:uiPriority w:val="99"/>
    <w:rPr>
      <w:kern w:val="2"/>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170</Words>
  <Characters>970</Characters>
  <Lines>8</Lines>
  <Paragraphs>2</Paragraphs>
  <TotalTime>0</TotalTime>
  <ScaleCrop>false</ScaleCrop>
  <LinksUpToDate>false</LinksUpToDate>
  <CharactersWithSpaces>1138</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2018-09-28T10:02:00Z</dcterms:created>
  <dc:creator>admin</dc:creator>
  <cp:lastModifiedBy>Administrator</cp:lastModifiedBy>
  <cp:lastPrinted>2016-07-22T01:41:00Z</cp:lastPrinted>
  <dcterms:modified xsi:type="dcterms:W3CDTF">2018-12-29T06:54:34Z</dcterms:modified>
  <dc:title>食品药品行政处罚文书</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