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31</w:t>
      </w:r>
      <w:r>
        <w:rPr>
          <w:rFonts w:hint="eastAsia" w:ascii="仿宋_GB2312" w:hAnsi="仿宋" w:eastAsia="仿宋_GB2312"/>
          <w:color w:val="000000"/>
          <w:kern w:val="0"/>
          <w:sz w:val="20"/>
        </w:rPr>
        <w:t>号           第1页  共3页</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5615940" cy="635"/>
                <wp:effectExtent l="0" t="0" r="0" b="0"/>
                <wp:wrapNone/>
                <wp:docPr id="1" name="Line 2"/>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Line 2" o:spid="_x0000_s1026" o:spt="20" style="position:absolute;left:0pt;margin-left:0pt;margin-top:0pt;height:0.05pt;width:442.2pt;z-index:251658240;mso-width-relative:page;mso-height-relative:page;" filled="f" stroked="t" coordsize="21600,21600" o:gfxdata="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Evy+rRAAAAAgEAAA8AAAAAAAAAAQAgAAAAIgAAAGRycy9kb3ducmV2LnhtbFBLAQIU&#10;ABQAAAAIAIdO4kCRNUhLwQEAAI4DAAAOAAAAAAAAAAEAIAAAACABAABkcnMvZTJvRG9jLnhtbFBL&#10;BQYAAAAABgAGAFkBAABTBQAAAAA=&#10;">
                <v:fill on="f" focussize="0,0"/>
                <v:stroke weight="1.5pt" color="#000000" joinstyle="round"/>
                <v:imagedata o:title=""/>
                <o:lock v:ext="edit" aspectratio="f"/>
              </v:line>
            </w:pict>
          </mc:Fallback>
        </mc:AlternateContent>
      </w:r>
      <w:r>
        <w:rPr>
          <w:rFonts w:hint="eastAsia" w:ascii="仿宋" w:hAnsi="仿宋" w:eastAsia="仿宋" w:cs="仿宋"/>
          <w:color w:val="000000"/>
          <w:kern w:val="0"/>
          <w:sz w:val="32"/>
          <w:szCs w:val="32"/>
        </w:rPr>
        <w:t>当事人：</w:t>
      </w:r>
      <w:r>
        <w:rPr>
          <w:rFonts w:hint="eastAsia" w:ascii="仿宋" w:hAnsi="仿宋" w:eastAsia="仿宋" w:cs="仿宋"/>
          <w:bCs/>
          <w:color w:val="000000"/>
          <w:sz w:val="32"/>
          <w:szCs w:val="32"/>
        </w:rPr>
        <w:t>霍可莹（广州市增城可记商店）</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bCs/>
          <w:color w:val="000000"/>
          <w:sz w:val="32"/>
          <w:szCs w:val="32"/>
        </w:rPr>
      </w:pPr>
      <w:r>
        <w:rPr>
          <w:rFonts w:hint="eastAsia" w:ascii="仿宋" w:hAnsi="仿宋" w:eastAsia="仿宋" w:cs="仿宋"/>
          <w:color w:val="000000"/>
          <w:kern w:val="0"/>
          <w:sz w:val="32"/>
          <w:szCs w:val="32"/>
        </w:rPr>
        <w:t>地址（住址）：</w:t>
      </w:r>
      <w:r>
        <w:rPr>
          <w:rFonts w:hint="eastAsia" w:ascii="仿宋" w:hAnsi="仿宋" w:eastAsia="仿宋" w:cs="仿宋"/>
          <w:bCs/>
          <w:color w:val="000000"/>
          <w:sz w:val="32"/>
          <w:szCs w:val="32"/>
        </w:rPr>
        <w:t xml:space="preserve">广州市增城区新塘镇圣堂三路1号          </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邮编：511340</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其他资质证明：《食品经营许可证》</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编号：JY14401830059242</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法定代表人（负责人）：</w:t>
      </w:r>
      <w:r>
        <w:rPr>
          <w:rFonts w:hint="eastAsia" w:ascii="仿宋" w:hAnsi="仿宋" w:eastAsia="仿宋" w:cs="仿宋"/>
          <w:color w:val="000000"/>
          <w:kern w:val="0"/>
          <w:sz w:val="32"/>
          <w:szCs w:val="32"/>
          <w:lang w:val="en-US" w:eastAsia="zh-CN"/>
        </w:rPr>
        <w:t>****</w:t>
      </w: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 xml:space="preserve"> 性别：</w:t>
      </w:r>
      <w:r>
        <w:rPr>
          <w:rFonts w:hint="eastAsia" w:ascii="仿宋" w:hAnsi="仿宋" w:eastAsia="仿宋" w:cs="仿宋"/>
          <w:color w:val="000000"/>
          <w:sz w:val="32"/>
          <w:szCs w:val="32"/>
        </w:rPr>
        <w:t xml:space="preserve">男    </w:t>
      </w:r>
      <w:r>
        <w:rPr>
          <w:rFonts w:hint="eastAsia" w:ascii="仿宋" w:hAnsi="仿宋" w:eastAsia="仿宋" w:cs="仿宋"/>
          <w:color w:val="000000"/>
          <w:kern w:val="0"/>
          <w:sz w:val="32"/>
          <w:szCs w:val="32"/>
        </w:rPr>
        <w:t>职务：</w:t>
      </w:r>
      <w:r>
        <w:rPr>
          <w:rFonts w:hint="eastAsia" w:ascii="仿宋" w:hAnsi="仿宋" w:eastAsia="仿宋" w:cs="仿宋"/>
          <w:color w:val="000000"/>
          <w:sz w:val="32"/>
          <w:szCs w:val="32"/>
        </w:rPr>
        <w:t>负责人</w:t>
      </w:r>
    </w:p>
    <w:p>
      <w:pPr>
        <w:keepNext w:val="0"/>
        <w:keepLines w:val="0"/>
        <w:pageBreakBefore w:val="0"/>
        <w:kinsoku/>
        <w:wordWrap/>
        <w:overflowPunct/>
        <w:topLinePunct w:val="0"/>
        <w:bidi w:val="0"/>
        <w:adjustRightInd w:val="0"/>
        <w:snapToGrid w:val="0"/>
        <w:spacing w:line="440" w:lineRule="atLeast"/>
        <w:textAlignment w:val="auto"/>
        <w:outlineLvl w:val="9"/>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身份证号码：</w:t>
      </w:r>
      <w:r>
        <w:rPr>
          <w:rFonts w:hint="eastAsia" w:ascii="仿宋" w:hAnsi="仿宋" w:eastAsia="仿宋" w:cs="仿宋"/>
          <w:color w:val="000000"/>
          <w:sz w:val="32"/>
          <w:szCs w:val="32"/>
          <w:lang w:val="en-US" w:eastAsia="zh-CN"/>
        </w:rPr>
        <w:t>*******</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atLeas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违法事实：</w:t>
      </w:r>
    </w:p>
    <w:p>
      <w:pPr>
        <w:keepNext w:val="0"/>
        <w:keepLines w:val="0"/>
        <w:pageBreakBefore w:val="0"/>
        <w:widowControl w:val="0"/>
        <w:tabs>
          <w:tab w:val="right" w:pos="8306"/>
        </w:tabs>
        <w:kinsoku/>
        <w:wordWrap/>
        <w:overflowPunct/>
        <w:topLinePunct w:val="0"/>
        <w:autoSpaceDE/>
        <w:autoSpaceDN/>
        <w:bidi w:val="0"/>
        <w:adjustRightInd w:val="0"/>
        <w:snapToGrid w:val="0"/>
        <w:spacing w:line="440" w:lineRule="exac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bCs/>
          <w:color w:val="000000"/>
          <w:sz w:val="32"/>
          <w:szCs w:val="32"/>
        </w:rPr>
        <w:t>2018年3月30日，我局执法人员接投诉举报，依法对位于广州市增城区新塘镇圣堂三路1号的“广州市增城可记商店”进行现场检查，现场检查发现你单位的</w:t>
      </w:r>
      <w:r>
        <w:rPr>
          <w:rFonts w:hint="eastAsia" w:ascii="仿宋" w:hAnsi="仿宋" w:eastAsia="仿宋" w:cs="仿宋"/>
          <w:color w:val="000000"/>
          <w:sz w:val="32"/>
          <w:szCs w:val="32"/>
        </w:rPr>
        <w:t>经营场所内存放有无标签的冰片糖89箱（规格：15kg/箱），上述预包装食品的外包装上仅标示“重量：15kg”，并无任何标签，你单位涉嫌销售无标签的预包装食品。你单位未能提供有关的单据备查。据供述，上述无标签的预包装食品的进货价是</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元/箱，共购进了90箱，销售价是</w:t>
      </w:r>
      <w:r>
        <w:rPr>
          <w:rFonts w:hint="eastAsia" w:ascii="仿宋" w:hAnsi="仿宋" w:eastAsia="仿宋" w:cs="仿宋"/>
          <w:color w:val="000000"/>
          <w:sz w:val="32"/>
          <w:szCs w:val="32"/>
          <w:lang w:val="en-US" w:eastAsia="zh-CN"/>
        </w:rPr>
        <w:t>**</w:t>
      </w:r>
      <w:r>
        <w:rPr>
          <w:rFonts w:hint="eastAsia" w:ascii="仿宋" w:hAnsi="仿宋" w:eastAsia="仿宋" w:cs="仿宋"/>
          <w:color w:val="000000"/>
          <w:sz w:val="32"/>
          <w:szCs w:val="32"/>
        </w:rPr>
        <w:t>元/箱，截至被我部门查获时止，上述剩余的89箱无标签的预包装食品全部被我部门扣押了。由于你单位未能提供有关的单据备查，致涉案货值及违法所得无法计算。你单位在购进上述食品时未查验供货者许可证和相关证明文件。</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atLeas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综上，你单位未查验相关的合格证明文件的行为，违反了《中华人民共和国食品安全法》第五十三条第一款“食品经营者采购食品，应当查验供货者的许可证和食品出厂检验合格证或者其他合格证明（以下称合格证明文件）。”的规定。你单位销售无标签的预包装食品的行为，违反了《中华人民共和国食品安全法》第三十四条第（十一）项“禁止生产经营下列食品、食品添加剂、食品相关产品：……；（十一）</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atLeast"/>
        <w:ind w:firstLine="400" w:firstLineChars="200"/>
        <w:textAlignment w:val="auto"/>
        <w:outlineLvl w:val="9"/>
        <w:rPr>
          <w:rFonts w:hint="eastAsia" w:ascii="仿宋" w:hAnsi="仿宋" w:eastAsia="仿宋" w:cs="仿宋"/>
          <w:color w:val="000000"/>
          <w:sz w:val="32"/>
          <w:szCs w:val="32"/>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31</w:t>
      </w:r>
      <w:r>
        <w:rPr>
          <w:rFonts w:hint="eastAsia" w:ascii="仿宋_GB2312" w:hAnsi="仿宋" w:eastAsia="仿宋_GB2312"/>
          <w:color w:val="000000"/>
          <w:kern w:val="0"/>
          <w:sz w:val="20"/>
        </w:rPr>
        <w:t>号        第2页  共3页</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440" w:lineRule="atLeast"/>
        <w:textAlignment w:val="auto"/>
        <w:outlineLvl w:val="9"/>
        <w:rPr>
          <w:rFonts w:hint="eastAsia" w:ascii="仿宋" w:hAnsi="仿宋" w:eastAsia="仿宋" w:cs="仿宋"/>
          <w:color w:val="000000"/>
          <w:sz w:val="32"/>
          <w:szCs w:val="32"/>
        </w:rPr>
      </w:pPr>
      <w:r>
        <w:rPr>
          <w:rFonts w:ascii="仿宋_GB2312" w:hAnsi="Arial" w:eastAsia="仿宋_GB2312" w:cs="Arial"/>
          <w:color w:val="000000"/>
          <w:szCs w:val="21"/>
        </w:rPr>
        <mc:AlternateContent>
          <mc:Choice Requires="wps">
            <w:drawing>
              <wp:anchor distT="0" distB="0" distL="114300" distR="114300" simplePos="0" relativeHeight="251660288" behindDoc="0" locked="0" layoutInCell="1" allowOverlap="1">
                <wp:simplePos x="0" y="0"/>
                <wp:positionH relativeFrom="column">
                  <wp:posOffset>-213360</wp:posOffset>
                </wp:positionH>
                <wp:positionV relativeFrom="paragraph">
                  <wp:posOffset>16510</wp:posOffset>
                </wp:positionV>
                <wp:extent cx="5615940" cy="635"/>
                <wp:effectExtent l="0" t="0" r="0" b="0"/>
                <wp:wrapNone/>
                <wp:docPr id="2" name="直线 5"/>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16.8pt;margin-top:1.3pt;height:0.05pt;width:442.2pt;z-index:251660288;mso-width-relative:page;mso-height-relative:page;" filled="f" stroked="t" coordsize="21600,21600" o:gfxdata="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fA8c51QAAAAcBAAAPAAAAAAAAAAEAIAAAACIAAABk&#10;cnMvZG93bnJldi54bWxQSwECFAAUAAAACACHTuJA+DK9DdABAACQAwAADgAAAAAAAAABACAAAAAk&#10;AQAAZHJzL2Uyb0RvYy54bWxQSwUGAAAAAAYABgBZAQAAZgUAAAAA&#10;">
                <v:fill on="f" focussize="0,0"/>
                <v:stroke weight="1.5pt" color="#000000" joinstyle="round"/>
                <v:imagedata o:title=""/>
                <o:lock v:ext="edit" aspectratio="f"/>
              </v:line>
            </w:pict>
          </mc:Fallback>
        </mc:AlternateContent>
      </w:r>
      <w:r>
        <w:rPr>
          <w:rFonts w:hint="eastAsia" w:ascii="仿宋" w:hAnsi="仿宋" w:eastAsia="仿宋" w:cs="仿宋"/>
          <w:color w:val="000000"/>
          <w:sz w:val="32"/>
          <w:szCs w:val="32"/>
        </w:rPr>
        <w:t>无标签的预包装食品、食品添加剂；……”的规定。</w:t>
      </w:r>
    </w:p>
    <w:p>
      <w:pPr>
        <w:keepNext w:val="0"/>
        <w:keepLines w:val="0"/>
        <w:pageBreakBefore w:val="0"/>
        <w:widowControl/>
        <w:kinsoku/>
        <w:wordWrap/>
        <w:overflowPunct/>
        <w:topLinePunct w:val="0"/>
        <w:bidi w:val="0"/>
        <w:adjustRightInd w:val="0"/>
        <w:snapToGrid w:val="0"/>
        <w:spacing w:line="440" w:lineRule="atLeas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相关证据：</w:t>
      </w:r>
    </w:p>
    <w:p>
      <w:pPr>
        <w:keepNext w:val="0"/>
        <w:keepLines w:val="0"/>
        <w:pageBreakBefore w:val="0"/>
        <w:widowControl/>
        <w:kinsoku/>
        <w:wordWrap/>
        <w:overflowPunct/>
        <w:topLinePunct w:val="0"/>
        <w:bidi w:val="0"/>
        <w:adjustRightInd w:val="0"/>
        <w:snapToGrid w:val="0"/>
        <w:spacing w:line="440" w:lineRule="atLeast"/>
        <w:ind w:firstLine="640" w:firstLineChars="200"/>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1、</w:t>
      </w:r>
      <w:r>
        <w:rPr>
          <w:rFonts w:hint="eastAsia" w:ascii="仿宋" w:hAnsi="仿宋" w:eastAsia="仿宋" w:cs="仿宋"/>
          <w:bCs/>
          <w:color w:val="000000"/>
          <w:sz w:val="32"/>
          <w:szCs w:val="32"/>
        </w:rPr>
        <w:t>广州市增城可记商店</w:t>
      </w:r>
      <w:r>
        <w:rPr>
          <w:rFonts w:hint="eastAsia" w:ascii="仿宋" w:hAnsi="仿宋" w:eastAsia="仿宋" w:cs="仿宋"/>
          <w:color w:val="000000"/>
          <w:sz w:val="32"/>
          <w:szCs w:val="32"/>
        </w:rPr>
        <w:t>的《营业执照》及《食品经营许可证》复印件各1份；2、</w:t>
      </w:r>
      <w:r>
        <w:rPr>
          <w:rFonts w:hint="eastAsia" w:ascii="仿宋" w:hAnsi="仿宋" w:eastAsia="仿宋" w:cs="仿宋"/>
          <w:bCs/>
          <w:color w:val="000000"/>
          <w:sz w:val="32"/>
          <w:szCs w:val="32"/>
        </w:rPr>
        <w:t>法定代表人霍可莹的身份证复印件、受委托人霍贯中的身份证复印件、委托书各1份</w:t>
      </w:r>
      <w:r>
        <w:rPr>
          <w:rFonts w:hint="eastAsia" w:ascii="仿宋" w:hAnsi="仿宋" w:eastAsia="仿宋" w:cs="仿宋"/>
          <w:color w:val="000000"/>
          <w:sz w:val="32"/>
          <w:szCs w:val="32"/>
        </w:rPr>
        <w:t>；3、现场检查笔录和询问调查笔录各1份；4、现场检查照片5张。</w:t>
      </w:r>
    </w:p>
    <w:p>
      <w:pPr>
        <w:keepNext w:val="0"/>
        <w:keepLines w:val="0"/>
        <w:pageBreakBefore w:val="0"/>
        <w:widowControl/>
        <w:kinsoku/>
        <w:wordWrap/>
        <w:overflowPunct/>
        <w:topLinePunct w:val="0"/>
        <w:bidi w:val="0"/>
        <w:adjustRightInd w:val="0"/>
        <w:snapToGrid w:val="0"/>
        <w:spacing w:line="440" w:lineRule="atLeast"/>
        <w:jc w:val="left"/>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行政处罚依据和种类：</w:t>
      </w:r>
    </w:p>
    <w:p>
      <w:pPr>
        <w:keepNext w:val="0"/>
        <w:keepLines w:val="0"/>
        <w:pageBreakBefore w:val="0"/>
        <w:widowControl/>
        <w:kinsoku/>
        <w:wordWrap/>
        <w:overflowPunct/>
        <w:topLinePunct w:val="0"/>
        <w:bidi w:val="0"/>
        <w:adjustRightInd w:val="0"/>
        <w:snapToGrid w:val="0"/>
        <w:spacing w:line="440" w:lineRule="atLeas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对于你单位未查验相关的合格证明文件的行为，依据《中华人民共和国食品安全法》第一百二十六条第一款第（三）项“违反本法规定，有下列情形之一的，由县级以上人民政府食品药品监督管理部门责令改正，给予警告；拒不改正的，处五千元以上五万元以下罚款；情节严重的，责令停产停业，直至吊销许可证：……；（三）食品、食品添加剂生产经营者进货时未查验许可证和相关证明文件，或者未按规定建立并遵守进货查验记录、出厂检验记录和销售记录制度；……”的规定，本局决定对你单位处罚如下：给予警告。</w:t>
      </w:r>
    </w:p>
    <w:p>
      <w:pPr>
        <w:keepNext w:val="0"/>
        <w:keepLines w:val="0"/>
        <w:pageBreakBefore w:val="0"/>
        <w:widowControl/>
        <w:kinsoku/>
        <w:wordWrap/>
        <w:overflowPunct/>
        <w:topLinePunct w:val="0"/>
        <w:bidi w:val="0"/>
        <w:adjustRightInd w:val="0"/>
        <w:snapToGrid w:val="0"/>
        <w:spacing w:line="440" w:lineRule="atLeas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对于你单位销售无标签的预包装食品的行为，依据《中华人民共和国食品安全法》第一百二十五条第一款第（二）项“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keepNext w:val="0"/>
        <w:keepLines w:val="0"/>
        <w:pageBreakBefore w:val="0"/>
        <w:widowControl/>
        <w:kinsoku/>
        <w:wordWrap/>
        <w:overflowPunct/>
        <w:topLinePunct w:val="0"/>
        <w:bidi w:val="0"/>
        <w:adjustRightInd w:val="0"/>
        <w:snapToGrid w:val="0"/>
        <w:spacing w:line="440" w:lineRule="atLeast"/>
        <w:ind w:firstLine="420" w:firstLineChars="200"/>
        <w:jc w:val="left"/>
        <w:textAlignment w:val="auto"/>
        <w:outlineLvl w:val="9"/>
        <w:rPr>
          <w:rFonts w:hint="eastAsia" w:ascii="仿宋" w:hAnsi="仿宋" w:eastAsia="仿宋" w:cs="仿宋"/>
          <w:color w:val="000000"/>
          <w:sz w:val="32"/>
          <w:szCs w:val="32"/>
        </w:rPr>
      </w:pPr>
      <w:r>
        <w:rPr>
          <w:rFonts w:ascii="仿宋_GB2312" w:hAnsi="Arial" w:eastAsia="仿宋_GB2312" w:cs="Arial"/>
          <w:color w:val="000000"/>
          <w:szCs w:val="21"/>
        </w:rPr>
        <mc:AlternateContent>
          <mc:Choice Requires="wps">
            <w:drawing>
              <wp:anchor distT="0" distB="0" distL="114300" distR="114300" simplePos="0" relativeHeight="251661312" behindDoc="0" locked="0" layoutInCell="1" allowOverlap="1">
                <wp:simplePos x="0" y="0"/>
                <wp:positionH relativeFrom="column">
                  <wp:posOffset>-137160</wp:posOffset>
                </wp:positionH>
                <wp:positionV relativeFrom="paragraph">
                  <wp:posOffset>360680</wp:posOffset>
                </wp:positionV>
                <wp:extent cx="5615940" cy="635"/>
                <wp:effectExtent l="0" t="0" r="0" b="0"/>
                <wp:wrapNone/>
                <wp:docPr id="3" name="直线 6"/>
                <wp:cNvGraphicFramePr/>
                <a:graphic xmlns:a="http://schemas.openxmlformats.org/drawingml/2006/main">
                  <a:graphicData uri="http://schemas.microsoft.com/office/word/2010/wordprocessingShape">
                    <wps:wsp>
                      <wps:cNvCnPr/>
                      <wps:spPr>
                        <a:xfrm>
                          <a:off x="0" y="0"/>
                          <a:ext cx="5615940" cy="635"/>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10.8pt;margin-top:28.4pt;height:0.05pt;width:442.2pt;z-index:251661312;mso-width-relative:page;mso-height-relative:page;" filled="f" stroked="t" coordsize="21600,21600" o:gfxdata="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&#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S8R2/WAAAACQEAAA8AAAAAAAAAAQAgAAAAIgAAAGRy&#10;cy9kb3ducmV2LnhtbFBLAQIUABQAAAAIAIdO4kAYw5DgzgEAAJADAAAOAAAAAAAAAAEAIAAAACUB&#10;AABkcnMvZTJvRG9jLnhtbFBLBQYAAAAABgAGAFkBAABlBQAAAAA=&#10;">
                <v:fill on="f" focussize="0,0"/>
                <v:stroke weight="1.5pt" color="#000000" joinstyle="round"/>
                <v:imagedata o:title=""/>
                <o:lock v:ext="edit" aspectratio="f"/>
              </v:line>
            </w:pict>
          </mc:Fallback>
        </mc:AlternateConten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31</w:t>
      </w:r>
      <w:r>
        <w:rPr>
          <w:rFonts w:hint="eastAsia" w:ascii="仿宋_GB2312" w:hAnsi="仿宋" w:eastAsia="仿宋_GB2312"/>
          <w:color w:val="000000"/>
          <w:kern w:val="0"/>
          <w:sz w:val="20"/>
        </w:rPr>
        <w:t>号    第</w:t>
      </w:r>
      <w:r>
        <w:rPr>
          <w:rFonts w:hint="eastAsia" w:ascii="仿宋_GB2312" w:hAnsi="仿宋" w:eastAsia="仿宋_GB2312"/>
          <w:color w:val="000000"/>
          <w:kern w:val="0"/>
          <w:sz w:val="20"/>
          <w:lang w:val="en-US" w:eastAsia="zh-CN"/>
        </w:rPr>
        <w:t>3</w:t>
      </w:r>
      <w:bookmarkStart w:id="0" w:name="_GoBack"/>
      <w:bookmarkEnd w:id="0"/>
      <w:r>
        <w:rPr>
          <w:rFonts w:hint="eastAsia" w:ascii="仿宋_GB2312" w:hAnsi="仿宋" w:eastAsia="仿宋_GB2312"/>
          <w:color w:val="000000"/>
          <w:kern w:val="0"/>
          <w:sz w:val="20"/>
        </w:rPr>
        <w:t>页  共3页</w:t>
      </w:r>
    </w:p>
    <w:p>
      <w:pPr>
        <w:keepNext w:val="0"/>
        <w:keepLines w:val="0"/>
        <w:pageBreakBefore w:val="0"/>
        <w:widowControl/>
        <w:kinsoku/>
        <w:wordWrap/>
        <w:overflowPunct/>
        <w:topLinePunct w:val="0"/>
        <w:bidi w:val="0"/>
        <w:adjustRightInd w:val="0"/>
        <w:snapToGrid w:val="0"/>
        <w:spacing w:line="440" w:lineRule="atLeast"/>
        <w:jc w:val="left"/>
        <w:textAlignment w:val="auto"/>
        <w:outlineLvl w:val="9"/>
        <w:rPr>
          <w:rFonts w:hint="eastAsia" w:ascii="仿宋" w:hAnsi="仿宋" w:eastAsia="仿宋" w:cs="仿宋"/>
          <w:color w:val="000000"/>
          <w:sz w:val="32"/>
          <w:szCs w:val="32"/>
        </w:rPr>
      </w:pPr>
    </w:p>
    <w:p>
      <w:pPr>
        <w:keepNext w:val="0"/>
        <w:keepLines w:val="0"/>
        <w:pageBreakBefore w:val="0"/>
        <w:widowControl/>
        <w:kinsoku/>
        <w:wordWrap/>
        <w:overflowPunct/>
        <w:topLinePunct w:val="0"/>
        <w:bidi w:val="0"/>
        <w:adjustRightInd w:val="0"/>
        <w:snapToGrid w:val="0"/>
        <w:spacing w:line="440" w:lineRule="atLeast"/>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生产经营无标签的预包装食品、食品添加剂或者标签、说明书不符合本法规定的食品、食品添加剂；……”的规定，鉴于你单位属初次违法、无主观恶意，且配合查处其违法行为并主动提供上述无标签的预包装食品的来源信息，本局决定对你单位从轻处罚如下：1、没收涉案的无标签的冰片糖89箱（规格：15kg/箱）；2、罚款10000元。</w:t>
      </w:r>
    </w:p>
    <w:p>
      <w:pPr>
        <w:keepNext w:val="0"/>
        <w:keepLines w:val="0"/>
        <w:pageBreakBefore w:val="0"/>
        <w:widowControl/>
        <w:kinsoku/>
        <w:wordWrap/>
        <w:overflowPunct/>
        <w:topLinePunct w:val="0"/>
        <w:bidi w:val="0"/>
        <w:adjustRightInd w:val="0"/>
        <w:snapToGrid w:val="0"/>
        <w:spacing w:line="440" w:lineRule="atLeas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以上合并处罚如下：1、警告；2、没收涉案的无标签的冰片糖89箱（规格：15kg/箱）；3、罚款10000元。</w:t>
      </w:r>
    </w:p>
    <w:p>
      <w:pPr>
        <w:keepNext w:val="0"/>
        <w:keepLines w:val="0"/>
        <w:pageBreakBefore w:val="0"/>
        <w:widowControl/>
        <w:kinsoku/>
        <w:wordWrap/>
        <w:overflowPunct/>
        <w:topLinePunct w:val="0"/>
        <w:bidi w:val="0"/>
        <w:adjustRightInd w:val="0"/>
        <w:snapToGrid w:val="0"/>
        <w:spacing w:line="440" w:lineRule="atLeast"/>
        <w:ind w:firstLine="640" w:firstLineChars="200"/>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请你单位在接到本处罚决定书之日起15日内将罚没款缴到广州市非税收入缴款通知书</w:t>
      </w:r>
    </w:p>
    <w:p>
      <w:pPr>
        <w:keepNext w:val="0"/>
        <w:keepLines w:val="0"/>
        <w:pageBreakBefore w:val="0"/>
        <w:widowControl/>
        <w:kinsoku/>
        <w:wordWrap/>
        <w:overflowPunct/>
        <w:topLinePunct w:val="0"/>
        <w:bidi w:val="0"/>
        <w:adjustRightInd w:val="0"/>
        <w:snapToGrid w:val="0"/>
        <w:spacing w:line="440" w:lineRule="atLeast"/>
        <w:jc w:val="left"/>
        <w:textAlignment w:val="auto"/>
        <w:outlineLvl w:val="9"/>
        <w:rPr>
          <w:rFonts w:hint="eastAsia" w:ascii="仿宋" w:hAnsi="仿宋" w:eastAsia="仿宋" w:cs="仿宋"/>
          <w:color w:val="000000"/>
          <w:sz w:val="32"/>
          <w:szCs w:val="32"/>
        </w:rPr>
      </w:pPr>
      <w:r>
        <w:rPr>
          <w:rFonts w:hint="eastAsia" w:ascii="仿宋" w:hAnsi="仿宋" w:eastAsia="仿宋" w:cs="仿宋"/>
          <w:sz w:val="32"/>
          <w:szCs w:val="32"/>
        </w:rPr>
        <w:t>上指定的</w:t>
      </w:r>
      <w:r>
        <w:rPr>
          <w:rFonts w:hint="eastAsia" w:ascii="仿宋" w:hAnsi="仿宋" w:eastAsia="仿宋" w:cs="仿宋"/>
          <w:color w:val="000000"/>
          <w:kern w:val="0"/>
          <w:sz w:val="32"/>
          <w:szCs w:val="32"/>
        </w:rPr>
        <w:t>银行。逾期不缴纳罚没款的，根据《中华人民共和国行政处罚法》第五十一条第一</w:t>
      </w:r>
    </w:p>
    <w:p>
      <w:pPr>
        <w:keepNext w:val="0"/>
        <w:keepLines w:val="0"/>
        <w:pageBreakBefore w:val="0"/>
        <w:widowControl/>
        <w:kinsoku/>
        <w:wordWrap/>
        <w:overflowPunct/>
        <w:topLinePunct w:val="0"/>
        <w:bidi w:val="0"/>
        <w:adjustRightInd w:val="0"/>
        <w:snapToGrid w:val="0"/>
        <w:spacing w:line="440" w:lineRule="atLeast"/>
        <w:jc w:val="left"/>
        <w:textAlignment w:val="auto"/>
        <w:outlineLvl w:val="9"/>
        <w:rPr>
          <w:rFonts w:hint="eastAsia" w:ascii="仿宋" w:hAnsi="仿宋" w:eastAsia="仿宋" w:cs="仿宋"/>
          <w:color w:val="000000"/>
          <w:sz w:val="32"/>
          <w:szCs w:val="32"/>
        </w:rPr>
      </w:pPr>
      <w:r>
        <w:rPr>
          <w:rFonts w:hint="eastAsia" w:ascii="仿宋" w:hAnsi="仿宋" w:eastAsia="仿宋" w:cs="仿宋"/>
          <w:color w:val="000000"/>
          <w:kern w:val="0"/>
          <w:sz w:val="32"/>
          <w:szCs w:val="32"/>
        </w:rPr>
        <w:t>项的规定，每日按罚款数额的3%加处罚款，并将依法申请人民法院强制执行。</w:t>
      </w:r>
    </w:p>
    <w:p>
      <w:pPr>
        <w:keepNext w:val="0"/>
        <w:keepLines w:val="0"/>
        <w:pageBreakBefore w:val="0"/>
        <w:widowControl/>
        <w:kinsoku/>
        <w:wordWrap/>
        <w:overflowPunct/>
        <w:topLinePunct w:val="0"/>
        <w:autoSpaceDE w:val="0"/>
        <w:autoSpaceDN w:val="0"/>
        <w:bidi w:val="0"/>
        <w:adjustRightInd w:val="0"/>
        <w:snapToGrid w:val="0"/>
        <w:spacing w:line="440" w:lineRule="atLeast"/>
        <w:ind w:left="105" w:leftChars="50" w:firstLine="640" w:firstLineChars="200"/>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如不服本处罚决定，可在接到本处罚决定书之日起60日内向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p>
    <w:p>
      <w:pPr>
        <w:keepNext w:val="0"/>
        <w:keepLines w:val="0"/>
        <w:pageBreakBefore w:val="0"/>
        <w:widowControl/>
        <w:kinsoku/>
        <w:wordWrap/>
        <w:overflowPunct/>
        <w:topLinePunct w:val="0"/>
        <w:autoSpaceDE w:val="0"/>
        <w:autoSpaceDN w:val="0"/>
        <w:bidi w:val="0"/>
        <w:adjustRightInd w:val="0"/>
        <w:snapToGrid w:val="0"/>
        <w:spacing w:line="440" w:lineRule="atLeast"/>
        <w:ind w:left="105" w:leftChars="50" w:firstLine="640" w:firstLineChars="200"/>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autoSpaceDE w:val="0"/>
        <w:autoSpaceDN w:val="0"/>
        <w:bidi w:val="0"/>
        <w:adjustRightInd w:val="0"/>
        <w:snapToGrid w:val="0"/>
        <w:spacing w:line="440" w:lineRule="atLeast"/>
        <w:ind w:left="105" w:leftChars="50" w:firstLine="640" w:firstLineChars="200"/>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autoSpaceDE w:val="0"/>
        <w:autoSpaceDN w:val="0"/>
        <w:bidi w:val="0"/>
        <w:adjustRightInd w:val="0"/>
        <w:snapToGrid w:val="0"/>
        <w:spacing w:line="440" w:lineRule="atLeast"/>
        <w:ind w:left="105" w:leftChars="50" w:firstLine="640" w:firstLineChars="200"/>
        <w:jc w:val="left"/>
        <w:textAlignment w:val="auto"/>
        <w:outlineLvl w:val="9"/>
        <w:rPr>
          <w:rFonts w:hint="eastAsia" w:ascii="仿宋" w:hAnsi="仿宋" w:eastAsia="仿宋" w:cs="仿宋"/>
          <w:color w:val="000000"/>
          <w:kern w:val="0"/>
          <w:sz w:val="32"/>
          <w:szCs w:val="32"/>
        </w:rPr>
      </w:pPr>
    </w:p>
    <w:p>
      <w:pPr>
        <w:keepNext w:val="0"/>
        <w:keepLines w:val="0"/>
        <w:pageBreakBefore w:val="0"/>
        <w:widowControl/>
        <w:kinsoku/>
        <w:wordWrap/>
        <w:overflowPunct/>
        <w:topLinePunct w:val="0"/>
        <w:bidi w:val="0"/>
        <w:adjustRightInd w:val="0"/>
        <w:snapToGrid w:val="0"/>
        <w:spacing w:line="440" w:lineRule="atLeast"/>
        <w:jc w:val="lef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w:t>
      </w:r>
      <w:r>
        <w:rPr>
          <w:rFonts w:hint="eastAsia" w:ascii="仿宋" w:hAnsi="仿宋" w:eastAsia="仿宋" w:cs="仿宋"/>
          <w:color w:val="000000"/>
          <w:kern w:val="0"/>
          <w:sz w:val="32"/>
          <w:szCs w:val="32"/>
          <w:lang w:val="en-US" w:eastAsia="zh-CN"/>
        </w:rPr>
        <w:t xml:space="preserve">     </w:t>
      </w:r>
      <w:r>
        <w:rPr>
          <w:rFonts w:hint="eastAsia" w:ascii="仿宋" w:hAnsi="仿宋" w:eastAsia="仿宋" w:cs="仿宋"/>
          <w:color w:val="000000"/>
          <w:kern w:val="0"/>
          <w:sz w:val="32"/>
          <w:szCs w:val="32"/>
        </w:rPr>
        <w:t>广州市增城区食品药品监督管理局</w:t>
      </w:r>
    </w:p>
    <w:p>
      <w:pPr>
        <w:keepNext w:val="0"/>
        <w:keepLines w:val="0"/>
        <w:pageBreakBefore w:val="0"/>
        <w:widowControl/>
        <w:kinsoku/>
        <w:wordWrap/>
        <w:overflowPunct/>
        <w:topLinePunct w:val="0"/>
        <w:bidi w:val="0"/>
        <w:adjustRightInd w:val="0"/>
        <w:snapToGrid w:val="0"/>
        <w:spacing w:line="440" w:lineRule="atLeast"/>
        <w:jc w:val="right"/>
        <w:textAlignment w:val="auto"/>
        <w:outlineLvl w:val="9"/>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 xml:space="preserve"> 2018年4月24日</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docPartObj>
        <w:docPartGallery w:val="autotext"/>
      </w:docPartObj>
    </w:sdtPr>
    <w:sdtContent>
      <w:sdt>
        <w:sdtPr>
          <w:id w:val="98381352"/>
          <w:docPartObj>
            <w:docPartGallery w:val="autotext"/>
          </w:docPartObj>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48BF"/>
    <w:rsid w:val="00047755"/>
    <w:rsid w:val="00051C4E"/>
    <w:rsid w:val="00070A16"/>
    <w:rsid w:val="00091769"/>
    <w:rsid w:val="000A0226"/>
    <w:rsid w:val="000B213A"/>
    <w:rsid w:val="001724F1"/>
    <w:rsid w:val="00172A27"/>
    <w:rsid w:val="0018604C"/>
    <w:rsid w:val="00186E6C"/>
    <w:rsid w:val="00190F95"/>
    <w:rsid w:val="001D358F"/>
    <w:rsid w:val="00210CC1"/>
    <w:rsid w:val="00212A10"/>
    <w:rsid w:val="00214984"/>
    <w:rsid w:val="002509EA"/>
    <w:rsid w:val="00250C5A"/>
    <w:rsid w:val="002613FC"/>
    <w:rsid w:val="00294F73"/>
    <w:rsid w:val="002A19EA"/>
    <w:rsid w:val="002A3D72"/>
    <w:rsid w:val="002C068F"/>
    <w:rsid w:val="002E0939"/>
    <w:rsid w:val="002E1853"/>
    <w:rsid w:val="00320D30"/>
    <w:rsid w:val="0033779E"/>
    <w:rsid w:val="00341E64"/>
    <w:rsid w:val="003424C4"/>
    <w:rsid w:val="00347BA8"/>
    <w:rsid w:val="00355A0D"/>
    <w:rsid w:val="003A57EE"/>
    <w:rsid w:val="003B6508"/>
    <w:rsid w:val="003C796A"/>
    <w:rsid w:val="003E3219"/>
    <w:rsid w:val="00406B2B"/>
    <w:rsid w:val="00417A77"/>
    <w:rsid w:val="0047064C"/>
    <w:rsid w:val="0047675C"/>
    <w:rsid w:val="004A02DE"/>
    <w:rsid w:val="005003F4"/>
    <w:rsid w:val="005132B7"/>
    <w:rsid w:val="00517A45"/>
    <w:rsid w:val="00542650"/>
    <w:rsid w:val="00575B7D"/>
    <w:rsid w:val="00590AA2"/>
    <w:rsid w:val="005C74CA"/>
    <w:rsid w:val="005D1F3C"/>
    <w:rsid w:val="005F3093"/>
    <w:rsid w:val="005F412D"/>
    <w:rsid w:val="005F6961"/>
    <w:rsid w:val="00620B38"/>
    <w:rsid w:val="00622DA8"/>
    <w:rsid w:val="00630D1B"/>
    <w:rsid w:val="00645D72"/>
    <w:rsid w:val="00685CAC"/>
    <w:rsid w:val="006B78CB"/>
    <w:rsid w:val="006D2383"/>
    <w:rsid w:val="006D4FCF"/>
    <w:rsid w:val="0074054B"/>
    <w:rsid w:val="007502F7"/>
    <w:rsid w:val="00766C4C"/>
    <w:rsid w:val="00801522"/>
    <w:rsid w:val="0089247D"/>
    <w:rsid w:val="00901AFA"/>
    <w:rsid w:val="00915A2F"/>
    <w:rsid w:val="00966A89"/>
    <w:rsid w:val="00991A38"/>
    <w:rsid w:val="009C2121"/>
    <w:rsid w:val="00A04BFA"/>
    <w:rsid w:val="00A47DB0"/>
    <w:rsid w:val="00AA1B06"/>
    <w:rsid w:val="00B05171"/>
    <w:rsid w:val="00B13FCC"/>
    <w:rsid w:val="00B16AB9"/>
    <w:rsid w:val="00B177AC"/>
    <w:rsid w:val="00B25CB0"/>
    <w:rsid w:val="00B57C34"/>
    <w:rsid w:val="00B7799A"/>
    <w:rsid w:val="00B8083B"/>
    <w:rsid w:val="00B97D3B"/>
    <w:rsid w:val="00BD75D2"/>
    <w:rsid w:val="00BD7D03"/>
    <w:rsid w:val="00BF181D"/>
    <w:rsid w:val="00BF6125"/>
    <w:rsid w:val="00C23FBA"/>
    <w:rsid w:val="00C31414"/>
    <w:rsid w:val="00C50B19"/>
    <w:rsid w:val="00C55ECB"/>
    <w:rsid w:val="00C5774B"/>
    <w:rsid w:val="00C90378"/>
    <w:rsid w:val="00CC7A9F"/>
    <w:rsid w:val="00D124F6"/>
    <w:rsid w:val="00D16E3A"/>
    <w:rsid w:val="00D34A26"/>
    <w:rsid w:val="00D64316"/>
    <w:rsid w:val="00E11A4D"/>
    <w:rsid w:val="00E64C6C"/>
    <w:rsid w:val="00EC244F"/>
    <w:rsid w:val="00EE02C1"/>
    <w:rsid w:val="00F058ED"/>
    <w:rsid w:val="00F20057"/>
    <w:rsid w:val="00F2659A"/>
    <w:rsid w:val="00F47E15"/>
    <w:rsid w:val="00F51FDC"/>
    <w:rsid w:val="00F81037"/>
    <w:rsid w:val="00F92A28"/>
    <w:rsid w:val="00FA5DA7"/>
    <w:rsid w:val="00FB2D28"/>
    <w:rsid w:val="00FC1960"/>
    <w:rsid w:val="00FD19A6"/>
    <w:rsid w:val="00FD670C"/>
    <w:rsid w:val="00FF5F12"/>
    <w:rsid w:val="6F4C6F28"/>
    <w:rsid w:val="7B8B4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311</Words>
  <Characters>1779</Characters>
  <Lines>14</Lines>
  <Paragraphs>4</Paragraphs>
  <TotalTime>1</TotalTime>
  <ScaleCrop>false</ScaleCrop>
  <LinksUpToDate>false</LinksUpToDate>
  <CharactersWithSpaces>2086</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 Right now</cp:lastModifiedBy>
  <cp:lastPrinted>2018-04-28T07:08:00Z</cp:lastPrinted>
  <dcterms:modified xsi:type="dcterms:W3CDTF">2018-07-20T02:54:24Z</dcterms:modified>
  <dc:title>食品药品行政处罚文书</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