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50</w:t>
      </w:r>
      <w:r>
        <w:rPr>
          <w:rFonts w:hint="eastAsia" w:ascii="仿宋_GB2312" w:hAnsi="仿宋" w:eastAsia="仿宋_GB2312"/>
          <w:color w:val="000000"/>
          <w:kern w:val="0"/>
          <w:sz w:val="20"/>
        </w:rPr>
        <w:t>号           第1页  共3页</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Sp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Dtvfej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 w:hAnsi="仿宋" w:eastAsia="仿宋" w:cs="仿宋"/>
          <w:color w:val="000000"/>
          <w:kern w:val="0"/>
          <w:sz w:val="32"/>
          <w:szCs w:val="32"/>
        </w:rPr>
        <w:t>当事人：阳叶金</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住址：广州市增城区新塘镇官湖村宅村（土名）工业厂房C（自编B区10号）</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邮编：511340</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统一社会信用代码：92440101MA5AUWRM83</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经营者：阳叶金    性别：</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 xml:space="preserve">            职务：负责人</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bCs/>
          <w:color w:val="000000"/>
          <w:sz w:val="32"/>
          <w:szCs w:val="32"/>
        </w:rPr>
        <w:t>身份证号码：</w:t>
      </w:r>
      <w:r>
        <w:rPr>
          <w:rFonts w:hint="eastAsia" w:ascii="仿宋" w:hAnsi="仿宋" w:eastAsia="仿宋" w:cs="仿宋"/>
          <w:bCs/>
          <w:color w:val="000000"/>
          <w:sz w:val="32"/>
          <w:szCs w:val="32"/>
          <w:lang w:val="en-US" w:eastAsia="zh-CN"/>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违法事实：</w:t>
      </w:r>
    </w:p>
    <w:p>
      <w:pPr>
        <w:keepNext w:val="0"/>
        <w:keepLines w:val="0"/>
        <w:pageBreakBefore w:val="0"/>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2018年5月8日，我局执法人员依法对位于</w:t>
      </w:r>
      <w:r>
        <w:rPr>
          <w:rFonts w:hint="eastAsia" w:ascii="仿宋" w:hAnsi="仿宋" w:eastAsia="仿宋" w:cs="仿宋"/>
          <w:bCs/>
          <w:color w:val="000000"/>
          <w:sz w:val="32"/>
          <w:szCs w:val="32"/>
        </w:rPr>
        <w:t>广州市增城区新塘镇官湖村宅村（土名）工业厂房C（自编B区10号）的一间无名豆制品小作坊</w:t>
      </w:r>
      <w:r>
        <w:rPr>
          <w:rFonts w:hint="eastAsia" w:ascii="仿宋" w:hAnsi="仿宋" w:eastAsia="仿宋" w:cs="仿宋"/>
          <w:color w:val="000000"/>
          <w:sz w:val="32"/>
          <w:szCs w:val="32"/>
        </w:rPr>
        <w:t>进行现场检查。现场检查发现，你（单位）正从事豆制品的生产加工，现场你（单位）不能提供《</w:t>
      </w:r>
      <w:r>
        <w:rPr>
          <w:rFonts w:hint="eastAsia" w:ascii="仿宋" w:hAnsi="仿宋" w:eastAsia="仿宋" w:cs="仿宋"/>
          <w:bCs/>
          <w:color w:val="000000"/>
          <w:sz w:val="32"/>
          <w:szCs w:val="32"/>
        </w:rPr>
        <w:t>广东省食品生产加工小作坊登记证</w:t>
      </w:r>
      <w:r>
        <w:rPr>
          <w:rFonts w:hint="eastAsia" w:ascii="仿宋" w:hAnsi="仿宋" w:eastAsia="仿宋" w:cs="仿宋"/>
          <w:color w:val="000000"/>
          <w:sz w:val="32"/>
          <w:szCs w:val="32"/>
        </w:rPr>
        <w:t>》及其他有效许可手续备查。我局对你（单位）立案调查。</w:t>
      </w:r>
    </w:p>
    <w:p>
      <w:pPr>
        <w:keepNext w:val="0"/>
        <w:keepLines w:val="0"/>
        <w:pageBreakBefore w:val="0"/>
        <w:kinsoku/>
        <w:wordWrap/>
        <w:overflowPunct/>
        <w:topLinePunct w:val="0"/>
        <w:bidi w:val="0"/>
        <w:adjustRightInd w:val="0"/>
        <w:snapToGrid w:val="0"/>
        <w:spacing w:line="440" w:lineRule="exact"/>
        <w:ind w:firstLine="640" w:firstLineChars="200"/>
        <w:textAlignment w:val="auto"/>
        <w:outlineLvl w:val="9"/>
        <w:rPr>
          <w:rFonts w:ascii="仿宋_GB2312" w:hAnsi="仿宋" w:eastAsia="仿宋_GB2312"/>
          <w:color w:val="000000"/>
          <w:kern w:val="0"/>
          <w:sz w:val="20"/>
        </w:rPr>
      </w:pPr>
      <w:r>
        <w:rPr>
          <w:rFonts w:hint="eastAsia" w:ascii="仿宋" w:hAnsi="仿宋" w:eastAsia="仿宋" w:cs="仿宋"/>
          <w:color w:val="000000"/>
          <w:sz w:val="32"/>
          <w:szCs w:val="32"/>
        </w:rPr>
        <w:t>现查明，你（单位）在未</w:t>
      </w:r>
      <w:r>
        <w:rPr>
          <w:rFonts w:hint="eastAsia" w:ascii="仿宋" w:hAnsi="仿宋" w:eastAsia="仿宋" w:cs="仿宋"/>
          <w:bCs/>
          <w:color w:val="000000"/>
          <w:sz w:val="32"/>
          <w:szCs w:val="32"/>
        </w:rPr>
        <w:t>取得《广东省食品生产加工小作坊登记证》及其他有效许可手续的情况下</w:t>
      </w:r>
      <w:r>
        <w:rPr>
          <w:rFonts w:hint="eastAsia" w:ascii="仿宋" w:hAnsi="仿宋" w:eastAsia="仿宋" w:cs="仿宋"/>
          <w:color w:val="000000"/>
          <w:sz w:val="32"/>
          <w:szCs w:val="32"/>
        </w:rPr>
        <w:t>，自2018年3月初开始，在</w:t>
      </w:r>
      <w:r>
        <w:rPr>
          <w:rFonts w:hint="eastAsia" w:ascii="仿宋" w:hAnsi="仿宋" w:eastAsia="仿宋" w:cs="仿宋"/>
          <w:bCs/>
          <w:color w:val="000000"/>
          <w:sz w:val="32"/>
          <w:szCs w:val="32"/>
        </w:rPr>
        <w:t>广州市增城区新塘镇官湖村宅村（土名）工业厂房C（自编B区10号）</w:t>
      </w:r>
      <w:r>
        <w:rPr>
          <w:rFonts w:hint="eastAsia" w:ascii="仿宋" w:hAnsi="仿宋" w:eastAsia="仿宋" w:cs="仿宋"/>
          <w:color w:val="000000"/>
          <w:sz w:val="32"/>
          <w:szCs w:val="32"/>
        </w:rPr>
        <w:t>从事豆制品生产加工。至2018年5月8日被我局查获时止，因你（单位）开业以来一直没有做财帐记录，也没有保存原始进销货记录票据，致涉案货值及违法所得无法计算。你（单位）上述行为涉嫌违反了</w:t>
      </w:r>
      <w:r>
        <w:rPr>
          <w:rFonts w:hint="eastAsia" w:ascii="仿宋" w:hAnsi="仿宋" w:eastAsia="仿宋" w:cs="仿宋"/>
          <w:bCs/>
          <w:color w:val="000000"/>
          <w:sz w:val="32"/>
          <w:szCs w:val="32"/>
        </w:rPr>
        <w:t>《广东省食品生产加工小作坊和食品摊贩管理条例》第八条“食品小作坊实行登记管理。食品小作坊在生产加工前应当向所在地食品药品监督管理部门申请食品小作坊登记证。……“的规定</w:t>
      </w:r>
      <w:r>
        <w:rPr>
          <w:rFonts w:hint="eastAsia" w:ascii="仿宋" w:hAnsi="仿宋" w:eastAsia="仿宋" w:cs="仿宋"/>
          <w:color w:val="000000"/>
          <w:sz w:val="32"/>
          <w:szCs w:val="32"/>
        </w:rPr>
        <w:t xml:space="preserve">。            </w:t>
      </w:r>
      <w:r>
        <w:rPr>
          <w:rFonts w:hint="eastAsia" w:ascii="仿宋_GB2312" w:hAnsi="仿宋" w:eastAsia="仿宋_GB2312"/>
          <w:color w:val="000000"/>
          <w:sz w:val="20"/>
        </w:rPr>
        <w:t xml:space="preserve">                        </w:t>
      </w:r>
    </w:p>
    <w:p>
      <w:pPr>
        <w:keepNext w:val="0"/>
        <w:keepLines w:val="0"/>
        <w:pageBreakBefore w:val="0"/>
        <w:widowControl/>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
          <w:bCs/>
          <w:color w:val="000000"/>
          <w:kern w:val="0"/>
          <w:sz w:val="32"/>
          <w:szCs w:val="32"/>
        </w:rPr>
        <w:t>相关证据：</w:t>
      </w:r>
    </w:p>
    <w:p>
      <w:pPr>
        <w:keepNext w:val="0"/>
        <w:keepLines w:val="0"/>
        <w:pageBreakBefore w:val="0"/>
        <w:numPr>
          <w:ilvl w:val="0"/>
          <w:numId w:val="1"/>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阳叶金的《营业执照（副本）》复印件1份；2、负责人</w:t>
      </w:r>
    </w:p>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rFonts w:hint="eastAsia"/>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lang w:val="en-US" w:eastAsia="zh-CN"/>
        </w:rPr>
        <w:t xml:space="preserve">                          </w:t>
      </w:r>
      <w:r>
        <w:rPr>
          <w:rFonts w:hint="eastAsia" w:ascii="仿宋_GB2312" w:hAnsi="仿宋" w:eastAsia="仿宋_GB2312"/>
          <w:color w:val="000000"/>
          <w:sz w:val="20"/>
        </w:rPr>
        <w:t>（</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50</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2</w:t>
      </w:r>
      <w:r>
        <w:rPr>
          <w:rFonts w:hint="eastAsia" w:ascii="仿宋_GB2312" w:hAnsi="仿宋" w:eastAsia="仿宋_GB2312"/>
          <w:color w:val="000000"/>
          <w:kern w:val="0"/>
          <w:sz w:val="20"/>
        </w:rPr>
        <w:t>页  共3页</w:t>
      </w:r>
    </w:p>
    <w:p>
      <w:pPr>
        <w:autoSpaceDE w:val="0"/>
        <w:autoSpaceDN w:val="0"/>
        <w:jc w:val="center"/>
        <w:rPr>
          <w:rFonts w:hint="eastAsia" w:ascii="仿宋" w:hAnsi="仿宋" w:eastAsia="仿宋" w:cs="仿宋"/>
          <w:bCs/>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65408" behindDoc="0" locked="0" layoutInCell="1" allowOverlap="1">
                <wp:simplePos x="0" y="0"/>
                <wp:positionH relativeFrom="column">
                  <wp:posOffset>-272415</wp:posOffset>
                </wp:positionH>
                <wp:positionV relativeFrom="paragraph">
                  <wp:posOffset>12700</wp:posOffset>
                </wp:positionV>
                <wp:extent cx="5615940" cy="635"/>
                <wp:effectExtent l="0" t="0" r="0" b="0"/>
                <wp:wrapNone/>
                <wp:docPr id="2" name="直线 10"/>
                <wp:cNvGraphicFramePr/>
                <a:graphic xmlns:a="http://schemas.openxmlformats.org/drawingml/2006/main">
                  <a:graphicData uri="http://schemas.microsoft.com/office/word/2010/wordprocessingShape">
                    <wps:wsp>
                      <wps:cNvSp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21.45pt;margin-top:1pt;height:0.05pt;width:442.2pt;z-index:251665408;mso-width-relative:page;mso-height-relative:page;" filled="f" stroked="t" coordsize="21600,21600" o:gfxdata="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8cEvW1AAAAAcBAAAPAAAAAAAAAAEAIAAAACIAAABkcnMv&#10;ZG93bnJldi54bWxQSwECFAAUAAAACACHTuJAveyE284BAACRAwAADgAAAAAAAAABACAAAAAjAQAA&#10;ZHJzL2Uyb0RvYy54bWxQSwUGAAAAAAYABgBZAQAAYwUAAAAA&#10;">
                <v:fill on="f" focussize="0,0"/>
                <v:stroke weight="1.5pt" color="#000000" joinstyle="round"/>
                <v:imagedata o:title=""/>
                <o:lock v:ext="edit" aspectratio="f"/>
              </v:line>
            </w:pict>
          </mc:Fallback>
        </mc:AlternateContent>
      </w:r>
      <w:r>
        <w:rPr>
          <w:rFonts w:hint="eastAsia" w:ascii="仿宋" w:hAnsi="仿宋" w:eastAsia="仿宋" w:cs="仿宋"/>
          <w:bCs/>
          <w:color w:val="000000"/>
          <w:sz w:val="32"/>
          <w:szCs w:val="32"/>
        </w:rPr>
        <w:t>的身份证复印件1份；3、现场检查笔录、询问调查笔录各1</w:t>
      </w:r>
    </w:p>
    <w:p>
      <w:pPr>
        <w:autoSpaceDE w:val="0"/>
        <w:autoSpaceDN w:val="0"/>
        <w:jc w:val="both"/>
        <w:rPr>
          <w:rFonts w:hint="eastAsia" w:ascii="仿宋" w:hAnsi="仿宋" w:eastAsia="仿宋" w:cs="仿宋"/>
          <w:bCs/>
          <w:color w:val="000000"/>
          <w:sz w:val="32"/>
          <w:szCs w:val="32"/>
        </w:rPr>
      </w:pPr>
      <w:r>
        <w:rPr>
          <w:rFonts w:hint="eastAsia" w:ascii="仿宋" w:hAnsi="仿宋" w:eastAsia="仿宋" w:cs="仿宋"/>
          <w:bCs/>
          <w:color w:val="000000"/>
          <w:sz w:val="32"/>
          <w:szCs w:val="32"/>
        </w:rPr>
        <w:t>份；4、现场检查照片4张。</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行政处罚依据和种类：</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你（单位）未经登记从事豆制品生产加工</w:t>
      </w:r>
      <w:r>
        <w:rPr>
          <w:rFonts w:hint="eastAsia" w:ascii="仿宋" w:hAnsi="仿宋" w:eastAsia="仿宋" w:cs="仿宋"/>
          <w:bCs/>
          <w:color w:val="000000"/>
          <w:sz w:val="32"/>
          <w:szCs w:val="32"/>
        </w:rPr>
        <w:t>的</w:t>
      </w:r>
      <w:r>
        <w:rPr>
          <w:rFonts w:hint="eastAsia" w:ascii="仿宋" w:hAnsi="仿宋" w:eastAsia="仿宋" w:cs="仿宋"/>
          <w:color w:val="000000"/>
          <w:sz w:val="32"/>
          <w:szCs w:val="32"/>
        </w:rPr>
        <w:t>违法行为，依据《</w:t>
      </w:r>
      <w:r>
        <w:rPr>
          <w:rFonts w:hint="eastAsia" w:ascii="仿宋" w:hAnsi="仿宋" w:eastAsia="仿宋" w:cs="仿宋"/>
          <w:bCs/>
          <w:color w:val="000000"/>
          <w:sz w:val="32"/>
          <w:szCs w:val="32"/>
        </w:rPr>
        <w:t>广东省食品生产加工小作坊</w:t>
      </w:r>
      <w:bookmarkStart w:id="0" w:name="_GoBack"/>
      <w:bookmarkEnd w:id="0"/>
      <w:r>
        <w:rPr>
          <w:rFonts w:hint="eastAsia" w:ascii="仿宋" w:hAnsi="仿宋" w:eastAsia="仿宋" w:cs="仿宋"/>
          <w:bCs/>
          <w:color w:val="000000"/>
          <w:sz w:val="32"/>
          <w:szCs w:val="32"/>
        </w:rPr>
        <w:t>和食品摊贩管理条例</w:t>
      </w:r>
      <w:r>
        <w:rPr>
          <w:rFonts w:hint="eastAsia" w:ascii="仿宋" w:hAnsi="仿宋" w:eastAsia="仿宋" w:cs="仿宋"/>
          <w:color w:val="000000"/>
          <w:sz w:val="32"/>
          <w:szCs w:val="32"/>
        </w:rPr>
        <w:t>》第四十八条第一款“违反本条例第八条和第十二条第一款规定，未取得食品小作坊登记证或者生产食品小作坊登记证载明的品种范围外食品的，由食品药品监督管理部门没收违法所得和违法生产经营的食品以及用于违法生产的工具、设备、原料等物品；违法生产的食品货值不足一万元的，并处五千元以上三万元以下罚款，货值超过一万元的，并处货值金额五倍以上十倍以下罚款。”的规定，鉴于你（单位）</w:t>
      </w:r>
      <w:r>
        <w:rPr>
          <w:rFonts w:hint="eastAsia" w:ascii="仿宋" w:hAnsi="仿宋" w:eastAsia="仿宋" w:cs="仿宋"/>
          <w:bCs/>
          <w:color w:val="000000"/>
          <w:sz w:val="32"/>
          <w:szCs w:val="32"/>
        </w:rPr>
        <w:t>属初次违法，经营规模小，开业时间短，社会危害性较小，且未造成严重危害后果，</w:t>
      </w:r>
      <w:r>
        <w:rPr>
          <w:rFonts w:hint="eastAsia" w:ascii="仿宋" w:hAnsi="仿宋" w:eastAsia="仿宋" w:cs="仿宋"/>
          <w:color w:val="000000"/>
          <w:sz w:val="32"/>
          <w:szCs w:val="32"/>
        </w:rPr>
        <w:t>参考《广州市食品药品监管系统规范行政处罚自由裁量权规定》第十一条第二款第（五）项规定：“当事人有下列情形之一的，认定为应当从轻处罚情节：……（五）未造成严重危害后果的；……”，本局决定对你（单位）从轻处罚如下：</w:t>
      </w:r>
      <w:r>
        <w:rPr>
          <w:rFonts w:hint="eastAsia" w:ascii="仿宋" w:hAnsi="仿宋" w:eastAsia="仿宋" w:cs="仿宋"/>
          <w:bCs/>
          <w:color w:val="000000"/>
          <w:sz w:val="32"/>
          <w:szCs w:val="32"/>
        </w:rPr>
        <w:t>处5000元罚款。</w:t>
      </w:r>
      <w:r>
        <w:rPr>
          <w:rFonts w:hint="eastAsia" w:ascii="仿宋" w:hAnsi="仿宋" w:eastAsia="仿宋" w:cs="仿宋"/>
          <w:color w:val="000000"/>
          <w:sz w:val="32"/>
          <w:szCs w:val="32"/>
        </w:rPr>
        <w:t xml:space="preserve"> </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请在接到本处罚决定书之日起15日内将罚没款缴到广州市非税收入缴款通知书上指定的银行。逾期不缴纳罚没款的，根据《中华人民共和国行政处罚法》第五十一条第一项的规定，每日按罚款数额的3%加处罚款，并将依法申请人民法院强制执行。</w:t>
      </w:r>
      <w:r>
        <w:rPr>
          <w:rFonts w:hint="eastAsia" w:ascii="仿宋" w:hAnsi="仿宋" w:eastAsia="仿宋" w:cs="仿宋"/>
          <w:b/>
          <w:color w:val="000000"/>
          <w:sz w:val="32"/>
          <w:szCs w:val="32"/>
        </w:rPr>
        <w:t xml:space="preserve">           </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w:t>
      </w:r>
    </w:p>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rFonts w:hint="eastAsia"/>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lang w:val="en-US" w:eastAsia="zh-CN"/>
        </w:rPr>
        <w:t xml:space="preserve">                          </w:t>
      </w:r>
      <w:r>
        <w:rPr>
          <w:rFonts w:hint="eastAsia" w:ascii="仿宋_GB2312" w:hAnsi="仿宋" w:eastAsia="仿宋_GB2312"/>
          <w:color w:val="000000"/>
          <w:sz w:val="20"/>
        </w:rPr>
        <w:t>（</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50</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  共3页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73025</wp:posOffset>
                </wp:positionH>
                <wp:positionV relativeFrom="paragraph">
                  <wp:posOffset>53340</wp:posOffset>
                </wp:positionV>
                <wp:extent cx="5615940" cy="635"/>
                <wp:effectExtent l="0" t="0" r="0" b="0"/>
                <wp:wrapNone/>
                <wp:docPr id="3" name="直线 11"/>
                <wp:cNvGraphicFramePr/>
                <a:graphic xmlns:a="http://schemas.openxmlformats.org/drawingml/2006/main">
                  <a:graphicData uri="http://schemas.microsoft.com/office/word/2010/wordprocessingShape">
                    <wps:wsp>
                      <wps:cNvSp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5.75pt;margin-top:4.2pt;height:0.05pt;width:442.2pt;z-index:251668480;mso-width-relative:page;mso-height-relative:page;" filled="f" stroked="t" coordsize="21600,21600" o:gfxdata="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l/+0bTAAAABgEAAA8AAAAAAAAAAQAgAAAAIgAAAGRycy9k&#10;b3ducmV2LnhtbFBLAQIUABQAAAAIAIdO4kAz5VXxzgEAAJEDAAAOAAAAAAAAAAEAIAAAACIBAABk&#10;cnMvZTJvRG9jLnhtbFBLBQYAAAAABgAGAFkBAABiBQAAAAA=&#10;">
                <v:fill on="f" focussize="0,0"/>
                <v:stroke weight="1.5pt" color="#000000" joinstyle="round"/>
                <v:imagedata o:title=""/>
                <o:lock v:ext="edit" aspectratio="f"/>
              </v:line>
            </w:pict>
          </mc:Fallback>
        </mc:AlternateConten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1号426室、32829072，也可以于6个月内依法向广州铁路运输第一法院提起行政诉讼。</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kern w:val="0"/>
          <w:sz w:val="32"/>
          <w:szCs w:val="32"/>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val="en-US" w:eastAsia="zh-CN"/>
        </w:rPr>
        <w:t xml:space="preserve">    </w:t>
      </w:r>
    </w:p>
    <w:p>
      <w:pPr>
        <w:keepNext w:val="0"/>
        <w:keepLines w:val="0"/>
        <w:pageBreakBefore w:val="0"/>
        <w:widowControl/>
        <w:kinsoku/>
        <w:wordWrap/>
        <w:overflowPunct/>
        <w:topLinePunct w:val="0"/>
        <w:bidi w:val="0"/>
        <w:adjustRightInd w:val="0"/>
        <w:snapToGrid w:val="0"/>
        <w:spacing w:line="440" w:lineRule="exact"/>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广州市增城区食品药品监督管理局</w:t>
      </w:r>
    </w:p>
    <w:p>
      <w:pPr>
        <w:keepNext w:val="0"/>
        <w:keepLines w:val="0"/>
        <w:pageBreakBefore w:val="0"/>
        <w:widowControl/>
        <w:kinsoku/>
        <w:wordWrap/>
        <w:overflowPunct/>
        <w:topLinePunct w:val="0"/>
        <w:bidi w:val="0"/>
        <w:adjustRightInd w:val="0"/>
        <w:snapToGrid w:val="0"/>
        <w:spacing w:line="440" w:lineRule="exact"/>
        <w:ind w:firstLine="8960" w:firstLineChars="2800"/>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2018年6月6日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A1627"/>
    <w:multiLevelType w:val="singleLevel"/>
    <w:tmpl w:val="6B5A162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D00"/>
    <w:rsid w:val="000348BF"/>
    <w:rsid w:val="00051C4E"/>
    <w:rsid w:val="00060A69"/>
    <w:rsid w:val="00070A16"/>
    <w:rsid w:val="000761B1"/>
    <w:rsid w:val="00091769"/>
    <w:rsid w:val="000A0226"/>
    <w:rsid w:val="000B213A"/>
    <w:rsid w:val="001724F1"/>
    <w:rsid w:val="00172A27"/>
    <w:rsid w:val="00186E6C"/>
    <w:rsid w:val="00190F95"/>
    <w:rsid w:val="001E16FA"/>
    <w:rsid w:val="001F54E8"/>
    <w:rsid w:val="00210CC1"/>
    <w:rsid w:val="00212A10"/>
    <w:rsid w:val="00214984"/>
    <w:rsid w:val="0022191D"/>
    <w:rsid w:val="002509EA"/>
    <w:rsid w:val="00250C5A"/>
    <w:rsid w:val="002613FC"/>
    <w:rsid w:val="0029493C"/>
    <w:rsid w:val="00294F73"/>
    <w:rsid w:val="002A19EA"/>
    <w:rsid w:val="002A3D72"/>
    <w:rsid w:val="002E0939"/>
    <w:rsid w:val="002E1853"/>
    <w:rsid w:val="00320D30"/>
    <w:rsid w:val="0033779E"/>
    <w:rsid w:val="00341E64"/>
    <w:rsid w:val="003424C4"/>
    <w:rsid w:val="00347BA8"/>
    <w:rsid w:val="00355A0D"/>
    <w:rsid w:val="003A57EE"/>
    <w:rsid w:val="003B6508"/>
    <w:rsid w:val="003C56D0"/>
    <w:rsid w:val="003C796A"/>
    <w:rsid w:val="003E3219"/>
    <w:rsid w:val="00406B2B"/>
    <w:rsid w:val="00417A77"/>
    <w:rsid w:val="00460792"/>
    <w:rsid w:val="0047064C"/>
    <w:rsid w:val="0048058E"/>
    <w:rsid w:val="004A02DE"/>
    <w:rsid w:val="005003F4"/>
    <w:rsid w:val="005132B7"/>
    <w:rsid w:val="00517A45"/>
    <w:rsid w:val="00542650"/>
    <w:rsid w:val="00590AA2"/>
    <w:rsid w:val="005C74CA"/>
    <w:rsid w:val="005F3093"/>
    <w:rsid w:val="005F412D"/>
    <w:rsid w:val="005F6961"/>
    <w:rsid w:val="00620B38"/>
    <w:rsid w:val="00630D1B"/>
    <w:rsid w:val="00645D72"/>
    <w:rsid w:val="00685CAC"/>
    <w:rsid w:val="006979E6"/>
    <w:rsid w:val="006B78CB"/>
    <w:rsid w:val="006D2383"/>
    <w:rsid w:val="006D4FCF"/>
    <w:rsid w:val="007237C0"/>
    <w:rsid w:val="0074054B"/>
    <w:rsid w:val="007502F7"/>
    <w:rsid w:val="00766C4C"/>
    <w:rsid w:val="00801522"/>
    <w:rsid w:val="0089247D"/>
    <w:rsid w:val="008A3EE7"/>
    <w:rsid w:val="00901AFA"/>
    <w:rsid w:val="00915A2F"/>
    <w:rsid w:val="00966A89"/>
    <w:rsid w:val="00991A38"/>
    <w:rsid w:val="009C2121"/>
    <w:rsid w:val="009D67D6"/>
    <w:rsid w:val="00A04BFA"/>
    <w:rsid w:val="00A47DB0"/>
    <w:rsid w:val="00AA1B06"/>
    <w:rsid w:val="00B05171"/>
    <w:rsid w:val="00B13FCC"/>
    <w:rsid w:val="00B16AB9"/>
    <w:rsid w:val="00B177AC"/>
    <w:rsid w:val="00B25CB0"/>
    <w:rsid w:val="00B56037"/>
    <w:rsid w:val="00B57C34"/>
    <w:rsid w:val="00B7799A"/>
    <w:rsid w:val="00B8083B"/>
    <w:rsid w:val="00B94ABC"/>
    <w:rsid w:val="00B97D3B"/>
    <w:rsid w:val="00BD7D03"/>
    <w:rsid w:val="00BF181D"/>
    <w:rsid w:val="00C23B73"/>
    <w:rsid w:val="00C23FBA"/>
    <w:rsid w:val="00C31414"/>
    <w:rsid w:val="00C50B19"/>
    <w:rsid w:val="00CC7A9F"/>
    <w:rsid w:val="00CF6EFF"/>
    <w:rsid w:val="00D16E3A"/>
    <w:rsid w:val="00D34A26"/>
    <w:rsid w:val="00D62BFD"/>
    <w:rsid w:val="00E11A4D"/>
    <w:rsid w:val="00E31500"/>
    <w:rsid w:val="00E851DF"/>
    <w:rsid w:val="00EE02C1"/>
    <w:rsid w:val="00F01416"/>
    <w:rsid w:val="00F20057"/>
    <w:rsid w:val="00F2659A"/>
    <w:rsid w:val="00F47E15"/>
    <w:rsid w:val="00F51FDC"/>
    <w:rsid w:val="00F81037"/>
    <w:rsid w:val="00FA5DA7"/>
    <w:rsid w:val="00FB2D28"/>
    <w:rsid w:val="00FC1960"/>
    <w:rsid w:val="00FD19A6"/>
    <w:rsid w:val="00FD670C"/>
    <w:rsid w:val="00FF5F12"/>
    <w:rsid w:val="167877AB"/>
    <w:rsid w:val="1B0149C7"/>
    <w:rsid w:val="42565231"/>
    <w:rsid w:val="489D7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p17"/>
    <w:basedOn w:val="1"/>
    <w:qFormat/>
    <w:uiPriority w:val="0"/>
    <w:pPr>
      <w:widowControl/>
      <w:spacing w:before="100" w:after="100"/>
      <w:jc w:val="left"/>
    </w:pPr>
    <w:rPr>
      <w:rFonts w:ascii="宋体" w:hAnsi="宋体" w:cs="宋体"/>
      <w:kern w:val="0"/>
      <w:sz w:val="24"/>
      <w:szCs w:val="24"/>
    </w:rPr>
  </w:style>
  <w:style w:type="character" w:customStyle="1" w:styleId="8">
    <w:name w:val="页眉 Char"/>
    <w:basedOn w:val="5"/>
    <w:link w:val="4"/>
    <w:semiHidden/>
    <w:qFormat/>
    <w:uiPriority w:val="99"/>
    <w:rPr>
      <w:kern w:val="2"/>
      <w:sz w:val="18"/>
      <w:szCs w:val="18"/>
    </w:rPr>
  </w:style>
  <w:style w:type="character" w:customStyle="1" w:styleId="9">
    <w:name w:val="页脚 Char"/>
    <w:basedOn w:val="5"/>
    <w:link w:val="3"/>
    <w:qFormat/>
    <w:uiPriority w:val="99"/>
    <w:rPr>
      <w:kern w:val="2"/>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246</Words>
  <Characters>1404</Characters>
  <Lines>11</Lines>
  <Paragraphs>3</Paragraphs>
  <TotalTime>2</TotalTime>
  <ScaleCrop>false</ScaleCrop>
  <LinksUpToDate>false</LinksUpToDate>
  <CharactersWithSpaces>1647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 Right now</cp:lastModifiedBy>
  <cp:lastPrinted>2018-06-06T01:57:00Z</cp:lastPrinted>
  <dcterms:modified xsi:type="dcterms:W3CDTF">2018-07-20T03:16:13Z</dcterms:modified>
  <dc:title>食品药品行政处罚文书</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