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keepNext w:val="0"/>
        <w:keepLines w:val="0"/>
        <w:pageBreakBefore w:val="0"/>
        <w:kinsoku/>
        <w:wordWrap/>
        <w:overflowPunct/>
        <w:topLinePunct w:val="0"/>
        <w:bidi w:val="0"/>
        <w:adjustRightInd w:val="0"/>
        <w:snapToGrid w:val="0"/>
        <w:spacing w:before="0" w:after="0" w:line="312" w:lineRule="auto"/>
        <w:jc w:val="center"/>
        <w:textAlignment w:val="auto"/>
        <w:outlineLvl w:val="9"/>
        <w:rPr>
          <w:rFonts w:ascii="黑体" w:hAnsi="黑体" w:eastAsia="黑体"/>
          <w:b/>
          <w:color w:val="000000"/>
          <w:sz w:val="32"/>
        </w:rPr>
      </w:pPr>
      <w:r>
        <w:rPr>
          <w:rFonts w:hint="eastAsia" w:ascii="黑体" w:hAnsi="黑体" w:eastAsia="黑体"/>
          <w:b/>
          <w:color w:val="000000"/>
          <w:sz w:val="32"/>
        </w:rPr>
        <w:t>食品药品行政处罚文书</w:t>
      </w:r>
    </w:p>
    <w:p>
      <w:pPr>
        <w:keepNext w:val="0"/>
        <w:keepLines w:val="0"/>
        <w:pageBreakBefore w:val="0"/>
        <w:kinsoku/>
        <w:wordWrap/>
        <w:overflowPunct/>
        <w:topLinePunct w:val="0"/>
        <w:autoSpaceDE w:val="0"/>
        <w:autoSpaceDN w:val="0"/>
        <w:bidi w:val="0"/>
        <w:adjustRightInd w:val="0"/>
        <w:snapToGrid w:val="0"/>
        <w:spacing w:line="312" w:lineRule="auto"/>
        <w:jc w:val="center"/>
        <w:textAlignment w:val="auto"/>
        <w:outlineLvl w:val="9"/>
        <w:rPr>
          <w:b/>
          <w:color w:val="000000"/>
          <w:kern w:val="0"/>
          <w:sz w:val="44"/>
        </w:rPr>
      </w:pPr>
      <w:r>
        <w:rPr>
          <w:rFonts w:hint="eastAsia"/>
          <w:b/>
          <w:color w:val="000000"/>
          <w:kern w:val="0"/>
          <w:sz w:val="44"/>
        </w:rPr>
        <w:t>行政处罚决定书</w:t>
      </w:r>
    </w:p>
    <w:p>
      <w:pPr>
        <w:keepNext w:val="0"/>
        <w:keepLines w:val="0"/>
        <w:pageBreakBefore w:val="0"/>
        <w:kinsoku/>
        <w:wordWrap/>
        <w:overflowPunct/>
        <w:topLinePunct w:val="0"/>
        <w:autoSpaceDE w:val="0"/>
        <w:autoSpaceDN w:val="0"/>
        <w:bidi w:val="0"/>
        <w:adjustRightInd w:val="0"/>
        <w:snapToGrid w:val="0"/>
        <w:spacing w:line="312" w:lineRule="auto"/>
        <w:ind w:right="400"/>
        <w:jc w:val="right"/>
        <w:textAlignment w:val="auto"/>
        <w:outlineLvl w:val="9"/>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sz w:val="20"/>
          <w:lang w:val="en-US" w:eastAsia="zh-CN"/>
        </w:rPr>
        <w:t xml:space="preserve"> </w:t>
      </w:r>
      <w:r>
        <w:rPr>
          <w:rFonts w:hint="eastAsia" w:ascii="仿宋_GB2312" w:hAnsi="仿宋" w:eastAsia="仿宋_GB2312"/>
          <w:color w:val="000000"/>
          <w:sz w:val="20"/>
        </w:rPr>
        <w:t>（</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lang w:val="en-US" w:eastAsia="zh-CN"/>
        </w:rPr>
        <w:t>23</w:t>
      </w:r>
      <w:r>
        <w:rPr>
          <w:rFonts w:hint="eastAsia" w:ascii="仿宋_GB2312" w:hAnsi="仿宋" w:eastAsia="仿宋_GB2312"/>
          <w:color w:val="000000"/>
          <w:kern w:val="0"/>
          <w:sz w:val="20"/>
        </w:rPr>
        <w:t>号  第1页 共</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w:t>
      </w:r>
    </w:p>
    <w:p>
      <w:pPr>
        <w:rPr>
          <w:rFonts w:hint="eastAsia" w:ascii="仿宋_GB2312" w:hAnsi="仿宋_GB2312" w:eastAsia="仿宋_GB2312" w:cs="仿宋_GB2312"/>
          <w:color w:val="000000"/>
          <w:kern w:val="0"/>
          <w:szCs w:val="21"/>
        </w:rPr>
      </w:pPr>
      <w:r>
        <w:rPr>
          <w:rFonts w:ascii="仿宋_GB2312" w:hAnsi="仿宋" w:eastAsia="仿宋_GB2312"/>
          <w:color w:val="000000"/>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49530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65pt;margin-top:3.9pt;height:0.05pt;width:442.2pt;z-index:251663360;mso-width-relative:page;mso-height-relative:page;" filled="f" stroked="t" coordsize="21600,21600" o:gfxdata="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GXb5LUAAAABgEAAA8AAAAAAAAAAQAgAAAAIgAAAGRycy9kb3ducmV2LnhtbFBL&#10;AQIUABQAAAAIAIdO4kCRNUhLwQEAAI4DAAAOAAAAAAAAAAEAIAAAACMBAABkcnMvZTJvRG9jLnht&#10;bFBLBQYAAAAABgAGAFkBAABWBQAAAAA=&#10;">
                <v:fill on="f" focussize="0,0"/>
                <v:stroke weight="1.5pt" color="#000000"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 w:eastAsia="仿宋_GB2312"/>
          <w:bCs/>
          <w:color w:val="000000"/>
          <w:sz w:val="32"/>
          <w:szCs w:val="32"/>
        </w:rPr>
      </w:pPr>
      <w:r>
        <w:rPr>
          <w:rFonts w:hint="eastAsia" w:ascii="仿宋_GB2312" w:hAnsi="仿宋_GB2312" w:eastAsia="仿宋_GB2312" w:cs="仿宋_GB2312"/>
          <w:color w:val="000000"/>
          <w:kern w:val="0"/>
          <w:sz w:val="32"/>
          <w:szCs w:val="32"/>
        </w:rPr>
        <w:t>当事人：黎</w:t>
      </w:r>
      <w:r>
        <w:rPr>
          <w:rFonts w:hint="eastAsia" w:ascii="仿宋_GB2312" w:hAnsi="仿宋_GB2312" w:eastAsia="仿宋_GB2312" w:cs="仿宋_GB2312"/>
          <w:color w:val="000000"/>
          <w:kern w:val="0"/>
          <w:sz w:val="32"/>
          <w:szCs w:val="32"/>
          <w:lang w:eastAsia="zh-CN"/>
        </w:rPr>
        <w:t>祖建（广州市增城黎祖建烧腊档）</w: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 w:eastAsia="仿宋_GB2312"/>
          <w:bCs/>
          <w:color w:val="000000"/>
          <w:sz w:val="32"/>
          <w:szCs w:val="32"/>
        </w:rPr>
      </w:pPr>
      <w:r>
        <w:rPr>
          <w:rFonts w:hint="eastAsia" w:ascii="仿宋_GB2312" w:hAnsi="仿宋" w:eastAsia="仿宋_GB2312" w:cs="仿宋"/>
          <w:color w:val="000000"/>
          <w:kern w:val="0"/>
          <w:sz w:val="32"/>
          <w:szCs w:val="32"/>
        </w:rPr>
        <w:t>地址（住址）：</w:t>
      </w:r>
      <w:r>
        <w:rPr>
          <w:rFonts w:hint="eastAsia" w:ascii="仿宋_GB2312" w:hAnsi="仿宋" w:eastAsia="仿宋_GB2312" w:cs="仿宋"/>
          <w:color w:val="000000"/>
          <w:kern w:val="0"/>
          <w:sz w:val="32"/>
          <w:szCs w:val="32"/>
          <w:lang w:val="en-US" w:eastAsia="zh-CN"/>
        </w:rPr>
        <w:t>**********</w:t>
      </w:r>
      <w:r>
        <w:rPr>
          <w:rFonts w:hint="eastAsia" w:ascii="仿宋_GB2312" w:hAnsi="仿宋" w:eastAsia="仿宋_GB2312"/>
          <w:bCs/>
          <w:color w:val="000000"/>
          <w:sz w:val="32"/>
          <w:szCs w:val="32"/>
        </w:rPr>
        <w:t xml:space="preserve">      </w: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邮编：511300</w: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其他资质证明：</w:t>
      </w:r>
      <w:r>
        <w:rPr>
          <w:rFonts w:hint="eastAsia" w:ascii="仿宋_GB2312" w:hAnsi="仿宋" w:eastAsia="仿宋_GB2312" w:cs="仿宋"/>
          <w:color w:val="000000"/>
          <w:kern w:val="0"/>
          <w:sz w:val="32"/>
          <w:szCs w:val="32"/>
          <w:lang w:eastAsia="zh-CN"/>
        </w:rPr>
        <w:t>《营业执照》</w:t>
      </w:r>
      <w:r>
        <w:rPr>
          <w:rFonts w:hint="eastAsia" w:ascii="仿宋_GB2312" w:hAnsi="仿宋" w:eastAsia="仿宋_GB2312" w:cs="仿宋"/>
          <w:color w:val="000000"/>
          <w:kern w:val="0"/>
          <w:sz w:val="32"/>
          <w:szCs w:val="32"/>
        </w:rPr>
        <w:t xml:space="preserve">          </w: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统一社会信用代码</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92440101MA59TPF578</w: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法定代表人（负责人）：</w:t>
      </w:r>
      <w:r>
        <w:rPr>
          <w:rFonts w:hint="eastAsia" w:ascii="仿宋_GB2312" w:hAnsi="仿宋_GB2312" w:eastAsia="仿宋_GB2312" w:cs="仿宋_GB2312"/>
          <w:color w:val="000000"/>
          <w:kern w:val="0"/>
          <w:sz w:val="32"/>
          <w:szCs w:val="32"/>
          <w:lang w:eastAsia="zh-CN"/>
        </w:rPr>
        <w:t>黎祖建</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性别：</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kern w:val="0"/>
          <w:sz w:val="32"/>
          <w:szCs w:val="32"/>
        </w:rPr>
        <w:t>职务：</w:t>
      </w:r>
      <w:r>
        <w:rPr>
          <w:rFonts w:hint="eastAsia" w:ascii="仿宋_GB2312" w:hAnsi="仿宋_GB2312" w:eastAsia="仿宋_GB2312" w:cs="仿宋_GB2312"/>
          <w:color w:val="000000"/>
          <w:kern w:val="0"/>
          <w:sz w:val="32"/>
          <w:szCs w:val="32"/>
          <w:lang w:eastAsia="zh-CN"/>
        </w:rPr>
        <w:t>负责人</w:t>
      </w:r>
    </w:p>
    <w:p>
      <w:pPr>
        <w:keepNext w:val="0"/>
        <w:keepLines w:val="0"/>
        <w:pageBreakBefore w:val="0"/>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rPr>
        <w:t>身份证号码：</w:t>
      </w:r>
      <w:bookmarkStart w:id="0" w:name="_GoBack"/>
      <w:r>
        <w:rPr>
          <w:rFonts w:hint="eastAsia" w:ascii="仿宋_GB2312" w:hAnsi="仿宋_GB2312" w:eastAsia="仿宋_GB2312" w:cs="仿宋_GB2312"/>
          <w:color w:val="000000"/>
          <w:sz w:val="32"/>
          <w:szCs w:val="32"/>
          <w:lang w:val="en-US" w:eastAsia="zh-CN"/>
        </w:rPr>
        <w:t>******</w:t>
      </w:r>
    </w:p>
    <w:bookmarkEnd w:id="0"/>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firstLine="640" w:firstLineChars="200"/>
        <w:textAlignment w:val="auto"/>
        <w:outlineLvl w:val="9"/>
        <w:rPr>
          <w:rFonts w:ascii="仿宋_GB2312" w:hAnsi="Arial" w:eastAsia="仿宋_GB2312" w:cs="Arial"/>
          <w:color w:val="000000"/>
          <w:sz w:val="32"/>
          <w:szCs w:val="32"/>
        </w:rPr>
      </w:pPr>
      <w:r>
        <w:rPr>
          <w:rFonts w:hint="eastAsia" w:ascii="仿宋_GB2312" w:hAnsi="Arial" w:eastAsia="仿宋_GB2312" w:cs="Arial"/>
          <w:color w:val="000000"/>
          <w:sz w:val="32"/>
          <w:szCs w:val="32"/>
        </w:rPr>
        <w:t>2018年3月9日，广州市食品药品监督管理局委托国家加工食品质量检验中心（广东）对位于广州市增城市新塘镇新星市场烧腊档2号 的黎祖建（广州市增城黎祖建烧腊档）销售的“烧肉”进行抽检。2018年3月26日，我局收到国家加工食品质量检验中心（广东）出具的“烧肉”样品检验报告（No 食监2018-03-0713）。检验报告显示，</w:t>
      </w:r>
      <w:r>
        <w:rPr>
          <w:rFonts w:hint="eastAsia" w:ascii="仿宋_GB2312" w:hAnsi="Arial" w:eastAsia="仿宋_GB2312" w:cs="Arial"/>
          <w:color w:val="000000"/>
          <w:sz w:val="32"/>
          <w:szCs w:val="32"/>
          <w:lang w:eastAsia="zh-CN"/>
        </w:rPr>
        <w:t>你</w:t>
      </w:r>
      <w:r>
        <w:rPr>
          <w:rFonts w:hint="eastAsia" w:ascii="仿宋_GB2312" w:hAnsi="Arial" w:eastAsia="仿宋_GB2312" w:cs="Arial"/>
          <w:color w:val="000000"/>
          <w:sz w:val="32"/>
          <w:szCs w:val="32"/>
        </w:rPr>
        <w:t>单位销售的“烧肉”的菌落总数项目不符合DBS444/006-2016标准（第二类）要求，检验结论为不合格；2018年3月28日，我局执法人员将上述检验报告送达</w:t>
      </w:r>
      <w:r>
        <w:rPr>
          <w:rFonts w:hint="eastAsia" w:ascii="仿宋_GB2312" w:hAnsi="Arial" w:eastAsia="仿宋_GB2312" w:cs="Arial"/>
          <w:color w:val="000000"/>
          <w:sz w:val="32"/>
          <w:szCs w:val="32"/>
          <w:lang w:eastAsia="zh-CN"/>
        </w:rPr>
        <w:t>给你单位</w:t>
      </w:r>
      <w:r>
        <w:rPr>
          <w:rFonts w:hint="eastAsia" w:ascii="仿宋_GB2312" w:hAnsi="Arial" w:eastAsia="仿宋_GB2312" w:cs="Arial"/>
          <w:color w:val="000000"/>
          <w:sz w:val="32"/>
          <w:szCs w:val="32"/>
        </w:rPr>
        <w:t>，</w:t>
      </w:r>
      <w:r>
        <w:rPr>
          <w:rFonts w:hint="eastAsia" w:ascii="仿宋_GB2312" w:hAnsi="Arial" w:eastAsia="仿宋_GB2312" w:cs="Arial"/>
          <w:color w:val="000000"/>
          <w:sz w:val="32"/>
          <w:szCs w:val="32"/>
          <w:lang w:eastAsia="zh-CN"/>
        </w:rPr>
        <w:t>你单位</w:t>
      </w:r>
      <w:r>
        <w:rPr>
          <w:rFonts w:hint="eastAsia" w:ascii="仿宋_GB2312" w:hAnsi="Arial" w:eastAsia="仿宋_GB2312" w:cs="Arial"/>
          <w:color w:val="000000"/>
          <w:sz w:val="32"/>
          <w:szCs w:val="32"/>
        </w:rPr>
        <w:t>对检验结果无异议。我局执法人员对</w:t>
      </w:r>
      <w:r>
        <w:rPr>
          <w:rFonts w:hint="eastAsia" w:ascii="仿宋_GB2312" w:hAnsi="Arial" w:eastAsia="仿宋_GB2312" w:cs="Arial"/>
          <w:color w:val="000000"/>
          <w:sz w:val="32"/>
          <w:szCs w:val="32"/>
          <w:lang w:eastAsia="zh-CN"/>
        </w:rPr>
        <w:t>你单位烧腊档现场</w:t>
      </w:r>
      <w:r>
        <w:rPr>
          <w:rFonts w:hint="eastAsia" w:ascii="仿宋_GB2312" w:hAnsi="Arial" w:eastAsia="仿宋_GB2312" w:cs="Arial"/>
          <w:color w:val="000000"/>
          <w:sz w:val="32"/>
          <w:szCs w:val="32"/>
        </w:rPr>
        <w:t>进行了检查，已无该批次“烧肉”产品，</w:t>
      </w:r>
      <w:r>
        <w:rPr>
          <w:rFonts w:hint="eastAsia" w:ascii="仿宋_GB2312" w:hAnsi="Arial" w:eastAsia="仿宋_GB2312" w:cs="Arial"/>
          <w:color w:val="000000"/>
          <w:sz w:val="32"/>
          <w:szCs w:val="32"/>
          <w:lang w:eastAsia="zh-CN"/>
        </w:rPr>
        <w:t>你单位</w:t>
      </w:r>
      <w:r>
        <w:rPr>
          <w:rFonts w:hint="eastAsia" w:ascii="仿宋_GB2312" w:hAnsi="Arial" w:eastAsia="仿宋_GB2312" w:cs="Arial"/>
          <w:color w:val="000000"/>
          <w:sz w:val="32"/>
          <w:szCs w:val="32"/>
        </w:rPr>
        <w:t>确认当日所购进“烧肉”已全部作为抽样检验样品售完。</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firstLine="640" w:firstLineChars="200"/>
        <w:textAlignment w:val="auto"/>
        <w:outlineLvl w:val="9"/>
        <w:rPr>
          <w:rFonts w:hint="eastAsia" w:ascii="仿宋_GB2312" w:hAnsi="Arial" w:eastAsia="仿宋_GB2312" w:cs="Arial"/>
          <w:color w:val="000000"/>
          <w:sz w:val="32"/>
          <w:szCs w:val="32"/>
          <w:lang w:eastAsia="zh-CN"/>
        </w:rPr>
      </w:pPr>
      <w:r>
        <w:rPr>
          <w:rFonts w:hint="eastAsia" w:ascii="仿宋_GB2312" w:hAnsi="Arial" w:eastAsia="仿宋_GB2312" w:cs="Arial"/>
          <w:color w:val="000000"/>
          <w:sz w:val="32"/>
          <w:szCs w:val="32"/>
          <w:lang w:eastAsia="zh-CN"/>
        </w:rPr>
        <w:t>你单位</w:t>
      </w:r>
      <w:r>
        <w:rPr>
          <w:rFonts w:hint="eastAsia" w:ascii="仿宋_GB2312" w:hAnsi="Arial" w:eastAsia="仿宋_GB2312" w:cs="Arial"/>
          <w:color w:val="000000"/>
          <w:sz w:val="32"/>
          <w:szCs w:val="32"/>
        </w:rPr>
        <w:t>销售不符合</w:t>
      </w:r>
      <w:r>
        <w:rPr>
          <w:rFonts w:hint="eastAsia" w:ascii="仿宋_GB2312" w:hAnsi="Arial" w:eastAsia="仿宋_GB2312" w:cs="Arial"/>
          <w:color w:val="000000"/>
          <w:sz w:val="32"/>
          <w:szCs w:val="32"/>
          <w:lang w:eastAsia="zh-CN"/>
        </w:rPr>
        <w:t>广东省</w:t>
      </w:r>
      <w:r>
        <w:rPr>
          <w:rFonts w:hint="eastAsia" w:ascii="仿宋_GB2312" w:hAnsi="Arial" w:eastAsia="仿宋_GB2312" w:cs="Arial"/>
          <w:color w:val="000000"/>
          <w:sz w:val="32"/>
          <w:szCs w:val="32"/>
        </w:rPr>
        <w:t>食品安全</w:t>
      </w:r>
      <w:r>
        <w:rPr>
          <w:rFonts w:hint="eastAsia" w:ascii="仿宋_GB2312" w:hAnsi="Arial" w:eastAsia="仿宋_GB2312" w:cs="Arial"/>
          <w:color w:val="000000"/>
          <w:sz w:val="32"/>
          <w:szCs w:val="32"/>
          <w:lang w:eastAsia="zh-CN"/>
        </w:rPr>
        <w:t>地方</w:t>
      </w:r>
      <w:r>
        <w:rPr>
          <w:rFonts w:hint="eastAsia" w:ascii="仿宋_GB2312" w:hAnsi="Arial" w:eastAsia="仿宋_GB2312" w:cs="Arial"/>
          <w:color w:val="000000"/>
          <w:sz w:val="32"/>
          <w:szCs w:val="32"/>
        </w:rPr>
        <w:t>标准的食品的行为涉嫌违反了《广东省查处生产销售假冒伪劣商品违法行为条例》第八条第二款</w:t>
      </w:r>
      <w:r>
        <w:rPr>
          <w:rFonts w:hint="eastAsia" w:ascii="仿宋_GB2312" w:hAnsi="Arial" w:eastAsia="仿宋_GB2312" w:cs="Arial"/>
          <w:color w:val="000000"/>
          <w:sz w:val="32"/>
          <w:szCs w:val="32"/>
          <w:lang w:eastAsia="zh-CN"/>
        </w:rPr>
        <w:t>“禁止生产、销售假冒伪劣商品；禁</w:t>
      </w:r>
    </w:p>
    <w:p>
      <w:pPr>
        <w:pStyle w:val="7"/>
        <w:keepNext w:val="0"/>
        <w:keepLines w:val="0"/>
        <w:pageBreakBefore w:val="0"/>
        <w:kinsoku/>
        <w:wordWrap/>
        <w:overflowPunct/>
        <w:topLinePunct w:val="0"/>
        <w:bidi w:val="0"/>
        <w:adjustRightInd w:val="0"/>
        <w:snapToGrid w:val="0"/>
        <w:spacing w:before="0" w:after="0" w:line="312" w:lineRule="auto"/>
        <w:jc w:val="center"/>
        <w:textAlignment w:val="auto"/>
        <w:outlineLvl w:val="9"/>
        <w:rPr>
          <w:rFonts w:ascii="黑体" w:hAnsi="黑体" w:eastAsia="黑体"/>
          <w:b/>
          <w:color w:val="000000"/>
          <w:sz w:val="32"/>
        </w:rPr>
      </w:pPr>
      <w:r>
        <w:rPr>
          <w:rFonts w:hint="eastAsia" w:ascii="黑体" w:hAnsi="黑体" w:eastAsia="黑体"/>
          <w:b/>
          <w:color w:val="000000"/>
          <w:sz w:val="32"/>
        </w:rPr>
        <w:t>食品药品行政处罚文书</w:t>
      </w:r>
    </w:p>
    <w:p>
      <w:pPr>
        <w:keepNext w:val="0"/>
        <w:keepLines w:val="0"/>
        <w:pageBreakBefore w:val="0"/>
        <w:kinsoku/>
        <w:wordWrap/>
        <w:overflowPunct/>
        <w:topLinePunct w:val="0"/>
        <w:autoSpaceDE w:val="0"/>
        <w:autoSpaceDN w:val="0"/>
        <w:bidi w:val="0"/>
        <w:adjustRightInd w:val="0"/>
        <w:snapToGrid w:val="0"/>
        <w:spacing w:line="312" w:lineRule="auto"/>
        <w:jc w:val="center"/>
        <w:textAlignment w:val="auto"/>
        <w:outlineLvl w:val="9"/>
        <w:rPr>
          <w:b/>
          <w:color w:val="000000"/>
          <w:kern w:val="0"/>
          <w:sz w:val="44"/>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keepNext w:val="0"/>
        <w:keepLines w:val="0"/>
        <w:pageBreakBefore w:val="0"/>
        <w:kinsoku/>
        <w:wordWrap/>
        <w:overflowPunct/>
        <w:topLinePunct w:val="0"/>
        <w:autoSpaceDE w:val="0"/>
        <w:autoSpaceDN w:val="0"/>
        <w:bidi w:val="0"/>
        <w:adjustRightInd w:val="0"/>
        <w:snapToGrid w:val="0"/>
        <w:spacing w:line="312" w:lineRule="auto"/>
        <w:ind w:right="400"/>
        <w:jc w:val="right"/>
        <w:textAlignment w:val="auto"/>
        <w:outlineLvl w:val="9"/>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lang w:val="en-US" w:eastAsia="zh-CN"/>
        </w:rPr>
        <w:t>23</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2</w:t>
      </w:r>
      <w:r>
        <w:rPr>
          <w:rFonts w:hint="eastAsia" w:ascii="仿宋_GB2312" w:hAnsi="仿宋" w:eastAsia="仿宋_GB2312"/>
          <w:color w:val="000000"/>
          <w:kern w:val="0"/>
          <w:sz w:val="20"/>
        </w:rPr>
        <w:t>页  共</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w:t>
      </w:r>
    </w:p>
    <w:p>
      <w:pPr>
        <w:rPr>
          <w:rFonts w:hint="eastAsia" w:ascii="仿宋_GB2312" w:hAnsi="Arial" w:eastAsia="仿宋_GB2312" w:cs="Arial"/>
          <w:color w:val="000000"/>
          <w:szCs w:val="21"/>
          <w:lang w:eastAsia="zh-CN"/>
        </w:rPr>
      </w:pPr>
      <w:r>
        <w:rPr>
          <w:rFonts w:ascii="仿宋_GB2312" w:hAnsi="仿宋" w:eastAsia="仿宋_GB2312"/>
          <w:color w:val="000000"/>
        </w:rPr>
        <mc:AlternateContent>
          <mc:Choice Requires="wps">
            <w:drawing>
              <wp:anchor distT="0" distB="0" distL="114300" distR="114300" simplePos="0" relativeHeight="251694080" behindDoc="0" locked="0" layoutInCell="1" allowOverlap="1">
                <wp:simplePos x="0" y="0"/>
                <wp:positionH relativeFrom="column">
                  <wp:posOffset>7620</wp:posOffset>
                </wp:positionH>
                <wp:positionV relativeFrom="paragraph">
                  <wp:posOffset>106680</wp:posOffset>
                </wp:positionV>
                <wp:extent cx="5615940" cy="635"/>
                <wp:effectExtent l="0" t="0" r="0" b="0"/>
                <wp:wrapNone/>
                <wp:docPr id="3"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6pt;margin-top:8.4pt;height:0.05pt;width:442.2pt;z-index:251694080;mso-width-relative:page;mso-height-relative:page;" filled="f" stroked="t" coordsize="21600,21600" o:gfxdata="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Iwt1AAAAAcBAAAPAAAAAAAAAAEAIAAAACIAAABkcnMvZG93bnJldi54bWxQ&#10;SwECFAAUAAAACACHTuJA3mUODMIBAACOAwAADgAAAAAAAAABACAAAAAjAQAAZHJzL2Uyb0RvYy54&#10;bWxQSwUGAAAAAAYABgBZAQAAVwUAAAAA&#10;">
                <v:fill on="f" focussize="0,0"/>
                <v:stroke weight="1.5pt" color="#000000" joinstyle="round"/>
                <v:imagedata o:title=""/>
                <o:lock v:ext="edit" aspectratio="f"/>
              </v:line>
            </w:pict>
          </mc:Fallback>
        </mc:AlternateConten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right="0" w:rightChars="0"/>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lang w:eastAsia="zh-CN"/>
        </w:rPr>
        <w:t>止为生产、销售假冒伪劣商品提供服务。”的规定。</w:t>
      </w:r>
    </w:p>
    <w:p>
      <w:pPr>
        <w:keepNext w:val="0"/>
        <w:keepLines w:val="0"/>
        <w:pageBreakBefore w:val="0"/>
        <w:widowControl/>
        <w:kinsoku/>
        <w:wordWrap/>
        <w:overflowPunct/>
        <w:topLinePunct w:val="0"/>
        <w:autoSpaceDE/>
        <w:autoSpaceDN/>
        <w:bidi w:val="0"/>
        <w:adjustRightInd w:val="0"/>
        <w:snapToGrid w:val="0"/>
        <w:spacing w:line="520" w:lineRule="exact"/>
        <w:ind w:left="0" w:leftChars="0" w:right="0" w:rightChars="0"/>
        <w:textAlignment w:val="auto"/>
        <w:outlineLvl w:val="9"/>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firstLine="640" w:firstLineChars="200"/>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证据材料：1.广州市增城黎祖建烧腊档《营业执照》、食品经营许可证受理回执和负责人黎祖建身份证复印件各1份； 2.食品抽样告知书、抽样单复印件各1份；3.检验报告（No:食监2018-03-0713）、检验结果确认回执各一份；4. 现场检查笔录1份、现场照片2张、询问调查笔录1份。</w:t>
      </w:r>
    </w:p>
    <w:p>
      <w:pPr>
        <w:keepNext w:val="0"/>
        <w:keepLines w:val="0"/>
        <w:pageBreakBefore w:val="0"/>
        <w:widowControl/>
        <w:kinsoku/>
        <w:wordWrap/>
        <w:overflowPunct/>
        <w:topLinePunct w:val="0"/>
        <w:autoSpaceDE/>
        <w:autoSpaceDN/>
        <w:bidi w:val="0"/>
        <w:adjustRightInd w:val="0"/>
        <w:snapToGrid w:val="0"/>
        <w:spacing w:line="520" w:lineRule="exact"/>
        <w:ind w:left="0" w:leftChars="0" w:right="0" w:rightChars="0"/>
        <w:jc w:val="left"/>
        <w:textAlignment w:val="auto"/>
        <w:outlineLvl w:val="9"/>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firstLine="640" w:firstLineChars="200"/>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对于你单位销售</w:t>
      </w:r>
      <w:r>
        <w:rPr>
          <w:rFonts w:hint="eastAsia" w:ascii="仿宋_GB2312" w:hAnsi="Arial" w:eastAsia="仿宋_GB2312" w:cs="Arial"/>
          <w:color w:val="000000"/>
          <w:sz w:val="32"/>
          <w:szCs w:val="32"/>
          <w:lang w:eastAsia="zh-CN"/>
        </w:rPr>
        <w:t>不符合广东省食品安全地方标准</w:t>
      </w:r>
      <w:r>
        <w:rPr>
          <w:rFonts w:hint="eastAsia" w:ascii="仿宋_GB2312" w:hAnsi="Arial" w:eastAsia="仿宋_GB2312" w:cs="Arial"/>
          <w:color w:val="000000"/>
          <w:sz w:val="32"/>
          <w:szCs w:val="32"/>
        </w:rPr>
        <w:t>的食品的行为，</w:t>
      </w:r>
      <w:r>
        <w:rPr>
          <w:rFonts w:hint="eastAsia" w:ascii="仿宋_GB2312" w:hAnsi="Arial" w:eastAsia="仿宋_GB2312" w:cs="Arial"/>
          <w:color w:val="000000"/>
          <w:sz w:val="32"/>
          <w:szCs w:val="32"/>
          <w:lang w:eastAsia="zh-CN"/>
        </w:rPr>
        <w:t>依据</w:t>
      </w:r>
      <w:r>
        <w:rPr>
          <w:rFonts w:hint="eastAsia" w:ascii="仿宋_GB2312" w:hAnsi="Arial" w:eastAsia="仿宋_GB2312" w:cs="Arial"/>
          <w:color w:val="000000"/>
          <w:sz w:val="32"/>
          <w:szCs w:val="32"/>
        </w:rPr>
        <w:t>《广东省查处生产销售假冒伪劣商品违法行为条例》</w:t>
      </w:r>
      <w:r>
        <w:rPr>
          <w:rFonts w:hint="eastAsia" w:ascii="仿宋_GB2312" w:hAnsi="Arial" w:eastAsia="仿宋_GB2312" w:cs="Arial"/>
          <w:color w:val="000000"/>
          <w:sz w:val="32"/>
          <w:szCs w:val="32"/>
          <w:lang w:eastAsia="zh-CN"/>
        </w:rPr>
        <w:t>第十条第一款“</w:t>
      </w:r>
      <w:r>
        <w:rPr>
          <w:rFonts w:hint="eastAsia" w:ascii="仿宋_GB2312" w:hAnsi="Arial" w:eastAsia="仿宋_GB2312" w:cs="Arial"/>
          <w:color w:val="000000"/>
          <w:sz w:val="32"/>
          <w:szCs w:val="32"/>
        </w:rPr>
        <w:t>有下列情形之一的，为假冒伪劣商品：</w:t>
      </w:r>
      <w:r>
        <w:rPr>
          <w:rFonts w:hint="eastAsia" w:ascii="仿宋_GB2312" w:hAnsi="Arial" w:eastAsia="仿宋_GB2312" w:cs="Arial"/>
          <w:color w:val="000000"/>
          <w:sz w:val="32"/>
          <w:szCs w:val="32"/>
          <w:lang w:eastAsia="zh-CN"/>
        </w:rPr>
        <w:t>（一）不符合保障人体健康和人身、财产安全的国家标准、行业标准、地方标准的”的规定，你单位销售的产品为假冒伪劣商品，</w:t>
      </w:r>
      <w:r>
        <w:rPr>
          <w:rFonts w:hint="eastAsia" w:ascii="仿宋_GB2312" w:hAnsi="Arial" w:eastAsia="仿宋_GB2312" w:cs="Arial"/>
          <w:color w:val="000000"/>
          <w:sz w:val="32"/>
          <w:szCs w:val="32"/>
        </w:rPr>
        <w:t>依据《广东省查处生产销售假冒伪劣商品违法行为条例》第五十五条　“生产、销售本条例第十条第一、二、三、四、五、六项所列商品的，责令停止生产、销售，没收销售收入和违法生产、销售的商品，并处以该批违法商品货值金额等值以上三倍以下罚款。</w:t>
      </w:r>
      <w:r>
        <w:rPr>
          <w:rFonts w:hint="eastAsia" w:ascii="仿宋_GB2312" w:hAnsi="Arial" w:eastAsia="仿宋_GB2312" w:cs="Arial"/>
          <w:color w:val="000000"/>
          <w:sz w:val="32"/>
          <w:szCs w:val="32"/>
          <w:lang w:eastAsia="zh-CN"/>
        </w:rPr>
        <w:t>”</w:t>
      </w:r>
      <w:r>
        <w:rPr>
          <w:rFonts w:hint="eastAsia" w:ascii="仿宋_GB2312" w:hAnsi="Arial" w:eastAsia="仿宋_GB2312" w:cs="Arial"/>
          <w:color w:val="000000"/>
          <w:sz w:val="32"/>
          <w:szCs w:val="32"/>
        </w:rPr>
        <w:t>的规定，本局决定对你单位处罚如下：1.没收销售收入98元；2.罚款294元</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firstLine="640" w:firstLineChars="200"/>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请在接到本处罚决定书之日起15日内将罚没款缴到广州市非税收入缴款通知书上指定的银行。逾期不缴纳罚没款的，根据《中华人民共和国行政处罚法》第五十一条第一项</w:t>
      </w:r>
    </w:p>
    <w:p>
      <w:pPr>
        <w:pStyle w:val="7"/>
        <w:spacing w:before="0" w:after="0"/>
        <w:jc w:val="center"/>
        <w:rPr>
          <w:rFonts w:hint="eastAsia" w:ascii="黑体" w:hAnsi="黑体" w:eastAsia="黑体"/>
          <w:b/>
          <w:color w:val="000000"/>
          <w:sz w:val="32"/>
        </w:rPr>
      </w:pPr>
      <w:r>
        <w:rPr>
          <w:rFonts w:hint="eastAsia" w:ascii="仿宋_GB2312" w:hAnsi="Arial" w:eastAsia="仿宋_GB2312" w:cs="Arial"/>
          <w:color w:val="000000"/>
          <w:sz w:val="32"/>
          <w:szCs w:val="32"/>
        </w:rPr>
        <w:t>的规定，每日按罚款数额的3%加处罚款，并将依法申请人民</w:t>
      </w:r>
    </w:p>
    <w:p>
      <w:pPr>
        <w:pStyle w:val="7"/>
        <w:keepNext w:val="0"/>
        <w:keepLines w:val="0"/>
        <w:pageBreakBefore w:val="0"/>
        <w:kinsoku/>
        <w:wordWrap/>
        <w:overflowPunct/>
        <w:topLinePunct w:val="0"/>
        <w:bidi w:val="0"/>
        <w:adjustRightInd w:val="0"/>
        <w:snapToGrid w:val="0"/>
        <w:spacing w:before="0" w:after="0" w:line="312" w:lineRule="auto"/>
        <w:jc w:val="center"/>
        <w:textAlignment w:val="auto"/>
        <w:outlineLvl w:val="9"/>
        <w:rPr>
          <w:rFonts w:ascii="黑体" w:hAnsi="黑体" w:eastAsia="黑体"/>
          <w:b/>
          <w:color w:val="000000"/>
          <w:sz w:val="32"/>
        </w:rPr>
      </w:pPr>
      <w:r>
        <w:rPr>
          <w:rFonts w:hint="eastAsia" w:ascii="黑体" w:hAnsi="黑体" w:eastAsia="黑体"/>
          <w:b/>
          <w:color w:val="000000"/>
          <w:sz w:val="32"/>
        </w:rPr>
        <w:t>食品药品行政处罚文书</w:t>
      </w:r>
    </w:p>
    <w:p>
      <w:pPr>
        <w:keepNext w:val="0"/>
        <w:keepLines w:val="0"/>
        <w:pageBreakBefore w:val="0"/>
        <w:kinsoku/>
        <w:wordWrap/>
        <w:overflowPunct/>
        <w:topLinePunct w:val="0"/>
        <w:autoSpaceDE w:val="0"/>
        <w:autoSpaceDN w:val="0"/>
        <w:bidi w:val="0"/>
        <w:adjustRightInd w:val="0"/>
        <w:snapToGrid w:val="0"/>
        <w:spacing w:line="312" w:lineRule="auto"/>
        <w:jc w:val="center"/>
        <w:textAlignment w:val="auto"/>
        <w:outlineLvl w:val="9"/>
        <w:rPr>
          <w:b/>
          <w:color w:val="000000"/>
          <w:kern w:val="0"/>
          <w:sz w:val="44"/>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keepNext w:val="0"/>
        <w:keepLines w:val="0"/>
        <w:pageBreakBefore w:val="0"/>
        <w:kinsoku/>
        <w:wordWrap/>
        <w:overflowPunct/>
        <w:topLinePunct w:val="0"/>
        <w:autoSpaceDE w:val="0"/>
        <w:autoSpaceDN w:val="0"/>
        <w:bidi w:val="0"/>
        <w:adjustRightInd w:val="0"/>
        <w:snapToGrid w:val="0"/>
        <w:spacing w:line="312" w:lineRule="auto"/>
        <w:ind w:right="400"/>
        <w:jc w:val="right"/>
        <w:textAlignment w:val="auto"/>
        <w:outlineLvl w:val="9"/>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lang w:val="en-US" w:eastAsia="zh-CN"/>
        </w:rPr>
        <w:t>23</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  共</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w:t>
      </w:r>
    </w:p>
    <w:p>
      <w:pPr>
        <w:rPr>
          <w:rFonts w:hint="eastAsia" w:ascii="仿宋_GB2312" w:hAnsi="Arial" w:eastAsia="仿宋_GB2312" w:cs="Arial"/>
          <w:color w:val="000000"/>
          <w:sz w:val="32"/>
          <w:szCs w:val="32"/>
        </w:rPr>
      </w:pPr>
      <w:r>
        <w:rPr>
          <w:rFonts w:ascii="仿宋_GB2312" w:hAnsi="仿宋" w:eastAsia="仿宋_GB2312"/>
          <w:color w:val="000000"/>
        </w:rPr>
        <mc:AlternateContent>
          <mc:Choice Requires="wps">
            <w:drawing>
              <wp:anchor distT="0" distB="0" distL="114300" distR="114300" simplePos="0" relativeHeight="251718656" behindDoc="0" locked="0" layoutInCell="1" allowOverlap="1">
                <wp:simplePos x="0" y="0"/>
                <wp:positionH relativeFrom="column">
                  <wp:posOffset>-154305</wp:posOffset>
                </wp:positionH>
                <wp:positionV relativeFrom="paragraph">
                  <wp:posOffset>1905</wp:posOffset>
                </wp:positionV>
                <wp:extent cx="5615940" cy="635"/>
                <wp:effectExtent l="0" t="0" r="0" b="0"/>
                <wp:wrapNone/>
                <wp:docPr id="5"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2.15pt;margin-top:0.15pt;height:0.05pt;width:442.2pt;z-index:251718656;mso-width-relative:page;mso-height-relative:page;" filled="f" stroked="t" coordsize="21600,21600" o:gfxdata="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w7IQI1AAAAAUBAAAPAAAAAAAAAAEAIAAAACIAAABkcnMvZG93bnJldi54bWxQ&#10;SwECFAAUAAAACACHTuJAD5XExcIBAACOAwAADgAAAAAAAAABACAAAAAjAQAAZHJzL2Uyb0RvYy54&#10;bWxQSwUGAAAAAAYABgBZAQAAVwUAAAAA&#10;">
                <v:fill on="f" focussize="0,0"/>
                <v:stroke weight="1.5pt" color="#000000" joinstyle="round"/>
                <v:imagedata o:title=""/>
                <o:lock v:ext="edit" aspectratio="f"/>
              </v:line>
            </w:pict>
          </mc:Fallback>
        </mc:AlternateContent>
      </w:r>
      <w:r>
        <w:rPr>
          <w:rFonts w:hint="eastAsia" w:ascii="仿宋_GB2312" w:hAnsi="Arial" w:eastAsia="仿宋_GB2312" w:cs="Arial"/>
          <w:color w:val="000000"/>
          <w:sz w:val="32"/>
          <w:szCs w:val="32"/>
        </w:rPr>
        <w:t>法院强制执行。</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firstLine="640" w:firstLineChars="200"/>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textAlignment w:val="auto"/>
        <w:outlineLvl w:val="9"/>
        <w:rPr>
          <w:rFonts w:hint="eastAsia" w:ascii="仿宋_GB2312" w:hAnsi="Arial" w:eastAsia="仿宋_GB2312" w:cs="Arial"/>
          <w:color w:val="000000"/>
          <w:sz w:val="32"/>
          <w:szCs w:val="32"/>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textAlignment w:val="auto"/>
        <w:outlineLvl w:val="9"/>
        <w:rPr>
          <w:rFonts w:hint="eastAsia" w:ascii="仿宋_GB2312" w:hAnsi="Arial" w:eastAsia="仿宋_GB2312" w:cs="Arial"/>
          <w:color w:val="000000"/>
          <w:sz w:val="32"/>
          <w:szCs w:val="32"/>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 xml:space="preserve">                    </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jc w:val="right"/>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广州市增城区食品药品监督管理局</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520" w:lineRule="exact"/>
        <w:ind w:left="0" w:leftChars="0" w:right="0" w:rightChars="0"/>
        <w:jc w:val="center"/>
        <w:textAlignment w:val="auto"/>
        <w:outlineLvl w:val="9"/>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lang w:val="en-US" w:eastAsia="zh-CN"/>
        </w:rPr>
        <w:t xml:space="preserve">                   </w:t>
      </w:r>
      <w:r>
        <w:rPr>
          <w:rFonts w:hint="eastAsia" w:ascii="仿宋_GB2312" w:hAnsi="Arial" w:eastAsia="仿宋_GB2312" w:cs="Arial"/>
          <w:color w:val="000000"/>
          <w:sz w:val="32"/>
          <w:szCs w:val="32"/>
        </w:rPr>
        <w:t>2018年</w:t>
      </w:r>
      <w:r>
        <w:rPr>
          <w:rFonts w:hint="eastAsia" w:ascii="仿宋_GB2312" w:hAnsi="Arial" w:eastAsia="仿宋_GB2312" w:cs="Arial"/>
          <w:color w:val="000000"/>
          <w:sz w:val="32"/>
          <w:szCs w:val="32"/>
          <w:lang w:val="en-US" w:eastAsia="zh-CN"/>
        </w:rPr>
        <w:t>6</w:t>
      </w:r>
      <w:r>
        <w:rPr>
          <w:rFonts w:hint="eastAsia" w:ascii="仿宋_GB2312" w:hAnsi="Arial" w:eastAsia="仿宋_GB2312" w:cs="Arial"/>
          <w:color w:val="000000"/>
          <w:sz w:val="32"/>
          <w:szCs w:val="32"/>
        </w:rPr>
        <w:t>月</w:t>
      </w:r>
      <w:r>
        <w:rPr>
          <w:rFonts w:hint="eastAsia" w:ascii="仿宋_GB2312" w:hAnsi="Arial" w:eastAsia="仿宋_GB2312" w:cs="Arial"/>
          <w:color w:val="000000"/>
          <w:sz w:val="32"/>
          <w:szCs w:val="32"/>
          <w:lang w:val="en-US" w:eastAsia="zh-CN"/>
        </w:rPr>
        <w:t>11</w:t>
      </w:r>
      <w:r>
        <w:rPr>
          <w:rFonts w:hint="eastAsia" w:ascii="仿宋_GB2312" w:hAnsi="Arial" w:eastAsia="仿宋_GB2312" w:cs="Arial"/>
          <w:color w:val="000000"/>
          <w:sz w:val="32"/>
          <w:szCs w:val="32"/>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docPartObj>
        <w:docPartGallery w:val="autotext"/>
      </w:docPartObj>
    </w:sdtPr>
    <w:sdtContent>
      <w:sdt>
        <w:sdtPr>
          <w:id w:val="98381352"/>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51C4E"/>
    <w:rsid w:val="00055430"/>
    <w:rsid w:val="00070A16"/>
    <w:rsid w:val="000761B1"/>
    <w:rsid w:val="00091769"/>
    <w:rsid w:val="000A0226"/>
    <w:rsid w:val="000B213A"/>
    <w:rsid w:val="00123D3B"/>
    <w:rsid w:val="001267FF"/>
    <w:rsid w:val="001724F1"/>
    <w:rsid w:val="00172A27"/>
    <w:rsid w:val="00186E6C"/>
    <w:rsid w:val="00190F95"/>
    <w:rsid w:val="001D680D"/>
    <w:rsid w:val="00210CC1"/>
    <w:rsid w:val="00212A10"/>
    <w:rsid w:val="00214984"/>
    <w:rsid w:val="00242550"/>
    <w:rsid w:val="002509EA"/>
    <w:rsid w:val="00250C5A"/>
    <w:rsid w:val="002613FC"/>
    <w:rsid w:val="00271746"/>
    <w:rsid w:val="0029493C"/>
    <w:rsid w:val="00294F73"/>
    <w:rsid w:val="002A19EA"/>
    <w:rsid w:val="002A3D72"/>
    <w:rsid w:val="002B68B8"/>
    <w:rsid w:val="002D11C4"/>
    <w:rsid w:val="002E0939"/>
    <w:rsid w:val="002E1853"/>
    <w:rsid w:val="00320D30"/>
    <w:rsid w:val="003375C5"/>
    <w:rsid w:val="0033779E"/>
    <w:rsid w:val="00341E64"/>
    <w:rsid w:val="003424C4"/>
    <w:rsid w:val="00347BA8"/>
    <w:rsid w:val="00355A0D"/>
    <w:rsid w:val="003A57EE"/>
    <w:rsid w:val="003B6508"/>
    <w:rsid w:val="003C796A"/>
    <w:rsid w:val="003D7049"/>
    <w:rsid w:val="003E3219"/>
    <w:rsid w:val="0040436D"/>
    <w:rsid w:val="00406B2B"/>
    <w:rsid w:val="00417A77"/>
    <w:rsid w:val="00460792"/>
    <w:rsid w:val="0047064C"/>
    <w:rsid w:val="004A02DE"/>
    <w:rsid w:val="004B229A"/>
    <w:rsid w:val="005003F4"/>
    <w:rsid w:val="005132B7"/>
    <w:rsid w:val="00517A45"/>
    <w:rsid w:val="00542650"/>
    <w:rsid w:val="00590AA2"/>
    <w:rsid w:val="005C74CA"/>
    <w:rsid w:val="005D150B"/>
    <w:rsid w:val="005F3093"/>
    <w:rsid w:val="005F412D"/>
    <w:rsid w:val="005F6961"/>
    <w:rsid w:val="00620B38"/>
    <w:rsid w:val="00630D1B"/>
    <w:rsid w:val="00645D72"/>
    <w:rsid w:val="00665044"/>
    <w:rsid w:val="00685CAC"/>
    <w:rsid w:val="006B78CB"/>
    <w:rsid w:val="006D2383"/>
    <w:rsid w:val="006D4FCF"/>
    <w:rsid w:val="006F17DE"/>
    <w:rsid w:val="007176F4"/>
    <w:rsid w:val="007237C0"/>
    <w:rsid w:val="0074054B"/>
    <w:rsid w:val="007502F7"/>
    <w:rsid w:val="0076087A"/>
    <w:rsid w:val="00766C4C"/>
    <w:rsid w:val="00776373"/>
    <w:rsid w:val="00784472"/>
    <w:rsid w:val="00801522"/>
    <w:rsid w:val="00880B95"/>
    <w:rsid w:val="0089247D"/>
    <w:rsid w:val="00901AFA"/>
    <w:rsid w:val="00905030"/>
    <w:rsid w:val="00915A2F"/>
    <w:rsid w:val="00966A89"/>
    <w:rsid w:val="00991A38"/>
    <w:rsid w:val="009B680F"/>
    <w:rsid w:val="009C2121"/>
    <w:rsid w:val="00A04BFA"/>
    <w:rsid w:val="00A47DB0"/>
    <w:rsid w:val="00AA1B06"/>
    <w:rsid w:val="00AD5E6D"/>
    <w:rsid w:val="00B05171"/>
    <w:rsid w:val="00B13FCC"/>
    <w:rsid w:val="00B16AB9"/>
    <w:rsid w:val="00B177AC"/>
    <w:rsid w:val="00B25CB0"/>
    <w:rsid w:val="00B56037"/>
    <w:rsid w:val="00B57C34"/>
    <w:rsid w:val="00B7799A"/>
    <w:rsid w:val="00B8083B"/>
    <w:rsid w:val="00B97D3B"/>
    <w:rsid w:val="00BD3AF9"/>
    <w:rsid w:val="00BD7D03"/>
    <w:rsid w:val="00BF181D"/>
    <w:rsid w:val="00BF62A4"/>
    <w:rsid w:val="00C23B73"/>
    <w:rsid w:val="00C23FBA"/>
    <w:rsid w:val="00C31414"/>
    <w:rsid w:val="00C50B19"/>
    <w:rsid w:val="00C87F19"/>
    <w:rsid w:val="00C90614"/>
    <w:rsid w:val="00CC7A9F"/>
    <w:rsid w:val="00CE0008"/>
    <w:rsid w:val="00CF6EFF"/>
    <w:rsid w:val="00D16E3A"/>
    <w:rsid w:val="00D34A26"/>
    <w:rsid w:val="00D43810"/>
    <w:rsid w:val="00D81577"/>
    <w:rsid w:val="00DC1BAB"/>
    <w:rsid w:val="00E11A4D"/>
    <w:rsid w:val="00E90A34"/>
    <w:rsid w:val="00EA6199"/>
    <w:rsid w:val="00EE02C1"/>
    <w:rsid w:val="00F01416"/>
    <w:rsid w:val="00F20057"/>
    <w:rsid w:val="00F2659A"/>
    <w:rsid w:val="00F47E15"/>
    <w:rsid w:val="00F51FDC"/>
    <w:rsid w:val="00F5222B"/>
    <w:rsid w:val="00F5238F"/>
    <w:rsid w:val="00F81037"/>
    <w:rsid w:val="00FA5DA7"/>
    <w:rsid w:val="00FB2D28"/>
    <w:rsid w:val="00FB3FEA"/>
    <w:rsid w:val="00FB44E4"/>
    <w:rsid w:val="00FC1960"/>
    <w:rsid w:val="00FD19A6"/>
    <w:rsid w:val="00FD670C"/>
    <w:rsid w:val="00FF5F12"/>
    <w:rsid w:val="166F0B87"/>
    <w:rsid w:val="2D970F00"/>
    <w:rsid w:val="2DEE2CB9"/>
    <w:rsid w:val="4394731C"/>
    <w:rsid w:val="4AA54332"/>
    <w:rsid w:val="6F3C5A47"/>
    <w:rsid w:val="7DBC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7">
    <w:name w:val="p17"/>
    <w:basedOn w:val="1"/>
    <w:qFormat/>
    <w:uiPriority w:val="0"/>
    <w:pPr>
      <w:widowControl/>
      <w:spacing w:before="100" w:after="100"/>
      <w:jc w:val="left"/>
    </w:pPr>
    <w:rPr>
      <w:rFonts w:ascii="宋体" w:hAnsi="宋体" w:cs="宋体"/>
      <w:kern w:val="0"/>
      <w:sz w:val="24"/>
      <w:szCs w:val="24"/>
    </w:rPr>
  </w:style>
  <w:style w:type="character" w:customStyle="1" w:styleId="8">
    <w:name w:val="页眉 Char"/>
    <w:basedOn w:val="5"/>
    <w:link w:val="3"/>
    <w:semiHidden/>
    <w:uiPriority w:val="99"/>
    <w:rPr>
      <w:kern w:val="2"/>
      <w:sz w:val="18"/>
      <w:szCs w:val="18"/>
    </w:rPr>
  </w:style>
  <w:style w:type="character" w:customStyle="1" w:styleId="9">
    <w:name w:val="页脚 Char"/>
    <w:basedOn w:val="5"/>
    <w:link w:val="2"/>
    <w:uiPriority w:val="99"/>
    <w:rPr>
      <w:kern w:val="2"/>
      <w:sz w:val="18"/>
      <w:szCs w:val="18"/>
    </w:rPr>
  </w:style>
  <w:style w:type="paragraph" w:styleId="10">
    <w:name w:val="List Paragraph"/>
    <w:basedOn w:val="1"/>
    <w:qFormat/>
    <w:uiPriority w:val="34"/>
    <w:pPr>
      <w:ind w:firstLine="420" w:firstLineChars="200"/>
    </w:p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323</Words>
  <Characters>1842</Characters>
  <Lines>15</Lines>
  <Paragraphs>4</Paragraphs>
  <TotalTime>1</TotalTime>
  <ScaleCrop>false</ScaleCrop>
  <LinksUpToDate>false</LinksUpToDate>
  <CharactersWithSpaces>2161</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 Right now</cp:lastModifiedBy>
  <cp:lastPrinted>2018-06-25T04:21:00Z</cp:lastPrinted>
  <dcterms:modified xsi:type="dcterms:W3CDTF">2018-07-20T02:11:41Z</dcterms:modified>
  <dc:title>食品药品行政处罚文书</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