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ind w:left="0" w:leftChars="0" w:right="0" w:rightChars="0"/>
        <w:textAlignment w:val="auto"/>
        <w:outlineLvl w:val="9"/>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keepNext w:val="0"/>
        <w:keepLines w:val="0"/>
        <w:pageBreakBefore w:val="0"/>
        <w:widowControl w:val="0"/>
        <w:kinsoku/>
        <w:wordWrap/>
        <w:overflowPunct/>
        <w:topLinePunct w:val="0"/>
        <w:autoSpaceDE/>
        <w:autoSpaceDN/>
        <w:bidi w:val="0"/>
        <w:adjustRightIn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广州市增城区犬只狂犬病免疫</w:t>
      </w:r>
    </w:p>
    <w:p>
      <w:pPr>
        <w:keepNext w:val="0"/>
        <w:keepLines w:val="0"/>
        <w:pageBreakBefore w:val="0"/>
        <w:widowControl w:val="0"/>
        <w:kinsoku/>
        <w:wordWrap/>
        <w:overflowPunct/>
        <w:topLinePunct w:val="0"/>
        <w:autoSpaceDE/>
        <w:autoSpaceDN/>
        <w:bidi w:val="0"/>
        <w:adjustRightIn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注射服务承诺书</w:t>
      </w:r>
    </w:p>
    <w:bookmarkEnd w:id="0"/>
    <w:p>
      <w:pPr>
        <w:keepNext w:val="0"/>
        <w:keepLines w:val="0"/>
        <w:pageBreakBefore w:val="0"/>
        <w:widowControl w:val="0"/>
        <w:kinsoku/>
        <w:wordWrap/>
        <w:overflowPunct/>
        <w:topLinePunct w:val="0"/>
        <w:autoSpaceDE/>
        <w:autoSpaceDN/>
        <w:bidi w:val="0"/>
        <w:adjustRightInd/>
        <w:spacing w:line="440" w:lineRule="exact"/>
        <w:ind w:left="0" w:leftChars="0" w:right="0" w:rightChars="0"/>
        <w:jc w:val="center"/>
        <w:textAlignment w:val="auto"/>
        <w:outlineLvl w:val="9"/>
        <w:rPr>
          <w:rFonts w:hint="eastAsia" w:eastAsia="仿宋_GB2312"/>
          <w:b/>
          <w:bCs/>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本人及本人所开办动物诊疗机构</w:t>
      </w:r>
      <w:r>
        <w:rPr>
          <w:rFonts w:hint="eastAsia" w:ascii="仿宋_GB2312" w:eastAsia="仿宋_GB2312"/>
          <w:bCs/>
          <w:sz w:val="28"/>
          <w:szCs w:val="28"/>
        </w:rPr>
        <w:t>承诺</w:t>
      </w:r>
      <w:r>
        <w:rPr>
          <w:rFonts w:hint="eastAsia" w:ascii="仿宋_GB2312" w:hAnsi="宋体" w:eastAsia="仿宋_GB2312"/>
          <w:sz w:val="28"/>
          <w:szCs w:val="28"/>
        </w:rPr>
        <w:t>履行以下服务</w:t>
      </w:r>
      <w:r>
        <w:rPr>
          <w:rFonts w:hint="eastAsia" w:ascii="仿宋_GB2312" w:eastAsia="仿宋_GB2312"/>
          <w:bCs/>
          <w:sz w:val="28"/>
          <w:szCs w:val="28"/>
        </w:rPr>
        <w:t>职责，如有违反，视为自动撤销广州市增城区犬只狂犬病免疫注射服务点资格：</w:t>
      </w:r>
    </w:p>
    <w:p>
      <w:pPr>
        <w:keepNext w:val="0"/>
        <w:keepLines w:val="0"/>
        <w:pageBreakBefore w:val="0"/>
        <w:widowControl w:val="0"/>
        <w:numPr>
          <w:ilvl w:val="0"/>
          <w:numId w:val="1"/>
        </w:numPr>
        <w:tabs>
          <w:tab w:val="left" w:pos="1155"/>
          <w:tab w:val="clear" w:pos="178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遵守中华人民共和国各级动物防疫、动物诊疗和犬只狂犬病免疫注射管理的有关规定。</w:t>
      </w:r>
    </w:p>
    <w:p>
      <w:pPr>
        <w:keepNext w:val="0"/>
        <w:keepLines w:val="0"/>
        <w:pageBreakBefore w:val="0"/>
        <w:widowControl w:val="0"/>
        <w:numPr>
          <w:ilvl w:val="0"/>
          <w:numId w:val="1"/>
        </w:numPr>
        <w:tabs>
          <w:tab w:val="left" w:pos="1155"/>
          <w:tab w:val="clear" w:pos="178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eastAsia="仿宋_GB2312"/>
          <w:bCs/>
          <w:sz w:val="28"/>
          <w:szCs w:val="28"/>
        </w:rPr>
      </w:pPr>
      <w:r>
        <w:rPr>
          <w:rFonts w:hint="eastAsia" w:ascii="仿宋_GB2312" w:eastAsia="仿宋_GB2312"/>
          <w:bCs/>
          <w:sz w:val="28"/>
          <w:szCs w:val="28"/>
        </w:rPr>
        <w:t>严格按照有关规定开展犬只狂犬病免疫服务：</w:t>
      </w:r>
    </w:p>
    <w:p>
      <w:pPr>
        <w:keepNext w:val="0"/>
        <w:keepLines w:val="0"/>
        <w:pageBreakBefore w:val="0"/>
        <w:widowControl w:val="0"/>
        <w:numPr>
          <w:ilvl w:val="0"/>
          <w:numId w:val="2"/>
        </w:numPr>
        <w:tabs>
          <w:tab w:val="left" w:pos="147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eastAsia="仿宋_GB2312"/>
          <w:bCs/>
          <w:sz w:val="28"/>
          <w:szCs w:val="28"/>
        </w:rPr>
      </w:pPr>
      <w:r>
        <w:rPr>
          <w:rFonts w:hint="eastAsia" w:ascii="仿宋_GB2312" w:eastAsia="仿宋_GB2312"/>
          <w:bCs/>
          <w:sz w:val="28"/>
          <w:szCs w:val="28"/>
        </w:rPr>
        <w:t>对接受狂犬病免疫接种的犬只，进行健康检查；对经检查合格的犬只，按操作规范进行免疫接种。</w:t>
      </w:r>
    </w:p>
    <w:p>
      <w:pPr>
        <w:keepNext w:val="0"/>
        <w:keepLines w:val="0"/>
        <w:pageBreakBefore w:val="0"/>
        <w:widowControl w:val="0"/>
        <w:numPr>
          <w:ilvl w:val="0"/>
          <w:numId w:val="2"/>
        </w:numPr>
        <w:tabs>
          <w:tab w:val="left" w:pos="147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eastAsia="仿宋_GB2312"/>
          <w:bCs/>
          <w:sz w:val="28"/>
          <w:szCs w:val="28"/>
        </w:rPr>
        <w:t>由指定实施免疫操作的兽医签发犬只狂犬病</w:t>
      </w:r>
      <w:r>
        <w:rPr>
          <w:rFonts w:hint="eastAsia" w:ascii="仿宋_GB2312" w:hAnsi="宋体" w:eastAsia="仿宋_GB2312"/>
          <w:sz w:val="28"/>
          <w:szCs w:val="28"/>
        </w:rPr>
        <w:t>免疫证（下称“免疫证”）</w:t>
      </w:r>
      <w:r>
        <w:rPr>
          <w:rFonts w:hint="eastAsia" w:ascii="仿宋_GB2312" w:eastAsia="仿宋_GB2312"/>
          <w:bCs/>
          <w:sz w:val="28"/>
          <w:szCs w:val="28"/>
        </w:rPr>
        <w:t>，认真做好犬只狂犬病免疫档案（下称“免疫档案”）和台帐记录，每天按要求上传信息。</w:t>
      </w:r>
    </w:p>
    <w:p>
      <w:pPr>
        <w:keepNext w:val="0"/>
        <w:keepLines w:val="0"/>
        <w:pageBreakBefore w:val="0"/>
        <w:widowControl w:val="0"/>
        <w:numPr>
          <w:ilvl w:val="0"/>
          <w:numId w:val="2"/>
        </w:numPr>
        <w:tabs>
          <w:tab w:val="left" w:pos="147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eastAsia="仿宋_GB2312"/>
          <w:bCs/>
          <w:sz w:val="28"/>
          <w:szCs w:val="28"/>
        </w:rPr>
      </w:pPr>
      <w:r>
        <w:rPr>
          <w:rFonts w:hint="eastAsia" w:ascii="仿宋_GB2312" w:hAnsi="宋体" w:eastAsia="仿宋_GB2312"/>
          <w:sz w:val="28"/>
          <w:szCs w:val="28"/>
        </w:rPr>
        <w:t>妥善保存并</w:t>
      </w:r>
      <w:r>
        <w:rPr>
          <w:rFonts w:hint="eastAsia" w:ascii="仿宋_GB2312" w:eastAsia="仿宋_GB2312"/>
          <w:bCs/>
          <w:sz w:val="28"/>
          <w:szCs w:val="28"/>
        </w:rPr>
        <w:t>规范使用</w:t>
      </w:r>
      <w:r>
        <w:rPr>
          <w:rFonts w:hint="eastAsia" w:ascii="仿宋_GB2312" w:hAnsi="宋体" w:eastAsia="仿宋_GB2312"/>
          <w:sz w:val="28"/>
          <w:szCs w:val="28"/>
        </w:rPr>
        <w:t>动物卫生监督机构统一采购的兽用狂犬病疫苗和统一印制的免疫证和免疫档案，不遗失、损毁或转卖。做好</w:t>
      </w:r>
      <w:r>
        <w:rPr>
          <w:rFonts w:hint="eastAsia" w:ascii="仿宋_GB2312" w:eastAsia="仿宋_GB2312"/>
          <w:bCs/>
          <w:sz w:val="28"/>
          <w:szCs w:val="28"/>
        </w:rPr>
        <w:t>疫苗采购、库存和使用的</w:t>
      </w:r>
      <w:r>
        <w:rPr>
          <w:rFonts w:hint="eastAsia" w:eastAsia="仿宋_GB2312"/>
          <w:sz w:val="28"/>
          <w:szCs w:val="28"/>
        </w:rPr>
        <w:t>台帐</w:t>
      </w:r>
      <w:r>
        <w:rPr>
          <w:rFonts w:hint="eastAsia" w:ascii="仿宋_GB2312" w:eastAsia="仿宋_GB2312"/>
          <w:bCs/>
          <w:sz w:val="28"/>
          <w:szCs w:val="28"/>
        </w:rPr>
        <w:t>记录，</w:t>
      </w:r>
      <w:r>
        <w:rPr>
          <w:rFonts w:hint="eastAsia" w:eastAsia="仿宋_GB2312"/>
          <w:sz w:val="28"/>
          <w:szCs w:val="28"/>
        </w:rPr>
        <w:t>做好</w:t>
      </w:r>
      <w:r>
        <w:rPr>
          <w:rFonts w:hint="eastAsia" w:ascii="仿宋_GB2312" w:hAnsi="宋体" w:eastAsia="仿宋_GB2312"/>
          <w:sz w:val="28"/>
          <w:szCs w:val="28"/>
        </w:rPr>
        <w:t>免疫证</w:t>
      </w:r>
      <w:r>
        <w:rPr>
          <w:rFonts w:hint="eastAsia" w:eastAsia="仿宋_GB2312"/>
          <w:sz w:val="28"/>
          <w:szCs w:val="28"/>
        </w:rPr>
        <w:t>的领取、签发工作，按要求认真登记存档。</w:t>
      </w:r>
    </w:p>
    <w:p>
      <w:pPr>
        <w:keepNext w:val="0"/>
        <w:keepLines w:val="0"/>
        <w:pageBreakBefore w:val="0"/>
        <w:widowControl w:val="0"/>
        <w:numPr>
          <w:ilvl w:val="0"/>
          <w:numId w:val="2"/>
        </w:numPr>
        <w:tabs>
          <w:tab w:val="left" w:pos="147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eastAsia="仿宋_GB2312"/>
          <w:sz w:val="28"/>
          <w:szCs w:val="28"/>
        </w:rPr>
      </w:pPr>
      <w:r>
        <w:rPr>
          <w:rFonts w:hint="eastAsia" w:eastAsia="仿宋_GB2312"/>
          <w:sz w:val="28"/>
          <w:szCs w:val="28"/>
        </w:rPr>
        <w:t>对所实施犬只狂犬病免疫接种和所发放免疫证负责。</w:t>
      </w:r>
    </w:p>
    <w:p>
      <w:pPr>
        <w:keepNext w:val="0"/>
        <w:keepLines w:val="0"/>
        <w:pageBreakBefore w:val="0"/>
        <w:widowControl w:val="0"/>
        <w:numPr>
          <w:ilvl w:val="0"/>
          <w:numId w:val="1"/>
        </w:numPr>
        <w:tabs>
          <w:tab w:val="left" w:pos="1155"/>
          <w:tab w:val="clear" w:pos="1780"/>
        </w:tabs>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履行动物疫情报告职责，配合动物卫生监督机构开展动物流行病学调查工作。</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本承诺书为广州市增城区犬只狂犬病免疫注射服务点申请表的附件，自签定之日起生效。</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textAlignment w:val="auto"/>
        <w:outlineLvl w:val="9"/>
        <w:rPr>
          <w:rFonts w:hint="eastAsia" w:ascii="仿宋_GB2312" w:hAnsi="宋体"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textAlignment w:val="auto"/>
        <w:outlineLvl w:val="9"/>
        <w:rPr>
          <w:rFonts w:hint="eastAsia" w:ascii="仿宋_GB2312" w:hAnsi="宋体"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textAlignment w:val="auto"/>
        <w:outlineLvl w:val="9"/>
        <w:rPr>
          <w:rFonts w:hint="eastAsia" w:ascii="仿宋_GB2312" w:hAnsi="宋体"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1960" w:firstLineChars="700"/>
        <w:textAlignment w:val="auto"/>
        <w:outlineLvl w:val="9"/>
        <w:rPr>
          <w:rFonts w:hint="eastAsia" w:ascii="仿宋_GB2312" w:hAnsi="宋体" w:eastAsia="仿宋_GB2312"/>
          <w:sz w:val="28"/>
          <w:szCs w:val="28"/>
        </w:rPr>
      </w:pPr>
      <w:r>
        <w:rPr>
          <w:rFonts w:hint="eastAsia" w:ascii="仿宋_GB2312" w:hAnsi="宋体" w:eastAsia="仿宋_GB2312"/>
          <w:sz w:val="28"/>
          <w:szCs w:val="28"/>
        </w:rPr>
        <w:t>动物诊疗机构法定代表人签名：</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textAlignment w:val="auto"/>
        <w:outlineLvl w:val="9"/>
        <w:rPr>
          <w:rFonts w:hint="eastAsia" w:ascii="仿宋_GB2312" w:hAnsi="宋体"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3360" w:firstLineChars="1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动物诊疗机构盖章：</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textAlignment w:val="auto"/>
        <w:outlineLvl w:val="9"/>
        <w:rPr>
          <w:rFonts w:hint="eastAsia" w:ascii="仿宋_GB2312" w:hAnsi="宋体"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480" w:firstLineChars="1600"/>
        <w:textAlignment w:val="auto"/>
        <w:outlineLvl w:val="9"/>
        <w:rPr>
          <w:rFonts w:hint="eastAsia"/>
          <w:sz w:val="28"/>
          <w:szCs w:val="28"/>
        </w:rPr>
      </w:pPr>
      <w:r>
        <w:rPr>
          <w:rFonts w:hint="eastAsia" w:ascii="仿宋_GB2312" w:hAnsi="宋体" w:eastAsia="仿宋_GB2312"/>
          <w:sz w:val="28"/>
          <w:szCs w:val="28"/>
        </w:rPr>
        <w:t>签定日期：       年  月  日</w:t>
      </w:r>
      <w:r>
        <w:rPr>
          <w:rFonts w:hint="eastAsia"/>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F64F7"/>
    <w:multiLevelType w:val="multilevel"/>
    <w:tmpl w:val="511F64F7"/>
    <w:lvl w:ilvl="0" w:tentative="0">
      <w:start w:val="1"/>
      <w:numFmt w:val="decimal"/>
      <w:lvlText w:val="%1、"/>
      <w:lvlJc w:val="left"/>
      <w:pPr>
        <w:tabs>
          <w:tab w:val="left" w:pos="1780"/>
        </w:tabs>
        <w:ind w:left="1780" w:hanging="114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abstractNum w:abstractNumId="1">
    <w:nsid w:val="63B150FB"/>
    <w:multiLevelType w:val="multilevel"/>
    <w:tmpl w:val="63B150FB"/>
    <w:lvl w:ilvl="0" w:tentative="0">
      <w:start w:val="1"/>
      <w:numFmt w:val="decimal"/>
      <w:lvlText w:val="（%1）"/>
      <w:lvlJc w:val="left"/>
      <w:pPr>
        <w:tabs>
          <w:tab w:val="left" w:pos="0"/>
        </w:tabs>
        <w:ind w:left="0" w:firstLine="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4069A"/>
    <w:rsid w:val="6817120E"/>
    <w:rsid w:val="69740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6">
    <w:name w:val="标题格式"/>
    <w:basedOn w:val="3"/>
    <w:next w:val="2"/>
    <w:qFormat/>
    <w:uiPriority w:val="0"/>
    <w:rPr>
      <w:rFonts w:ascii="Times New Roman" w:hAnsi="Times New Roman" w:eastAsia="方正小标宋简体"/>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2019-06-20T04:55:00Z</dcterms:created>
  <dc:creator>增城区农业农村局</dc:creator>
  <cp:lastModifiedBy>增城区农业农村局</cp:lastModifiedBy>
  <dcterms:modified xsi:type="dcterms:W3CDTF">2019-06-20T04:56:39Z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