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6C6E9">
      <w:pPr>
        <w:keepNext w:val="0"/>
        <w:keepLines w:val="0"/>
        <w:pageBreakBefore w:val="0"/>
        <w:widowControl w:val="0"/>
        <w:kinsoku/>
        <w:wordWrap/>
        <w:overflowPunct/>
        <w:topLinePunct w:val="0"/>
        <w:autoSpaceDE/>
        <w:autoSpaceDN/>
        <w:bidi w:val="0"/>
        <w:adjustRightInd/>
        <w:snapToGrid/>
        <w:spacing w:line="570" w:lineRule="exact"/>
        <w:jc w:val="left"/>
        <w:textAlignment w:val="auto"/>
        <w:rPr>
          <w:rFonts w:hint="eastAsia" w:ascii="黑体" w:hAnsi="黑体" w:eastAsia="黑体" w:cs="黑体"/>
          <w:sz w:val="36"/>
          <w:szCs w:val="36"/>
        </w:rPr>
      </w:pPr>
      <w:bookmarkStart w:id="0" w:name="Content"/>
      <w:r>
        <w:rPr>
          <w:rFonts w:hint="eastAsia" w:ascii="黑体" w:hAnsi="黑体" w:eastAsia="黑体" w:cs="黑体"/>
          <w:kern w:val="0"/>
          <w:sz w:val="32"/>
          <w:szCs w:val="32"/>
        </w:rPr>
        <w:t>附件</w:t>
      </w:r>
    </w:p>
    <w:p w14:paraId="45A77582">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Times New Roman" w:hAnsi="Times New Roman" w:eastAsia="方正小标宋简体"/>
          <w:sz w:val="44"/>
          <w:szCs w:val="44"/>
        </w:rPr>
      </w:pPr>
      <w:r>
        <w:rPr>
          <w:rFonts w:ascii="Times New Roman" w:hAnsi="Times New Roman" w:eastAsia="方正小标宋简体"/>
          <w:sz w:val="44"/>
          <w:szCs w:val="44"/>
        </w:rPr>
        <w:t>增城区部分集中式饮用水水源保护区优化调整方案</w:t>
      </w:r>
    </w:p>
    <w:p w14:paraId="7554E3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方正小标宋简体"/>
          <w:sz w:val="36"/>
          <w:szCs w:val="36"/>
        </w:rPr>
      </w:pPr>
    </w:p>
    <w:tbl>
      <w:tblPr>
        <w:tblStyle w:val="7"/>
        <w:tblW w:w="52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1"/>
        <w:gridCol w:w="780"/>
        <w:gridCol w:w="2183"/>
        <w:gridCol w:w="2632"/>
        <w:gridCol w:w="720"/>
        <w:gridCol w:w="814"/>
        <w:gridCol w:w="825"/>
        <w:gridCol w:w="1984"/>
        <w:gridCol w:w="2951"/>
        <w:gridCol w:w="757"/>
        <w:gridCol w:w="458"/>
      </w:tblGrid>
      <w:tr w14:paraId="3799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jc w:val="center"/>
        </w:trPr>
        <w:tc>
          <w:tcPr>
            <w:tcW w:w="465" w:type="dxa"/>
            <w:vMerge w:val="restart"/>
            <w:noWrap/>
            <w:vAlign w:val="center"/>
          </w:tcPr>
          <w:p w14:paraId="75F58FAC">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序号</w:t>
            </w:r>
          </w:p>
        </w:tc>
        <w:tc>
          <w:tcPr>
            <w:tcW w:w="811" w:type="dxa"/>
            <w:vMerge w:val="restart"/>
            <w:noWrap/>
            <w:vAlign w:val="center"/>
          </w:tcPr>
          <w:p w14:paraId="74842C3C">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调整前保护区名称</w:t>
            </w:r>
          </w:p>
        </w:tc>
        <w:tc>
          <w:tcPr>
            <w:tcW w:w="6315" w:type="dxa"/>
            <w:gridSpan w:val="4"/>
            <w:noWrap/>
            <w:vAlign w:val="center"/>
          </w:tcPr>
          <w:p w14:paraId="2102B2B2">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调整前保护区范围</w:t>
            </w:r>
          </w:p>
        </w:tc>
        <w:tc>
          <w:tcPr>
            <w:tcW w:w="814" w:type="dxa"/>
            <w:vMerge w:val="restart"/>
            <w:noWrap/>
            <w:vAlign w:val="center"/>
          </w:tcPr>
          <w:p w14:paraId="796FE202">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调整后保护区名称</w:t>
            </w:r>
          </w:p>
        </w:tc>
        <w:tc>
          <w:tcPr>
            <w:tcW w:w="6517" w:type="dxa"/>
            <w:gridSpan w:val="4"/>
            <w:noWrap/>
            <w:vAlign w:val="center"/>
          </w:tcPr>
          <w:p w14:paraId="1A85B77D">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调整后保护区范围</w:t>
            </w:r>
          </w:p>
        </w:tc>
        <w:tc>
          <w:tcPr>
            <w:tcW w:w="458" w:type="dxa"/>
            <w:vMerge w:val="restart"/>
            <w:noWrap/>
            <w:vAlign w:val="center"/>
          </w:tcPr>
          <w:p w14:paraId="12CB675A">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备注</w:t>
            </w:r>
          </w:p>
        </w:tc>
      </w:tr>
      <w:tr w14:paraId="1932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465" w:type="dxa"/>
            <w:vMerge w:val="continue"/>
            <w:noWrap/>
            <w:vAlign w:val="center"/>
          </w:tcPr>
          <w:p w14:paraId="0E305E32">
            <w:pPr>
              <w:widowControl/>
              <w:snapToGrid w:val="0"/>
              <w:jc w:val="left"/>
              <w:rPr>
                <w:rFonts w:ascii="黑体" w:hAnsi="黑体" w:eastAsia="黑体" w:cs="黑体"/>
                <w:bCs/>
                <w:sz w:val="18"/>
                <w:szCs w:val="18"/>
              </w:rPr>
            </w:pPr>
          </w:p>
        </w:tc>
        <w:tc>
          <w:tcPr>
            <w:tcW w:w="811" w:type="dxa"/>
            <w:vMerge w:val="continue"/>
            <w:noWrap/>
            <w:vAlign w:val="center"/>
          </w:tcPr>
          <w:p w14:paraId="32D5FC69">
            <w:pPr>
              <w:widowControl/>
              <w:snapToGrid w:val="0"/>
              <w:jc w:val="left"/>
              <w:rPr>
                <w:rFonts w:ascii="黑体" w:hAnsi="黑体" w:eastAsia="黑体" w:cs="黑体"/>
                <w:bCs/>
                <w:sz w:val="18"/>
                <w:szCs w:val="18"/>
              </w:rPr>
            </w:pPr>
          </w:p>
        </w:tc>
        <w:tc>
          <w:tcPr>
            <w:tcW w:w="780" w:type="dxa"/>
            <w:noWrap/>
            <w:vAlign w:val="center"/>
          </w:tcPr>
          <w:p w14:paraId="03CCE2EF">
            <w:pPr>
              <w:widowControl/>
              <w:snapToGrid w:val="0"/>
              <w:jc w:val="center"/>
              <w:rPr>
                <w:rFonts w:ascii="黑体" w:hAnsi="黑体" w:eastAsia="黑体" w:cs="黑体"/>
                <w:bCs/>
                <w:sz w:val="18"/>
                <w:szCs w:val="18"/>
              </w:rPr>
            </w:pPr>
            <w:r>
              <w:rPr>
                <w:rFonts w:hint="eastAsia" w:ascii="黑体" w:hAnsi="黑体" w:eastAsia="黑体" w:cs="黑体"/>
                <w:bCs/>
                <w:sz w:val="18"/>
                <w:szCs w:val="18"/>
              </w:rPr>
              <w:t>保护区级别</w:t>
            </w:r>
          </w:p>
        </w:tc>
        <w:tc>
          <w:tcPr>
            <w:tcW w:w="2183" w:type="dxa"/>
            <w:noWrap/>
            <w:vAlign w:val="center"/>
          </w:tcPr>
          <w:p w14:paraId="302076F4">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水域</w:t>
            </w:r>
          </w:p>
        </w:tc>
        <w:tc>
          <w:tcPr>
            <w:tcW w:w="2632" w:type="dxa"/>
            <w:noWrap/>
            <w:vAlign w:val="center"/>
          </w:tcPr>
          <w:p w14:paraId="44C6085A">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陆域</w:t>
            </w:r>
          </w:p>
        </w:tc>
        <w:tc>
          <w:tcPr>
            <w:tcW w:w="720" w:type="dxa"/>
            <w:noWrap/>
            <w:vAlign w:val="center"/>
          </w:tcPr>
          <w:p w14:paraId="5CF50BC8">
            <w:pPr>
              <w:widowControl/>
              <w:snapToGrid w:val="0"/>
              <w:jc w:val="center"/>
              <w:rPr>
                <w:rFonts w:ascii="黑体" w:hAnsi="黑体" w:eastAsia="黑体" w:cs="黑体"/>
                <w:sz w:val="18"/>
                <w:szCs w:val="18"/>
              </w:rPr>
            </w:pPr>
            <w:r>
              <w:rPr>
                <w:rFonts w:hint="eastAsia" w:ascii="黑体" w:hAnsi="黑体" w:eastAsia="黑体" w:cs="黑体"/>
                <w:sz w:val="18"/>
                <w:szCs w:val="18"/>
              </w:rPr>
              <w:t>面积</w:t>
            </w:r>
          </w:p>
          <w:p w14:paraId="14A228D6">
            <w:pPr>
              <w:autoSpaceDE w:val="0"/>
              <w:autoSpaceDN w:val="0"/>
              <w:snapToGrid w:val="0"/>
              <w:jc w:val="center"/>
              <w:rPr>
                <w:rFonts w:ascii="黑体" w:hAnsi="黑体" w:eastAsia="黑体" w:cs="黑体"/>
                <w:bCs/>
                <w:sz w:val="18"/>
                <w:szCs w:val="18"/>
              </w:rPr>
            </w:pPr>
            <w:r>
              <w:rPr>
                <w:rFonts w:hint="eastAsia" w:ascii="黑体" w:hAnsi="黑体" w:eastAsia="黑体" w:cs="黑体"/>
                <w:sz w:val="18"/>
                <w:szCs w:val="18"/>
              </w:rPr>
              <w:t>（</w:t>
            </w:r>
            <w:r>
              <w:rPr>
                <w:rFonts w:hint="eastAsia" w:ascii="Times New Roman" w:hAnsi="Times New Roman" w:eastAsia="黑体" w:cs="黑体"/>
                <w:sz w:val="18"/>
                <w:szCs w:val="18"/>
              </w:rPr>
              <w:t>km</w:t>
            </w:r>
            <w:r>
              <w:rPr>
                <w:rFonts w:hint="eastAsia" w:ascii="Times New Roman" w:hAnsi="Times New Roman" w:eastAsia="黑体" w:cs="黑体"/>
                <w:sz w:val="18"/>
                <w:szCs w:val="18"/>
                <w:vertAlign w:val="superscript"/>
              </w:rPr>
              <w:t>2</w:t>
            </w:r>
            <w:r>
              <w:rPr>
                <w:rFonts w:hint="eastAsia" w:ascii="黑体" w:hAnsi="黑体" w:eastAsia="黑体" w:cs="黑体"/>
                <w:sz w:val="18"/>
                <w:szCs w:val="18"/>
              </w:rPr>
              <w:t>）</w:t>
            </w:r>
          </w:p>
        </w:tc>
        <w:tc>
          <w:tcPr>
            <w:tcW w:w="814" w:type="dxa"/>
            <w:vMerge w:val="continue"/>
            <w:noWrap/>
            <w:vAlign w:val="center"/>
          </w:tcPr>
          <w:p w14:paraId="537AA78F">
            <w:pPr>
              <w:widowControl/>
              <w:snapToGrid w:val="0"/>
              <w:jc w:val="center"/>
              <w:rPr>
                <w:rFonts w:ascii="黑体" w:hAnsi="黑体" w:eastAsia="黑体" w:cs="黑体"/>
                <w:bCs/>
                <w:sz w:val="18"/>
                <w:szCs w:val="18"/>
              </w:rPr>
            </w:pPr>
          </w:p>
        </w:tc>
        <w:tc>
          <w:tcPr>
            <w:tcW w:w="825" w:type="dxa"/>
            <w:noWrap/>
            <w:vAlign w:val="center"/>
          </w:tcPr>
          <w:p w14:paraId="22604CB5">
            <w:pPr>
              <w:widowControl/>
              <w:snapToGrid w:val="0"/>
              <w:jc w:val="center"/>
              <w:rPr>
                <w:rFonts w:ascii="黑体" w:hAnsi="黑体" w:eastAsia="黑体" w:cs="黑体"/>
                <w:bCs/>
                <w:sz w:val="18"/>
                <w:szCs w:val="18"/>
              </w:rPr>
            </w:pPr>
            <w:r>
              <w:rPr>
                <w:rFonts w:hint="eastAsia" w:ascii="黑体" w:hAnsi="黑体" w:eastAsia="黑体" w:cs="黑体"/>
                <w:bCs/>
                <w:sz w:val="18"/>
                <w:szCs w:val="18"/>
              </w:rPr>
              <w:t>保护区级别</w:t>
            </w:r>
          </w:p>
        </w:tc>
        <w:tc>
          <w:tcPr>
            <w:tcW w:w="1984" w:type="dxa"/>
            <w:noWrap/>
            <w:vAlign w:val="center"/>
          </w:tcPr>
          <w:p w14:paraId="26860267">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水域</w:t>
            </w:r>
          </w:p>
        </w:tc>
        <w:tc>
          <w:tcPr>
            <w:tcW w:w="2951" w:type="dxa"/>
            <w:noWrap/>
            <w:vAlign w:val="center"/>
          </w:tcPr>
          <w:p w14:paraId="6A2BF4EC">
            <w:pPr>
              <w:autoSpaceDE w:val="0"/>
              <w:autoSpaceDN w:val="0"/>
              <w:snapToGrid w:val="0"/>
              <w:jc w:val="center"/>
              <w:rPr>
                <w:rFonts w:ascii="黑体" w:hAnsi="黑体" w:eastAsia="黑体" w:cs="黑体"/>
                <w:bCs/>
                <w:sz w:val="18"/>
                <w:szCs w:val="18"/>
              </w:rPr>
            </w:pPr>
            <w:r>
              <w:rPr>
                <w:rFonts w:hint="eastAsia" w:ascii="黑体" w:hAnsi="黑体" w:eastAsia="黑体" w:cs="黑体"/>
                <w:bCs/>
                <w:sz w:val="18"/>
                <w:szCs w:val="18"/>
              </w:rPr>
              <w:t>陆域</w:t>
            </w:r>
          </w:p>
        </w:tc>
        <w:tc>
          <w:tcPr>
            <w:tcW w:w="757" w:type="dxa"/>
            <w:noWrap/>
            <w:vAlign w:val="center"/>
          </w:tcPr>
          <w:p w14:paraId="59DA47AB">
            <w:pPr>
              <w:widowControl/>
              <w:snapToGrid w:val="0"/>
              <w:jc w:val="center"/>
              <w:rPr>
                <w:rFonts w:ascii="黑体" w:hAnsi="黑体" w:eastAsia="黑体" w:cs="黑体"/>
                <w:sz w:val="18"/>
                <w:szCs w:val="18"/>
              </w:rPr>
            </w:pPr>
            <w:r>
              <w:rPr>
                <w:rFonts w:hint="eastAsia" w:ascii="黑体" w:hAnsi="黑体" w:eastAsia="黑体" w:cs="黑体"/>
                <w:sz w:val="18"/>
                <w:szCs w:val="18"/>
              </w:rPr>
              <w:t>面积</w:t>
            </w:r>
          </w:p>
          <w:p w14:paraId="063422E7">
            <w:pPr>
              <w:autoSpaceDE w:val="0"/>
              <w:autoSpaceDN w:val="0"/>
              <w:snapToGrid w:val="0"/>
              <w:jc w:val="center"/>
              <w:rPr>
                <w:rFonts w:ascii="黑体" w:hAnsi="黑体" w:eastAsia="黑体" w:cs="黑体"/>
                <w:bCs/>
                <w:sz w:val="18"/>
                <w:szCs w:val="18"/>
              </w:rPr>
            </w:pPr>
            <w:r>
              <w:rPr>
                <w:rFonts w:hint="eastAsia" w:ascii="黑体" w:hAnsi="黑体" w:eastAsia="黑体" w:cs="黑体"/>
                <w:sz w:val="18"/>
                <w:szCs w:val="18"/>
              </w:rPr>
              <w:t>（</w:t>
            </w:r>
            <w:r>
              <w:rPr>
                <w:rFonts w:hint="eastAsia" w:ascii="Times New Roman" w:hAnsi="Times New Roman" w:eastAsia="黑体" w:cs="黑体"/>
                <w:sz w:val="18"/>
                <w:szCs w:val="18"/>
              </w:rPr>
              <w:t>km</w:t>
            </w:r>
            <w:r>
              <w:rPr>
                <w:rFonts w:hint="eastAsia" w:ascii="Times New Roman" w:hAnsi="Times New Roman" w:eastAsia="黑体" w:cs="黑体"/>
                <w:sz w:val="18"/>
                <w:szCs w:val="18"/>
                <w:vertAlign w:val="superscript"/>
              </w:rPr>
              <w:t>2</w:t>
            </w:r>
            <w:r>
              <w:rPr>
                <w:rFonts w:hint="eastAsia" w:ascii="黑体" w:hAnsi="黑体" w:eastAsia="黑体" w:cs="黑体"/>
                <w:sz w:val="18"/>
                <w:szCs w:val="18"/>
              </w:rPr>
              <w:t>）</w:t>
            </w:r>
          </w:p>
        </w:tc>
        <w:tc>
          <w:tcPr>
            <w:tcW w:w="458" w:type="dxa"/>
            <w:vMerge w:val="continue"/>
            <w:noWrap/>
            <w:vAlign w:val="center"/>
          </w:tcPr>
          <w:p w14:paraId="44C7C9C2">
            <w:pPr>
              <w:autoSpaceDE w:val="0"/>
              <w:autoSpaceDN w:val="0"/>
              <w:snapToGrid w:val="0"/>
              <w:rPr>
                <w:rFonts w:ascii="黑体" w:hAnsi="黑体" w:eastAsia="黑体" w:cs="黑体"/>
                <w:bCs/>
                <w:sz w:val="18"/>
                <w:szCs w:val="18"/>
              </w:rPr>
            </w:pPr>
          </w:p>
        </w:tc>
      </w:tr>
      <w:tr w14:paraId="497E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465" w:type="dxa"/>
            <w:vMerge w:val="restart"/>
            <w:noWrap/>
            <w:vAlign w:val="center"/>
          </w:tcPr>
          <w:p w14:paraId="02280CFE">
            <w:pPr>
              <w:autoSpaceDE w:val="0"/>
              <w:autoSpaceDN w:val="0"/>
              <w:snapToGrid w:val="0"/>
              <w:jc w:val="center"/>
              <w:rPr>
                <w:rFonts w:ascii="Times New Roman" w:hAnsi="Times New Roman"/>
                <w:sz w:val="18"/>
                <w:szCs w:val="18"/>
              </w:rPr>
            </w:pPr>
            <w:r>
              <w:rPr>
                <w:rFonts w:ascii="Times New Roman" w:hAnsi="Times New Roman"/>
                <w:sz w:val="18"/>
                <w:szCs w:val="18"/>
              </w:rPr>
              <w:t>1</w:t>
            </w:r>
          </w:p>
        </w:tc>
        <w:tc>
          <w:tcPr>
            <w:tcW w:w="811" w:type="dxa"/>
            <w:vMerge w:val="restart"/>
            <w:noWrap/>
            <w:vAlign w:val="center"/>
          </w:tcPr>
          <w:p w14:paraId="03B0AE81">
            <w:pPr>
              <w:autoSpaceDE w:val="0"/>
              <w:autoSpaceDN w:val="0"/>
              <w:snapToGrid w:val="0"/>
              <w:rPr>
                <w:rFonts w:hint="eastAsia" w:ascii="宋体" w:hAnsi="宋体" w:eastAsia="宋体" w:cs="宋体"/>
                <w:sz w:val="18"/>
                <w:szCs w:val="18"/>
              </w:rPr>
            </w:pPr>
            <w:r>
              <w:rPr>
                <w:rFonts w:hint="eastAsia" w:ascii="宋体" w:hAnsi="宋体" w:eastAsia="宋体" w:cs="宋体"/>
                <w:sz w:val="18"/>
                <w:szCs w:val="18"/>
              </w:rPr>
              <w:t>增江小楼段饮用水水源保护区</w:t>
            </w:r>
          </w:p>
        </w:tc>
        <w:tc>
          <w:tcPr>
            <w:tcW w:w="780" w:type="dxa"/>
            <w:noWrap/>
            <w:vAlign w:val="center"/>
          </w:tcPr>
          <w:p w14:paraId="6E515DF0">
            <w:pPr>
              <w:autoSpaceDE w:val="0"/>
              <w:autoSpaceDN w:val="0"/>
              <w:snapToGrid w:val="0"/>
              <w:jc w:val="center"/>
              <w:rPr>
                <w:rFonts w:hint="eastAsia" w:ascii="宋体" w:hAnsi="宋体" w:eastAsia="宋体" w:cs="宋体"/>
                <w:sz w:val="18"/>
                <w:szCs w:val="18"/>
              </w:rPr>
            </w:pPr>
            <w:r>
              <w:rPr>
                <w:rFonts w:hint="eastAsia" w:ascii="宋体" w:hAnsi="宋体" w:eastAsia="宋体" w:cs="宋体"/>
                <w:sz w:val="18"/>
                <w:szCs w:val="18"/>
              </w:rPr>
              <w:t>一级保护区</w:t>
            </w:r>
          </w:p>
        </w:tc>
        <w:tc>
          <w:tcPr>
            <w:tcW w:w="2183" w:type="dxa"/>
            <w:noWrap/>
            <w:vAlign w:val="center"/>
          </w:tcPr>
          <w:p w14:paraId="10C80CF5">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小楼水厂取水口上游</w:t>
            </w:r>
            <w:r>
              <w:rPr>
                <w:rFonts w:hint="eastAsia" w:ascii="Times New Roman" w:hAnsi="Times New Roman" w:eastAsia="宋体" w:cs="宋体"/>
                <w:sz w:val="18"/>
                <w:szCs w:val="18"/>
              </w:rPr>
              <w:t>1400</w:t>
            </w:r>
            <w:r>
              <w:rPr>
                <w:rFonts w:hint="eastAsia" w:ascii="宋体" w:hAnsi="宋体" w:eastAsia="宋体" w:cs="宋体"/>
                <w:sz w:val="18"/>
                <w:szCs w:val="18"/>
              </w:rPr>
              <w:t>米至取水口下游</w:t>
            </w:r>
            <w:r>
              <w:rPr>
                <w:rFonts w:hint="eastAsia" w:ascii="Times New Roman" w:hAnsi="Times New Roman" w:eastAsia="宋体" w:cs="宋体"/>
                <w:sz w:val="18"/>
                <w:szCs w:val="18"/>
              </w:rPr>
              <w:t>100</w:t>
            </w:r>
            <w:r>
              <w:rPr>
                <w:rFonts w:hint="eastAsia" w:ascii="宋体" w:hAnsi="宋体" w:eastAsia="宋体" w:cs="宋体"/>
                <w:sz w:val="18"/>
                <w:szCs w:val="18"/>
              </w:rPr>
              <w:t>米处的河段，两岸防洪堤迎水坡坡顶之间的水域。</w:t>
            </w:r>
          </w:p>
        </w:tc>
        <w:tc>
          <w:tcPr>
            <w:tcW w:w="2632" w:type="dxa"/>
            <w:noWrap/>
            <w:vAlign w:val="center"/>
          </w:tcPr>
          <w:p w14:paraId="24B049DA">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相应的一级保护区水域至两岸防洪堤迎水坡坡顶之间的陆域。</w:t>
            </w:r>
          </w:p>
        </w:tc>
        <w:tc>
          <w:tcPr>
            <w:tcW w:w="720" w:type="dxa"/>
            <w:noWrap/>
            <w:vAlign w:val="center"/>
          </w:tcPr>
          <w:p w14:paraId="5F988F29">
            <w:pPr>
              <w:widowControl/>
              <w:snapToGrid w:val="0"/>
              <w:jc w:val="center"/>
              <w:rPr>
                <w:rFonts w:hint="eastAsia" w:ascii="宋体" w:hAnsi="宋体" w:eastAsia="宋体" w:cs="宋体"/>
                <w:sz w:val="18"/>
                <w:szCs w:val="18"/>
              </w:rPr>
            </w:pPr>
            <w:r>
              <w:rPr>
                <w:rFonts w:hint="eastAsia" w:ascii="Times New Roman" w:hAnsi="Times New Roman" w:eastAsia="宋体" w:cs="宋体"/>
                <w:kern w:val="0"/>
                <w:sz w:val="18"/>
                <w:szCs w:val="18"/>
              </w:rPr>
              <w:t>0</w:t>
            </w:r>
            <w:r>
              <w:rPr>
                <w:rFonts w:hint="eastAsia" w:ascii="宋体" w:hAnsi="宋体" w:eastAsia="宋体" w:cs="宋体"/>
                <w:kern w:val="0"/>
                <w:sz w:val="18"/>
                <w:szCs w:val="18"/>
              </w:rPr>
              <w:t>.</w:t>
            </w:r>
            <w:r>
              <w:rPr>
                <w:rFonts w:hint="eastAsia" w:ascii="Times New Roman" w:hAnsi="Times New Roman" w:eastAsia="宋体" w:cs="宋体"/>
                <w:kern w:val="0"/>
                <w:sz w:val="18"/>
                <w:szCs w:val="18"/>
              </w:rPr>
              <w:t>64</w:t>
            </w:r>
          </w:p>
        </w:tc>
        <w:tc>
          <w:tcPr>
            <w:tcW w:w="814" w:type="dxa"/>
            <w:vMerge w:val="restart"/>
            <w:noWrap/>
            <w:vAlign w:val="center"/>
          </w:tcPr>
          <w:p w14:paraId="2C087F8F">
            <w:pPr>
              <w:autoSpaceDE w:val="0"/>
              <w:autoSpaceDN w:val="0"/>
              <w:snapToGrid w:val="0"/>
              <w:rPr>
                <w:rFonts w:hint="eastAsia" w:ascii="宋体" w:hAnsi="宋体" w:eastAsia="宋体" w:cs="宋体"/>
                <w:sz w:val="18"/>
                <w:szCs w:val="18"/>
              </w:rPr>
            </w:pPr>
            <w:r>
              <w:rPr>
                <w:rFonts w:hint="eastAsia" w:ascii="宋体" w:hAnsi="宋体" w:eastAsia="宋体" w:cs="宋体"/>
                <w:sz w:val="18"/>
                <w:szCs w:val="18"/>
              </w:rPr>
              <w:t>增江小楼段饮用水水源保护区</w:t>
            </w:r>
          </w:p>
        </w:tc>
        <w:tc>
          <w:tcPr>
            <w:tcW w:w="825" w:type="dxa"/>
            <w:noWrap/>
            <w:vAlign w:val="center"/>
          </w:tcPr>
          <w:p w14:paraId="19C152A8">
            <w:pPr>
              <w:jc w:val="center"/>
              <w:rPr>
                <w:rFonts w:hint="eastAsia" w:ascii="宋体" w:hAnsi="宋体" w:eastAsia="宋体" w:cs="宋体"/>
                <w:sz w:val="18"/>
                <w:szCs w:val="18"/>
              </w:rPr>
            </w:pPr>
            <w:r>
              <w:rPr>
                <w:rFonts w:hint="eastAsia" w:ascii="宋体" w:hAnsi="宋体" w:eastAsia="宋体" w:cs="宋体"/>
                <w:sz w:val="18"/>
                <w:szCs w:val="18"/>
              </w:rPr>
              <w:t>/</w:t>
            </w:r>
          </w:p>
        </w:tc>
        <w:tc>
          <w:tcPr>
            <w:tcW w:w="1984" w:type="dxa"/>
            <w:noWrap/>
            <w:vAlign w:val="center"/>
          </w:tcPr>
          <w:p w14:paraId="59AB30EA">
            <w:pPr>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w:t>
            </w:r>
          </w:p>
        </w:tc>
        <w:tc>
          <w:tcPr>
            <w:tcW w:w="2951" w:type="dxa"/>
            <w:noWrap/>
            <w:vAlign w:val="center"/>
          </w:tcPr>
          <w:p w14:paraId="580C96DA">
            <w:pPr>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w:t>
            </w:r>
          </w:p>
        </w:tc>
        <w:tc>
          <w:tcPr>
            <w:tcW w:w="757" w:type="dxa"/>
            <w:noWrap/>
            <w:vAlign w:val="center"/>
          </w:tcPr>
          <w:p w14:paraId="3E91EB42">
            <w:pPr>
              <w:jc w:val="center"/>
              <w:rPr>
                <w:rFonts w:ascii="Times New Roman" w:hAnsi="Times New Roman"/>
                <w:sz w:val="18"/>
                <w:szCs w:val="18"/>
              </w:rPr>
            </w:pPr>
            <w:r>
              <w:rPr>
                <w:rFonts w:hint="eastAsia" w:ascii="Times New Roman" w:hAnsi="Times New Roman"/>
                <w:sz w:val="18"/>
                <w:szCs w:val="18"/>
              </w:rPr>
              <w:t>/</w:t>
            </w:r>
          </w:p>
        </w:tc>
        <w:tc>
          <w:tcPr>
            <w:tcW w:w="458" w:type="dxa"/>
            <w:vMerge w:val="restart"/>
            <w:noWrap/>
            <w:vAlign w:val="center"/>
          </w:tcPr>
          <w:p w14:paraId="6BFB1301">
            <w:pPr>
              <w:adjustRightInd w:val="0"/>
              <w:snapToGrid w:val="0"/>
              <w:jc w:val="center"/>
              <w:rPr>
                <w:rFonts w:ascii="Times New Roman" w:hAnsi="Times New Roman"/>
                <w:sz w:val="18"/>
                <w:szCs w:val="18"/>
              </w:rPr>
            </w:pPr>
            <w:r>
              <w:rPr>
                <w:rFonts w:hint="eastAsia" w:ascii="Times New Roman" w:hAnsi="Times New Roman"/>
                <w:sz w:val="18"/>
                <w:szCs w:val="18"/>
              </w:rPr>
              <w:t>调整</w:t>
            </w:r>
          </w:p>
        </w:tc>
      </w:tr>
      <w:tr w14:paraId="14F4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9" w:hRule="atLeast"/>
          <w:jc w:val="center"/>
        </w:trPr>
        <w:tc>
          <w:tcPr>
            <w:tcW w:w="465" w:type="dxa"/>
            <w:vMerge w:val="continue"/>
            <w:noWrap/>
            <w:vAlign w:val="center"/>
          </w:tcPr>
          <w:p w14:paraId="2EB79759">
            <w:pPr>
              <w:widowControl/>
              <w:snapToGrid w:val="0"/>
              <w:jc w:val="left"/>
              <w:rPr>
                <w:rFonts w:ascii="Times New Roman" w:hAnsi="Times New Roman"/>
                <w:sz w:val="18"/>
                <w:szCs w:val="18"/>
              </w:rPr>
            </w:pPr>
          </w:p>
        </w:tc>
        <w:tc>
          <w:tcPr>
            <w:tcW w:w="811" w:type="dxa"/>
            <w:vMerge w:val="continue"/>
            <w:noWrap/>
            <w:vAlign w:val="center"/>
          </w:tcPr>
          <w:p w14:paraId="0E77A5BD">
            <w:pPr>
              <w:widowControl/>
              <w:snapToGrid w:val="0"/>
              <w:jc w:val="left"/>
              <w:rPr>
                <w:rFonts w:hint="eastAsia" w:ascii="宋体" w:hAnsi="宋体" w:eastAsia="宋体" w:cs="宋体"/>
                <w:sz w:val="18"/>
                <w:szCs w:val="18"/>
              </w:rPr>
            </w:pPr>
          </w:p>
        </w:tc>
        <w:tc>
          <w:tcPr>
            <w:tcW w:w="780" w:type="dxa"/>
            <w:noWrap/>
            <w:vAlign w:val="center"/>
          </w:tcPr>
          <w:p w14:paraId="775C2D1D">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二级保护区</w:t>
            </w:r>
          </w:p>
        </w:tc>
        <w:tc>
          <w:tcPr>
            <w:tcW w:w="2183" w:type="dxa"/>
            <w:noWrap/>
            <w:vAlign w:val="center"/>
          </w:tcPr>
          <w:p w14:paraId="3CE097F3">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小楼水厂取水口上游</w:t>
            </w:r>
            <w:r>
              <w:rPr>
                <w:rFonts w:hint="eastAsia" w:ascii="Times New Roman" w:hAnsi="Times New Roman" w:eastAsia="宋体" w:cs="宋体"/>
                <w:sz w:val="18"/>
                <w:szCs w:val="18"/>
              </w:rPr>
              <w:t>4000</w:t>
            </w:r>
            <w:r>
              <w:rPr>
                <w:rFonts w:hint="eastAsia" w:ascii="宋体" w:hAnsi="宋体" w:eastAsia="宋体" w:cs="宋体"/>
                <w:sz w:val="18"/>
                <w:szCs w:val="18"/>
              </w:rPr>
              <w:t>米至取水口下游</w:t>
            </w:r>
            <w:r>
              <w:rPr>
                <w:rFonts w:hint="eastAsia" w:ascii="Times New Roman" w:hAnsi="Times New Roman" w:eastAsia="宋体" w:cs="宋体"/>
                <w:sz w:val="18"/>
                <w:szCs w:val="18"/>
              </w:rPr>
              <w:t>300</w:t>
            </w:r>
            <w:r>
              <w:rPr>
                <w:rFonts w:hint="eastAsia" w:ascii="宋体" w:hAnsi="宋体" w:eastAsia="宋体" w:cs="宋体"/>
                <w:sz w:val="18"/>
                <w:szCs w:val="18"/>
              </w:rPr>
              <w:t>米的河段，两岸防洪堤迎水坡坡顶之间的水域（一级保护区除外）。</w:t>
            </w:r>
          </w:p>
        </w:tc>
        <w:tc>
          <w:tcPr>
            <w:tcW w:w="2632" w:type="dxa"/>
            <w:noWrap/>
            <w:vAlign w:val="center"/>
          </w:tcPr>
          <w:p w14:paraId="1F947FAB">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增江圭头潭至从莞深高速（不含）的河段，相应的二级保护区水域边界线向两岸纵深至防洪堤外延约</w:t>
            </w:r>
            <w:r>
              <w:rPr>
                <w:rFonts w:hint="eastAsia" w:ascii="Times New Roman" w:hAnsi="Times New Roman" w:eastAsia="宋体" w:cs="宋体"/>
                <w:sz w:val="18"/>
                <w:szCs w:val="18"/>
              </w:rPr>
              <w:t>1000</w:t>
            </w:r>
            <w:r>
              <w:rPr>
                <w:rFonts w:hint="eastAsia" w:ascii="宋体" w:hAnsi="宋体" w:eastAsia="宋体" w:cs="宋体"/>
                <w:sz w:val="18"/>
                <w:szCs w:val="18"/>
              </w:rPr>
              <w:t>米的陆域。</w:t>
            </w:r>
          </w:p>
          <w:p w14:paraId="561C4ED0">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从莞深高速至观音山的河段，相应的一、二级保护区水域边界线至两岸防洪堤背水坡坡脚外延约</w:t>
            </w:r>
            <w:r>
              <w:rPr>
                <w:rFonts w:hint="eastAsia" w:ascii="Times New Roman" w:hAnsi="Times New Roman" w:eastAsia="宋体" w:cs="宋体"/>
                <w:sz w:val="18"/>
                <w:szCs w:val="18"/>
              </w:rPr>
              <w:t>30</w:t>
            </w:r>
            <w:r>
              <w:rPr>
                <w:rFonts w:hint="eastAsia" w:ascii="宋体" w:hAnsi="宋体" w:eastAsia="宋体" w:cs="宋体"/>
                <w:sz w:val="18"/>
                <w:szCs w:val="18"/>
              </w:rPr>
              <w:t>米的陆域（一级保护区除外）。</w:t>
            </w:r>
          </w:p>
        </w:tc>
        <w:tc>
          <w:tcPr>
            <w:tcW w:w="720" w:type="dxa"/>
            <w:noWrap/>
            <w:vAlign w:val="center"/>
          </w:tcPr>
          <w:p w14:paraId="73D04174">
            <w:pPr>
              <w:widowControl/>
              <w:snapToGrid w:val="0"/>
              <w:jc w:val="center"/>
              <w:rPr>
                <w:rFonts w:hint="eastAsia" w:ascii="宋体" w:hAnsi="宋体" w:eastAsia="宋体" w:cs="宋体"/>
                <w:sz w:val="18"/>
                <w:szCs w:val="18"/>
              </w:rPr>
            </w:pPr>
            <w:r>
              <w:rPr>
                <w:rFonts w:hint="eastAsia" w:ascii="Times New Roman" w:hAnsi="Times New Roman" w:eastAsia="宋体" w:cs="宋体"/>
                <w:kern w:val="0"/>
                <w:sz w:val="18"/>
                <w:szCs w:val="18"/>
              </w:rPr>
              <w:t>8</w:t>
            </w:r>
            <w:r>
              <w:rPr>
                <w:rFonts w:hint="eastAsia" w:ascii="宋体" w:hAnsi="宋体" w:eastAsia="宋体" w:cs="宋体"/>
                <w:kern w:val="0"/>
                <w:sz w:val="18"/>
                <w:szCs w:val="18"/>
              </w:rPr>
              <w:t>.</w:t>
            </w:r>
            <w:r>
              <w:rPr>
                <w:rFonts w:hint="eastAsia" w:ascii="Times New Roman" w:hAnsi="Times New Roman" w:eastAsia="宋体" w:cs="宋体"/>
                <w:kern w:val="0"/>
                <w:sz w:val="18"/>
                <w:szCs w:val="18"/>
              </w:rPr>
              <w:t>55</w:t>
            </w:r>
          </w:p>
        </w:tc>
        <w:tc>
          <w:tcPr>
            <w:tcW w:w="814" w:type="dxa"/>
            <w:vMerge w:val="continue"/>
            <w:noWrap/>
            <w:vAlign w:val="center"/>
          </w:tcPr>
          <w:p w14:paraId="6EE0E99D">
            <w:pPr>
              <w:widowControl/>
              <w:snapToGrid w:val="0"/>
              <w:rPr>
                <w:rFonts w:hint="eastAsia" w:ascii="宋体" w:hAnsi="宋体" w:eastAsia="宋体" w:cs="宋体"/>
                <w:sz w:val="18"/>
                <w:szCs w:val="18"/>
              </w:rPr>
            </w:pPr>
          </w:p>
        </w:tc>
        <w:tc>
          <w:tcPr>
            <w:tcW w:w="825" w:type="dxa"/>
            <w:noWrap/>
            <w:vAlign w:val="center"/>
          </w:tcPr>
          <w:p w14:paraId="7D8C2AB6">
            <w:pPr>
              <w:jc w:val="center"/>
              <w:rPr>
                <w:rFonts w:hint="eastAsia" w:ascii="宋体" w:hAnsi="宋体" w:eastAsia="宋体" w:cs="宋体"/>
                <w:sz w:val="18"/>
                <w:szCs w:val="18"/>
              </w:rPr>
            </w:pPr>
            <w:r>
              <w:rPr>
                <w:rFonts w:hint="eastAsia" w:ascii="宋体" w:hAnsi="宋体" w:eastAsia="宋体" w:cs="宋体"/>
                <w:sz w:val="18"/>
                <w:szCs w:val="18"/>
              </w:rPr>
              <w:t>二级保护区</w:t>
            </w:r>
          </w:p>
        </w:tc>
        <w:tc>
          <w:tcPr>
            <w:tcW w:w="1984" w:type="dxa"/>
            <w:noWrap/>
            <w:vAlign w:val="center"/>
          </w:tcPr>
          <w:p w14:paraId="0A83D582">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增江从莞深高速以北</w:t>
            </w:r>
            <w:r>
              <w:rPr>
                <w:rFonts w:hint="eastAsia" w:ascii="Times New Roman" w:hAnsi="Times New Roman" w:eastAsia="宋体" w:cs="宋体"/>
                <w:sz w:val="18"/>
                <w:szCs w:val="18"/>
              </w:rPr>
              <w:t>4500</w:t>
            </w:r>
            <w:r>
              <w:rPr>
                <w:rFonts w:hint="eastAsia" w:ascii="宋体" w:hAnsi="宋体" w:eastAsia="宋体" w:cs="宋体"/>
                <w:sz w:val="18"/>
                <w:szCs w:val="18"/>
              </w:rPr>
              <w:t>米的河段，两岸防洪堤迎水坡坡顶之间的水域。派潭河和二龙河汇入增江处上游</w:t>
            </w:r>
            <w:r>
              <w:rPr>
                <w:rFonts w:hint="eastAsia" w:ascii="Times New Roman" w:hAnsi="Times New Roman" w:eastAsia="宋体" w:cs="宋体"/>
                <w:sz w:val="18"/>
                <w:szCs w:val="18"/>
              </w:rPr>
              <w:t>280</w:t>
            </w:r>
            <w:r>
              <w:rPr>
                <w:rFonts w:hint="eastAsia" w:ascii="宋体" w:hAnsi="宋体" w:eastAsia="宋体" w:cs="宋体"/>
                <w:sz w:val="18"/>
                <w:szCs w:val="18"/>
              </w:rPr>
              <w:t>米的河段，两岸防洪堤迎水坡坡顶之间的水域。</w:t>
            </w:r>
          </w:p>
        </w:tc>
        <w:tc>
          <w:tcPr>
            <w:tcW w:w="2951" w:type="dxa"/>
            <w:noWrap/>
            <w:vAlign w:val="center"/>
          </w:tcPr>
          <w:p w14:paraId="5A6982DD">
            <w:pPr>
              <w:adjustRightInd w:val="0"/>
              <w:snapToGrid w:val="0"/>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w:t>
            </w:r>
          </w:p>
        </w:tc>
        <w:tc>
          <w:tcPr>
            <w:tcW w:w="757" w:type="dxa"/>
            <w:noWrap/>
            <w:vAlign w:val="center"/>
          </w:tcPr>
          <w:p w14:paraId="181B56FE">
            <w:pPr>
              <w:jc w:val="center"/>
              <w:rPr>
                <w:rFonts w:ascii="Times New Roman" w:hAnsi="Times New Roman"/>
                <w:sz w:val="18"/>
                <w:szCs w:val="18"/>
              </w:rPr>
            </w:pPr>
            <w:r>
              <w:rPr>
                <w:rFonts w:ascii="Times New Roman" w:hAnsi="Times New Roman"/>
                <w:sz w:val="18"/>
                <w:szCs w:val="18"/>
              </w:rPr>
              <w:t>1.93</w:t>
            </w:r>
          </w:p>
        </w:tc>
        <w:tc>
          <w:tcPr>
            <w:tcW w:w="458" w:type="dxa"/>
            <w:vMerge w:val="continue"/>
            <w:noWrap/>
            <w:vAlign w:val="center"/>
          </w:tcPr>
          <w:p w14:paraId="0DC59D07">
            <w:pPr>
              <w:widowControl/>
              <w:snapToGrid w:val="0"/>
              <w:jc w:val="center"/>
              <w:rPr>
                <w:rFonts w:ascii="Times New Roman" w:hAnsi="Times New Roman"/>
                <w:sz w:val="18"/>
                <w:szCs w:val="18"/>
              </w:rPr>
            </w:pPr>
          </w:p>
        </w:tc>
      </w:tr>
      <w:tr w14:paraId="3182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jc w:val="center"/>
        </w:trPr>
        <w:tc>
          <w:tcPr>
            <w:tcW w:w="465" w:type="dxa"/>
            <w:vMerge w:val="continue"/>
            <w:noWrap/>
            <w:vAlign w:val="center"/>
          </w:tcPr>
          <w:p w14:paraId="36F29A2E">
            <w:pPr>
              <w:widowControl/>
              <w:snapToGrid w:val="0"/>
              <w:jc w:val="left"/>
              <w:rPr>
                <w:rFonts w:ascii="Times New Roman" w:hAnsi="Times New Roman"/>
                <w:sz w:val="18"/>
                <w:szCs w:val="18"/>
              </w:rPr>
            </w:pPr>
          </w:p>
        </w:tc>
        <w:tc>
          <w:tcPr>
            <w:tcW w:w="811" w:type="dxa"/>
            <w:vMerge w:val="continue"/>
            <w:noWrap/>
            <w:vAlign w:val="center"/>
          </w:tcPr>
          <w:p w14:paraId="4B246A92">
            <w:pPr>
              <w:widowControl/>
              <w:snapToGrid w:val="0"/>
              <w:jc w:val="left"/>
              <w:rPr>
                <w:rFonts w:hint="eastAsia" w:ascii="宋体" w:hAnsi="宋体" w:eastAsia="宋体" w:cs="宋体"/>
                <w:sz w:val="18"/>
                <w:szCs w:val="18"/>
              </w:rPr>
            </w:pPr>
          </w:p>
        </w:tc>
        <w:tc>
          <w:tcPr>
            <w:tcW w:w="780" w:type="dxa"/>
            <w:noWrap/>
            <w:vAlign w:val="center"/>
          </w:tcPr>
          <w:p w14:paraId="2984F276">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w:t>
            </w:r>
          </w:p>
        </w:tc>
        <w:tc>
          <w:tcPr>
            <w:tcW w:w="2183" w:type="dxa"/>
            <w:noWrap/>
            <w:vAlign w:val="center"/>
          </w:tcPr>
          <w:p w14:paraId="248D5F9F">
            <w:pPr>
              <w:adjustRightInd w:val="0"/>
              <w:snapToGrid w:val="0"/>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w:t>
            </w:r>
          </w:p>
        </w:tc>
        <w:tc>
          <w:tcPr>
            <w:tcW w:w="2632" w:type="dxa"/>
            <w:noWrap/>
            <w:vAlign w:val="center"/>
          </w:tcPr>
          <w:p w14:paraId="000E0A94">
            <w:pPr>
              <w:adjustRightInd w:val="0"/>
              <w:snapToGrid w:val="0"/>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w:t>
            </w:r>
          </w:p>
        </w:tc>
        <w:tc>
          <w:tcPr>
            <w:tcW w:w="720" w:type="dxa"/>
            <w:noWrap/>
            <w:vAlign w:val="center"/>
          </w:tcPr>
          <w:p w14:paraId="7443DFC6">
            <w:pPr>
              <w:widowControl/>
              <w:snapToGrid w:val="0"/>
              <w:jc w:val="center"/>
              <w:rPr>
                <w:rFonts w:hint="eastAsia" w:ascii="宋体" w:hAnsi="宋体" w:eastAsia="宋体" w:cs="宋体"/>
                <w:sz w:val="18"/>
                <w:szCs w:val="18"/>
              </w:rPr>
            </w:pPr>
            <w:r>
              <w:rPr>
                <w:rFonts w:hint="eastAsia" w:ascii="宋体" w:hAnsi="宋体" w:eastAsia="宋体" w:cs="宋体"/>
                <w:sz w:val="18"/>
                <w:szCs w:val="18"/>
              </w:rPr>
              <w:t>/</w:t>
            </w:r>
          </w:p>
        </w:tc>
        <w:tc>
          <w:tcPr>
            <w:tcW w:w="814" w:type="dxa"/>
            <w:vMerge w:val="continue"/>
            <w:noWrap/>
            <w:vAlign w:val="center"/>
          </w:tcPr>
          <w:p w14:paraId="3011FC3B">
            <w:pPr>
              <w:widowControl/>
              <w:snapToGrid w:val="0"/>
              <w:rPr>
                <w:rFonts w:hint="eastAsia" w:ascii="宋体" w:hAnsi="宋体" w:eastAsia="宋体" w:cs="宋体"/>
                <w:sz w:val="18"/>
                <w:szCs w:val="18"/>
              </w:rPr>
            </w:pPr>
          </w:p>
        </w:tc>
        <w:tc>
          <w:tcPr>
            <w:tcW w:w="825" w:type="dxa"/>
            <w:noWrap/>
            <w:vAlign w:val="center"/>
          </w:tcPr>
          <w:p w14:paraId="271948DE">
            <w:pPr>
              <w:jc w:val="center"/>
              <w:rPr>
                <w:rFonts w:hint="eastAsia" w:ascii="宋体" w:hAnsi="宋体" w:eastAsia="宋体" w:cs="宋体"/>
                <w:sz w:val="18"/>
                <w:szCs w:val="18"/>
              </w:rPr>
            </w:pPr>
            <w:r>
              <w:rPr>
                <w:rFonts w:hint="eastAsia" w:ascii="宋体" w:hAnsi="宋体" w:eastAsia="宋体" w:cs="宋体"/>
                <w:sz w:val="18"/>
                <w:szCs w:val="18"/>
              </w:rPr>
              <w:t>准保护区</w:t>
            </w:r>
          </w:p>
        </w:tc>
        <w:tc>
          <w:tcPr>
            <w:tcW w:w="1984" w:type="dxa"/>
            <w:noWrap/>
            <w:vAlign w:val="center"/>
          </w:tcPr>
          <w:p w14:paraId="5A8731C7">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从莞深高速至原取水口下游约</w:t>
            </w:r>
            <w:r>
              <w:rPr>
                <w:rFonts w:hint="eastAsia" w:ascii="Times New Roman" w:hAnsi="Times New Roman" w:eastAsia="宋体" w:cs="宋体"/>
                <w:sz w:val="18"/>
                <w:szCs w:val="18"/>
              </w:rPr>
              <w:t>620</w:t>
            </w:r>
            <w:r>
              <w:rPr>
                <w:rFonts w:hint="eastAsia" w:ascii="宋体" w:hAnsi="宋体" w:eastAsia="宋体" w:cs="宋体"/>
                <w:sz w:val="18"/>
                <w:szCs w:val="18"/>
              </w:rPr>
              <w:t>米的河段，两岸防洪堤迎水坡坡顶之间的水域。</w:t>
            </w:r>
          </w:p>
        </w:tc>
        <w:tc>
          <w:tcPr>
            <w:tcW w:w="2951" w:type="dxa"/>
            <w:noWrap/>
            <w:vAlign w:val="center"/>
          </w:tcPr>
          <w:p w14:paraId="694A6030">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增江圭头潭至从莞深高速（不含）的河段，相应的二级保护区水域边界线向两岸纵深至防洪堤外延约</w:t>
            </w:r>
            <w:r>
              <w:rPr>
                <w:rFonts w:hint="eastAsia" w:ascii="Times New Roman" w:hAnsi="Times New Roman" w:eastAsia="宋体" w:cs="宋体"/>
                <w:sz w:val="18"/>
                <w:szCs w:val="18"/>
              </w:rPr>
              <w:t>1000</w:t>
            </w:r>
            <w:r>
              <w:rPr>
                <w:rFonts w:hint="eastAsia" w:ascii="宋体" w:hAnsi="宋体" w:eastAsia="宋体" w:cs="宋体"/>
                <w:sz w:val="18"/>
                <w:szCs w:val="18"/>
              </w:rPr>
              <w:t>米，但不超过流域分水岭的陆域范围。</w:t>
            </w:r>
          </w:p>
          <w:p w14:paraId="7C90D1FC">
            <w:pPr>
              <w:adjustRightInd w:val="0"/>
              <w:snapToGrid w:val="0"/>
              <w:ind w:firstLine="360" w:firstLineChars="200"/>
              <w:rPr>
                <w:rFonts w:hint="eastAsia" w:ascii="宋体" w:hAnsi="宋体" w:eastAsia="宋体" w:cs="宋体"/>
                <w:sz w:val="18"/>
                <w:szCs w:val="18"/>
              </w:rPr>
            </w:pPr>
            <w:r>
              <w:rPr>
                <w:rFonts w:hint="eastAsia" w:ascii="宋体" w:hAnsi="宋体" w:eastAsia="宋体" w:cs="宋体"/>
                <w:sz w:val="18"/>
                <w:szCs w:val="18"/>
              </w:rPr>
              <w:t>从莞深高速至原取水口下游约</w:t>
            </w:r>
            <w:r>
              <w:rPr>
                <w:rFonts w:hint="eastAsia" w:ascii="Times New Roman" w:hAnsi="Times New Roman" w:eastAsia="宋体" w:cs="宋体"/>
                <w:sz w:val="18"/>
                <w:szCs w:val="18"/>
              </w:rPr>
              <w:t>620</w:t>
            </w:r>
            <w:r>
              <w:rPr>
                <w:rFonts w:hint="eastAsia" w:ascii="宋体" w:hAnsi="宋体" w:eastAsia="宋体" w:cs="宋体"/>
                <w:sz w:val="18"/>
                <w:szCs w:val="18"/>
              </w:rPr>
              <w:t>米的河段，相应准保护区水域边界线至两岸防洪堤背水坡坡脚外延约</w:t>
            </w:r>
            <w:r>
              <w:rPr>
                <w:rFonts w:hint="eastAsia" w:ascii="Times New Roman" w:hAnsi="Times New Roman" w:eastAsia="宋体" w:cs="宋体"/>
                <w:sz w:val="18"/>
                <w:szCs w:val="18"/>
              </w:rPr>
              <w:t>30</w:t>
            </w:r>
            <w:r>
              <w:rPr>
                <w:rFonts w:hint="eastAsia" w:ascii="宋体" w:hAnsi="宋体" w:eastAsia="宋体" w:cs="宋体"/>
                <w:sz w:val="18"/>
                <w:szCs w:val="18"/>
              </w:rPr>
              <w:t>米陆域。</w:t>
            </w:r>
          </w:p>
        </w:tc>
        <w:tc>
          <w:tcPr>
            <w:tcW w:w="757" w:type="dxa"/>
            <w:noWrap/>
            <w:vAlign w:val="center"/>
          </w:tcPr>
          <w:p w14:paraId="7D765F03">
            <w:pPr>
              <w:jc w:val="center"/>
              <w:rPr>
                <w:rFonts w:ascii="Times New Roman" w:hAnsi="Times New Roman"/>
                <w:sz w:val="18"/>
                <w:szCs w:val="18"/>
              </w:rPr>
            </w:pPr>
            <w:r>
              <w:rPr>
                <w:rFonts w:ascii="Times New Roman" w:hAnsi="Times New Roman"/>
                <w:sz w:val="18"/>
                <w:szCs w:val="18"/>
              </w:rPr>
              <w:t>7.30</w:t>
            </w:r>
          </w:p>
        </w:tc>
        <w:tc>
          <w:tcPr>
            <w:tcW w:w="458" w:type="dxa"/>
            <w:vMerge w:val="continue"/>
            <w:noWrap/>
            <w:vAlign w:val="center"/>
          </w:tcPr>
          <w:p w14:paraId="2EE11010">
            <w:pPr>
              <w:widowControl/>
              <w:snapToGrid w:val="0"/>
              <w:jc w:val="center"/>
              <w:rPr>
                <w:rFonts w:ascii="Times New Roman" w:hAnsi="Times New Roman"/>
                <w:sz w:val="18"/>
                <w:szCs w:val="18"/>
              </w:rPr>
            </w:pPr>
          </w:p>
        </w:tc>
      </w:tr>
      <w:tr w14:paraId="4B6A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465" w:type="dxa"/>
            <w:vMerge w:val="restart"/>
            <w:noWrap/>
            <w:vAlign w:val="center"/>
          </w:tcPr>
          <w:p w14:paraId="01516C3B">
            <w:pPr>
              <w:autoSpaceDE w:val="0"/>
              <w:autoSpaceDN w:val="0"/>
              <w:snapToGrid w:val="0"/>
              <w:jc w:val="center"/>
              <w:rPr>
                <w:rFonts w:ascii="Times New Roman" w:hAnsi="Times New Roman"/>
                <w:sz w:val="18"/>
                <w:szCs w:val="18"/>
              </w:rPr>
            </w:pPr>
            <w:r>
              <w:rPr>
                <w:rFonts w:ascii="Times New Roman" w:hAnsi="Times New Roman"/>
                <w:sz w:val="18"/>
                <w:szCs w:val="18"/>
              </w:rPr>
              <w:t>2</w:t>
            </w:r>
          </w:p>
        </w:tc>
        <w:tc>
          <w:tcPr>
            <w:tcW w:w="811" w:type="dxa"/>
            <w:vMerge w:val="restart"/>
            <w:noWrap/>
            <w:vAlign w:val="center"/>
          </w:tcPr>
          <w:p w14:paraId="050F8760">
            <w:pPr>
              <w:autoSpaceDE w:val="0"/>
              <w:autoSpaceDN w:val="0"/>
              <w:snapToGrid w:val="0"/>
              <w:jc w:val="center"/>
              <w:rPr>
                <w:rFonts w:hint="eastAsia" w:ascii="宋体" w:hAnsi="宋体" w:eastAsia="宋体" w:cs="宋体"/>
                <w:sz w:val="18"/>
                <w:szCs w:val="18"/>
              </w:rPr>
            </w:pPr>
            <w:r>
              <w:rPr>
                <w:rFonts w:hint="eastAsia" w:ascii="宋体" w:hAnsi="宋体" w:eastAsia="宋体" w:cs="宋体"/>
                <w:sz w:val="18"/>
                <w:szCs w:val="18"/>
              </w:rPr>
              <w:t>西福河里汾段饮用水水源保护区</w:t>
            </w:r>
          </w:p>
        </w:tc>
        <w:tc>
          <w:tcPr>
            <w:tcW w:w="780" w:type="dxa"/>
            <w:noWrap/>
            <w:vAlign w:val="center"/>
          </w:tcPr>
          <w:p w14:paraId="4C897517">
            <w:pPr>
              <w:autoSpaceDE w:val="0"/>
              <w:autoSpaceDN w:val="0"/>
              <w:snapToGrid w:val="0"/>
              <w:jc w:val="center"/>
              <w:rPr>
                <w:rFonts w:hint="eastAsia" w:ascii="宋体" w:hAnsi="宋体" w:eastAsia="宋体" w:cs="宋体"/>
                <w:sz w:val="18"/>
                <w:szCs w:val="18"/>
              </w:rPr>
            </w:pPr>
            <w:r>
              <w:rPr>
                <w:rFonts w:hint="eastAsia" w:ascii="宋体" w:hAnsi="宋体" w:eastAsia="宋体" w:cs="宋体"/>
                <w:sz w:val="18"/>
                <w:szCs w:val="18"/>
              </w:rPr>
              <w:t>一级保护区</w:t>
            </w:r>
          </w:p>
        </w:tc>
        <w:tc>
          <w:tcPr>
            <w:tcW w:w="2183" w:type="dxa"/>
            <w:noWrap/>
            <w:vAlign w:val="center"/>
          </w:tcPr>
          <w:p w14:paraId="40B0776C">
            <w:pPr>
              <w:adjustRightInd w:val="0"/>
              <w:snapToGrid w:val="0"/>
              <w:ind w:firstLine="360" w:firstLineChars="200"/>
              <w:jc w:val="left"/>
              <w:rPr>
                <w:rFonts w:hint="eastAsia" w:ascii="宋体" w:hAnsi="宋体" w:eastAsia="宋体" w:cs="宋体"/>
                <w:sz w:val="18"/>
                <w:szCs w:val="18"/>
              </w:rPr>
            </w:pPr>
            <w:r>
              <w:rPr>
                <w:rFonts w:hint="eastAsia" w:ascii="宋体" w:hAnsi="宋体" w:eastAsia="宋体" w:cs="宋体"/>
                <w:sz w:val="18"/>
                <w:szCs w:val="18"/>
              </w:rPr>
              <w:t>福和水厂取水口上游</w:t>
            </w:r>
            <w:r>
              <w:rPr>
                <w:rFonts w:hint="eastAsia" w:ascii="Times New Roman" w:hAnsi="Times New Roman" w:eastAsia="宋体" w:cs="宋体"/>
                <w:sz w:val="18"/>
                <w:szCs w:val="18"/>
              </w:rPr>
              <w:t>1500</w:t>
            </w:r>
            <w:r>
              <w:rPr>
                <w:rFonts w:hint="eastAsia" w:ascii="宋体" w:hAnsi="宋体" w:eastAsia="宋体" w:cs="宋体"/>
                <w:sz w:val="18"/>
                <w:szCs w:val="18"/>
              </w:rPr>
              <w:t>米（西福河及其支流里汾河）至取水口下游</w:t>
            </w:r>
            <w:r>
              <w:rPr>
                <w:rFonts w:hint="eastAsia" w:ascii="Times New Roman" w:hAnsi="Times New Roman" w:eastAsia="宋体" w:cs="宋体"/>
                <w:sz w:val="18"/>
                <w:szCs w:val="18"/>
              </w:rPr>
              <w:t>100</w:t>
            </w:r>
            <w:r>
              <w:rPr>
                <w:rFonts w:hint="eastAsia" w:ascii="宋体" w:hAnsi="宋体" w:eastAsia="宋体" w:cs="宋体"/>
                <w:sz w:val="18"/>
                <w:szCs w:val="18"/>
              </w:rPr>
              <w:t>米的河段，</w:t>
            </w:r>
            <w:r>
              <w:rPr>
                <w:rFonts w:hint="eastAsia" w:ascii="Times New Roman" w:hAnsi="Times New Roman" w:eastAsia="宋体" w:cs="宋体"/>
                <w:sz w:val="18"/>
                <w:szCs w:val="18"/>
              </w:rPr>
              <w:t>5</w:t>
            </w:r>
            <w:r>
              <w:rPr>
                <w:rFonts w:hint="eastAsia" w:ascii="宋体" w:hAnsi="宋体" w:eastAsia="宋体" w:cs="宋体"/>
                <w:sz w:val="18"/>
                <w:szCs w:val="18"/>
              </w:rPr>
              <w:t>年一遇洪水所能淹没的区域。</w:t>
            </w:r>
          </w:p>
        </w:tc>
        <w:tc>
          <w:tcPr>
            <w:tcW w:w="2632" w:type="dxa"/>
            <w:noWrap/>
            <w:vAlign w:val="center"/>
          </w:tcPr>
          <w:p w14:paraId="724100BF">
            <w:pPr>
              <w:adjustRightInd w:val="0"/>
              <w:snapToGrid w:val="0"/>
              <w:ind w:firstLine="360" w:firstLineChars="200"/>
              <w:jc w:val="left"/>
              <w:rPr>
                <w:rFonts w:hint="eastAsia" w:ascii="宋体" w:hAnsi="宋体" w:eastAsia="宋体" w:cs="宋体"/>
                <w:sz w:val="18"/>
                <w:szCs w:val="18"/>
              </w:rPr>
            </w:pPr>
            <w:r>
              <w:rPr>
                <w:rFonts w:hint="eastAsia" w:ascii="宋体" w:hAnsi="宋体" w:eastAsia="宋体" w:cs="宋体"/>
                <w:sz w:val="18"/>
                <w:szCs w:val="18"/>
              </w:rPr>
              <w:t>相应的一级保护区水域边界线至两岸外延约</w:t>
            </w:r>
            <w:r>
              <w:rPr>
                <w:rFonts w:hint="eastAsia" w:ascii="Times New Roman" w:hAnsi="Times New Roman" w:eastAsia="宋体" w:cs="宋体"/>
                <w:sz w:val="18"/>
                <w:szCs w:val="18"/>
              </w:rPr>
              <w:t>50</w:t>
            </w:r>
            <w:r>
              <w:rPr>
                <w:rFonts w:hint="eastAsia" w:ascii="宋体" w:hAnsi="宋体" w:eastAsia="宋体" w:cs="宋体"/>
                <w:sz w:val="18"/>
                <w:szCs w:val="18"/>
              </w:rPr>
              <w:t>米的陆域。</w:t>
            </w:r>
          </w:p>
        </w:tc>
        <w:tc>
          <w:tcPr>
            <w:tcW w:w="720" w:type="dxa"/>
            <w:noWrap/>
            <w:vAlign w:val="center"/>
          </w:tcPr>
          <w:p w14:paraId="5FD55475">
            <w:pPr>
              <w:adjustRightInd w:val="0"/>
              <w:snapToGrid w:val="0"/>
              <w:jc w:val="center"/>
              <w:rPr>
                <w:rFonts w:ascii="Times New Roman" w:hAnsi="Times New Roman"/>
                <w:sz w:val="18"/>
                <w:szCs w:val="18"/>
              </w:rPr>
            </w:pPr>
            <w:r>
              <w:rPr>
                <w:rFonts w:ascii="Times New Roman" w:hAnsi="Times New Roman"/>
                <w:sz w:val="18"/>
                <w:szCs w:val="18"/>
              </w:rPr>
              <w:t>0.35</w:t>
            </w:r>
          </w:p>
        </w:tc>
        <w:tc>
          <w:tcPr>
            <w:tcW w:w="814" w:type="dxa"/>
            <w:vMerge w:val="restart"/>
            <w:noWrap/>
            <w:vAlign w:val="center"/>
          </w:tcPr>
          <w:p w14:paraId="4A33703D">
            <w:pPr>
              <w:autoSpaceDE w:val="0"/>
              <w:autoSpaceDN w:val="0"/>
              <w:snapToGrid w:val="0"/>
              <w:jc w:val="center"/>
              <w:rPr>
                <w:rFonts w:ascii="Times New Roman" w:hAnsi="Times New Roman"/>
                <w:sz w:val="18"/>
                <w:szCs w:val="18"/>
              </w:rPr>
            </w:pPr>
            <w:r>
              <w:rPr>
                <w:rFonts w:hint="eastAsia" w:ascii="Times New Roman" w:hAnsi="Times New Roman"/>
                <w:sz w:val="18"/>
                <w:szCs w:val="18"/>
              </w:rPr>
              <w:t>/</w:t>
            </w:r>
          </w:p>
        </w:tc>
        <w:tc>
          <w:tcPr>
            <w:tcW w:w="825" w:type="dxa"/>
            <w:noWrap/>
            <w:vAlign w:val="center"/>
          </w:tcPr>
          <w:p w14:paraId="4A2256A9">
            <w:pPr>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1984" w:type="dxa"/>
            <w:noWrap/>
            <w:vAlign w:val="center"/>
          </w:tcPr>
          <w:p w14:paraId="0BD6E420">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951" w:type="dxa"/>
            <w:noWrap/>
            <w:vAlign w:val="center"/>
          </w:tcPr>
          <w:p w14:paraId="0C16440E">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57" w:type="dxa"/>
            <w:noWrap/>
            <w:vAlign w:val="center"/>
          </w:tcPr>
          <w:p w14:paraId="0A3F0E20">
            <w:pPr>
              <w:autoSpaceDE w:val="0"/>
              <w:autoSpaceDN w:val="0"/>
              <w:snapToGrid w:val="0"/>
              <w:jc w:val="center"/>
              <w:rPr>
                <w:rFonts w:ascii="Times New Roman" w:hAnsi="Times New Roman"/>
                <w:sz w:val="18"/>
                <w:szCs w:val="18"/>
              </w:rPr>
            </w:pPr>
            <w:r>
              <w:rPr>
                <w:rFonts w:hint="eastAsia" w:ascii="Times New Roman" w:hAnsi="Times New Roman"/>
                <w:sz w:val="18"/>
                <w:szCs w:val="18"/>
              </w:rPr>
              <w:t>/</w:t>
            </w:r>
          </w:p>
        </w:tc>
        <w:tc>
          <w:tcPr>
            <w:tcW w:w="458" w:type="dxa"/>
            <w:vMerge w:val="restart"/>
            <w:noWrap/>
            <w:vAlign w:val="center"/>
          </w:tcPr>
          <w:p w14:paraId="0164C47E">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取消</w:t>
            </w:r>
          </w:p>
        </w:tc>
      </w:tr>
      <w:tr w14:paraId="7AB5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465" w:type="dxa"/>
            <w:vMerge w:val="continue"/>
            <w:noWrap/>
            <w:vAlign w:val="center"/>
          </w:tcPr>
          <w:p w14:paraId="1751F8A7">
            <w:pPr>
              <w:autoSpaceDE w:val="0"/>
              <w:autoSpaceDN w:val="0"/>
              <w:snapToGrid w:val="0"/>
              <w:jc w:val="center"/>
              <w:rPr>
                <w:rFonts w:ascii="Times New Roman" w:hAnsi="Times New Roman"/>
                <w:sz w:val="18"/>
                <w:szCs w:val="18"/>
              </w:rPr>
            </w:pPr>
          </w:p>
        </w:tc>
        <w:tc>
          <w:tcPr>
            <w:tcW w:w="811" w:type="dxa"/>
            <w:vMerge w:val="continue"/>
            <w:noWrap/>
            <w:vAlign w:val="center"/>
          </w:tcPr>
          <w:p w14:paraId="6B4166E9">
            <w:pPr>
              <w:rPr>
                <w:rFonts w:hint="eastAsia" w:ascii="宋体" w:hAnsi="宋体" w:eastAsia="宋体" w:cs="宋体"/>
                <w:sz w:val="18"/>
                <w:szCs w:val="18"/>
              </w:rPr>
            </w:pPr>
          </w:p>
        </w:tc>
        <w:tc>
          <w:tcPr>
            <w:tcW w:w="780" w:type="dxa"/>
            <w:noWrap/>
            <w:vAlign w:val="center"/>
          </w:tcPr>
          <w:p w14:paraId="1BD59538">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二级保护区</w:t>
            </w:r>
          </w:p>
        </w:tc>
        <w:tc>
          <w:tcPr>
            <w:tcW w:w="2183" w:type="dxa"/>
            <w:noWrap/>
            <w:vAlign w:val="center"/>
          </w:tcPr>
          <w:p w14:paraId="2AFF7ACF">
            <w:pPr>
              <w:adjustRightInd w:val="0"/>
              <w:snapToGrid w:val="0"/>
              <w:ind w:firstLine="360" w:firstLineChars="200"/>
              <w:jc w:val="left"/>
              <w:rPr>
                <w:rFonts w:hint="eastAsia" w:ascii="宋体" w:hAnsi="宋体" w:eastAsia="宋体" w:cs="宋体"/>
                <w:sz w:val="18"/>
                <w:szCs w:val="18"/>
              </w:rPr>
            </w:pPr>
            <w:r>
              <w:rPr>
                <w:rFonts w:hint="eastAsia" w:ascii="宋体" w:hAnsi="宋体" w:eastAsia="宋体" w:cs="宋体"/>
                <w:sz w:val="18"/>
                <w:szCs w:val="18"/>
              </w:rPr>
              <w:t>福和水厂取水口沿西福河上游</w:t>
            </w:r>
            <w:r>
              <w:rPr>
                <w:rFonts w:hint="eastAsia" w:ascii="Times New Roman" w:hAnsi="Times New Roman" w:eastAsia="宋体" w:cs="宋体"/>
                <w:sz w:val="18"/>
                <w:szCs w:val="18"/>
              </w:rPr>
              <w:t>5000</w:t>
            </w:r>
            <w:r>
              <w:rPr>
                <w:rFonts w:hint="eastAsia" w:ascii="宋体" w:hAnsi="宋体" w:eastAsia="宋体" w:cs="宋体"/>
                <w:sz w:val="18"/>
                <w:szCs w:val="18"/>
              </w:rPr>
              <w:t>米（接联安水库）至取水口下游</w:t>
            </w:r>
            <w:r>
              <w:rPr>
                <w:rFonts w:hint="eastAsia" w:ascii="Times New Roman" w:hAnsi="Times New Roman" w:eastAsia="宋体" w:cs="宋体"/>
                <w:sz w:val="18"/>
                <w:szCs w:val="18"/>
              </w:rPr>
              <w:t>300</w:t>
            </w:r>
            <w:r>
              <w:rPr>
                <w:rFonts w:hint="eastAsia" w:ascii="宋体" w:hAnsi="宋体" w:eastAsia="宋体" w:cs="宋体"/>
                <w:sz w:val="18"/>
                <w:szCs w:val="18"/>
              </w:rPr>
              <w:t>米的河段，取水口沿里汾河上游</w:t>
            </w:r>
            <w:r>
              <w:rPr>
                <w:rFonts w:hint="eastAsia" w:ascii="Times New Roman" w:hAnsi="Times New Roman" w:eastAsia="宋体" w:cs="宋体"/>
                <w:sz w:val="18"/>
                <w:szCs w:val="18"/>
              </w:rPr>
              <w:t>3500</w:t>
            </w:r>
            <w:r>
              <w:rPr>
                <w:rFonts w:hint="eastAsia" w:ascii="宋体" w:hAnsi="宋体" w:eastAsia="宋体" w:cs="宋体"/>
                <w:sz w:val="18"/>
                <w:szCs w:val="18"/>
              </w:rPr>
              <w:t>米至取水口下游</w:t>
            </w:r>
            <w:r>
              <w:rPr>
                <w:rFonts w:hint="eastAsia" w:ascii="Times New Roman" w:hAnsi="Times New Roman" w:eastAsia="宋体" w:cs="宋体"/>
                <w:sz w:val="18"/>
                <w:szCs w:val="18"/>
              </w:rPr>
              <w:t>300</w:t>
            </w:r>
            <w:r>
              <w:rPr>
                <w:rFonts w:hint="eastAsia" w:ascii="宋体" w:hAnsi="宋体" w:eastAsia="宋体" w:cs="宋体"/>
                <w:sz w:val="18"/>
                <w:szCs w:val="18"/>
              </w:rPr>
              <w:t>米的河段，</w:t>
            </w:r>
            <w:r>
              <w:rPr>
                <w:rFonts w:hint="eastAsia" w:ascii="Times New Roman" w:hAnsi="Times New Roman" w:eastAsia="宋体" w:cs="宋体"/>
                <w:sz w:val="18"/>
                <w:szCs w:val="18"/>
              </w:rPr>
              <w:t>10</w:t>
            </w:r>
            <w:r>
              <w:rPr>
                <w:rFonts w:hint="eastAsia" w:ascii="宋体" w:hAnsi="宋体" w:eastAsia="宋体" w:cs="宋体"/>
                <w:sz w:val="18"/>
                <w:szCs w:val="18"/>
              </w:rPr>
              <w:t>年一遇洪水所能淹没的区域（一级保护区除外）。</w:t>
            </w:r>
          </w:p>
        </w:tc>
        <w:tc>
          <w:tcPr>
            <w:tcW w:w="2632" w:type="dxa"/>
            <w:noWrap/>
            <w:vAlign w:val="center"/>
          </w:tcPr>
          <w:p w14:paraId="606AD77F">
            <w:pPr>
              <w:adjustRightInd w:val="0"/>
              <w:snapToGrid w:val="0"/>
              <w:ind w:firstLine="360" w:firstLineChars="200"/>
              <w:jc w:val="left"/>
              <w:rPr>
                <w:rFonts w:hint="eastAsia" w:ascii="宋体" w:hAnsi="宋体" w:eastAsia="宋体" w:cs="宋体"/>
                <w:sz w:val="18"/>
                <w:szCs w:val="18"/>
              </w:rPr>
            </w:pPr>
            <w:r>
              <w:rPr>
                <w:rFonts w:hint="eastAsia" w:ascii="宋体" w:hAnsi="宋体" w:eastAsia="宋体" w:cs="宋体"/>
                <w:sz w:val="18"/>
                <w:szCs w:val="18"/>
              </w:rPr>
              <w:t>相应的一、二级保护区水域边界线向两岸纵深约</w:t>
            </w:r>
            <w:r>
              <w:rPr>
                <w:rFonts w:hint="eastAsia" w:ascii="Times New Roman" w:hAnsi="Times New Roman" w:eastAsia="宋体" w:cs="宋体"/>
                <w:sz w:val="18"/>
                <w:szCs w:val="18"/>
              </w:rPr>
              <w:t>1000</w:t>
            </w:r>
            <w:r>
              <w:rPr>
                <w:rFonts w:hint="eastAsia" w:ascii="宋体" w:hAnsi="宋体" w:eastAsia="宋体" w:cs="宋体"/>
                <w:sz w:val="18"/>
                <w:szCs w:val="18"/>
              </w:rPr>
              <w:t>米的陆域（一级保护区除外），与联安水库二级保护区陆域相接。</w:t>
            </w:r>
          </w:p>
        </w:tc>
        <w:tc>
          <w:tcPr>
            <w:tcW w:w="720" w:type="dxa"/>
            <w:noWrap/>
            <w:vAlign w:val="center"/>
          </w:tcPr>
          <w:p w14:paraId="7D21BF4A">
            <w:pPr>
              <w:adjustRightInd w:val="0"/>
              <w:snapToGrid w:val="0"/>
              <w:jc w:val="center"/>
              <w:rPr>
                <w:rFonts w:ascii="Times New Roman" w:hAnsi="Times New Roman"/>
                <w:sz w:val="18"/>
                <w:szCs w:val="18"/>
              </w:rPr>
            </w:pPr>
            <w:r>
              <w:rPr>
                <w:rFonts w:ascii="Times New Roman" w:hAnsi="Times New Roman"/>
                <w:sz w:val="18"/>
                <w:szCs w:val="18"/>
              </w:rPr>
              <w:t>13.19</w:t>
            </w:r>
          </w:p>
        </w:tc>
        <w:tc>
          <w:tcPr>
            <w:tcW w:w="814" w:type="dxa"/>
            <w:vMerge w:val="continue"/>
            <w:noWrap/>
            <w:vAlign w:val="center"/>
          </w:tcPr>
          <w:p w14:paraId="288D0ECE">
            <w:pPr>
              <w:autoSpaceDE w:val="0"/>
              <w:autoSpaceDN w:val="0"/>
              <w:adjustRightInd w:val="0"/>
              <w:snapToGrid w:val="0"/>
              <w:rPr>
                <w:rFonts w:ascii="Times New Roman" w:hAnsi="Times New Roman"/>
                <w:sz w:val="18"/>
                <w:szCs w:val="18"/>
              </w:rPr>
            </w:pPr>
          </w:p>
        </w:tc>
        <w:tc>
          <w:tcPr>
            <w:tcW w:w="825" w:type="dxa"/>
            <w:noWrap/>
            <w:vAlign w:val="center"/>
          </w:tcPr>
          <w:p w14:paraId="7C915998">
            <w:pPr>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1984" w:type="dxa"/>
            <w:noWrap/>
            <w:vAlign w:val="center"/>
          </w:tcPr>
          <w:p w14:paraId="3B391606">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951" w:type="dxa"/>
            <w:noWrap/>
            <w:vAlign w:val="center"/>
          </w:tcPr>
          <w:p w14:paraId="5D7ADDC7">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57" w:type="dxa"/>
            <w:noWrap/>
            <w:vAlign w:val="center"/>
          </w:tcPr>
          <w:p w14:paraId="7A68AE29">
            <w:pPr>
              <w:autoSpaceDE w:val="0"/>
              <w:autoSpaceDN w:val="0"/>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458" w:type="dxa"/>
            <w:vMerge w:val="continue"/>
            <w:noWrap/>
            <w:vAlign w:val="center"/>
          </w:tcPr>
          <w:p w14:paraId="18101775">
            <w:pPr>
              <w:adjustRightInd w:val="0"/>
              <w:snapToGrid w:val="0"/>
              <w:jc w:val="center"/>
              <w:rPr>
                <w:rFonts w:ascii="Times New Roman" w:hAnsi="Times New Roman"/>
                <w:kern w:val="0"/>
                <w:sz w:val="18"/>
                <w:szCs w:val="18"/>
              </w:rPr>
            </w:pPr>
          </w:p>
        </w:tc>
      </w:tr>
      <w:tr w14:paraId="243B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jc w:val="center"/>
        </w:trPr>
        <w:tc>
          <w:tcPr>
            <w:tcW w:w="465" w:type="dxa"/>
            <w:vMerge w:val="continue"/>
            <w:noWrap/>
            <w:vAlign w:val="center"/>
          </w:tcPr>
          <w:p w14:paraId="0D42D85F">
            <w:pPr>
              <w:autoSpaceDE w:val="0"/>
              <w:autoSpaceDN w:val="0"/>
              <w:snapToGrid w:val="0"/>
              <w:jc w:val="center"/>
              <w:rPr>
                <w:rFonts w:ascii="Times New Roman" w:hAnsi="Times New Roman"/>
                <w:sz w:val="18"/>
                <w:szCs w:val="18"/>
              </w:rPr>
            </w:pPr>
          </w:p>
        </w:tc>
        <w:tc>
          <w:tcPr>
            <w:tcW w:w="811" w:type="dxa"/>
            <w:vMerge w:val="continue"/>
            <w:noWrap/>
            <w:vAlign w:val="center"/>
          </w:tcPr>
          <w:p w14:paraId="3005BF70">
            <w:pPr>
              <w:rPr>
                <w:rFonts w:hint="eastAsia" w:ascii="宋体" w:hAnsi="宋体" w:eastAsia="宋体" w:cs="宋体"/>
                <w:sz w:val="18"/>
                <w:szCs w:val="18"/>
              </w:rPr>
            </w:pPr>
          </w:p>
        </w:tc>
        <w:tc>
          <w:tcPr>
            <w:tcW w:w="780" w:type="dxa"/>
            <w:noWrap/>
            <w:vAlign w:val="center"/>
          </w:tcPr>
          <w:p w14:paraId="44898614">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准保</w:t>
            </w:r>
          </w:p>
          <w:p w14:paraId="1C6CA068">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护区</w:t>
            </w:r>
          </w:p>
        </w:tc>
        <w:tc>
          <w:tcPr>
            <w:tcW w:w="2183" w:type="dxa"/>
            <w:noWrap/>
            <w:vAlign w:val="center"/>
          </w:tcPr>
          <w:p w14:paraId="124D3CB9">
            <w:pPr>
              <w:adjustRightInd w:val="0"/>
              <w:snapToGrid w:val="0"/>
              <w:ind w:firstLine="360" w:firstLineChars="200"/>
              <w:jc w:val="left"/>
              <w:rPr>
                <w:rFonts w:hint="eastAsia" w:ascii="宋体" w:hAnsi="宋体" w:eastAsia="宋体" w:cs="宋体"/>
                <w:sz w:val="18"/>
                <w:szCs w:val="18"/>
              </w:rPr>
            </w:pPr>
            <w:r>
              <w:rPr>
                <w:rFonts w:hint="eastAsia" w:ascii="宋体" w:hAnsi="宋体" w:eastAsia="宋体" w:cs="宋体"/>
                <w:sz w:val="18"/>
                <w:szCs w:val="18"/>
              </w:rPr>
              <w:t>福和水厂取水口沿里汾河上游</w:t>
            </w:r>
            <w:r>
              <w:rPr>
                <w:rFonts w:hint="eastAsia" w:ascii="Times New Roman" w:hAnsi="Times New Roman" w:eastAsia="宋体" w:cs="宋体"/>
                <w:sz w:val="18"/>
                <w:szCs w:val="18"/>
              </w:rPr>
              <w:t>3500</w:t>
            </w:r>
            <w:r>
              <w:rPr>
                <w:rFonts w:hint="eastAsia" w:ascii="宋体" w:hAnsi="宋体" w:eastAsia="宋体" w:cs="宋体"/>
                <w:sz w:val="18"/>
                <w:szCs w:val="18"/>
              </w:rPr>
              <w:t>米至</w:t>
            </w:r>
            <w:r>
              <w:rPr>
                <w:rFonts w:hint="eastAsia" w:ascii="Times New Roman" w:hAnsi="Times New Roman" w:eastAsia="宋体" w:cs="宋体"/>
                <w:sz w:val="18"/>
                <w:szCs w:val="18"/>
              </w:rPr>
              <w:t>4000</w:t>
            </w:r>
            <w:r>
              <w:rPr>
                <w:rFonts w:hint="eastAsia" w:ascii="宋体" w:hAnsi="宋体" w:eastAsia="宋体" w:cs="宋体"/>
                <w:sz w:val="18"/>
                <w:szCs w:val="18"/>
              </w:rPr>
              <w:t>米的河段，</w:t>
            </w:r>
            <w:r>
              <w:rPr>
                <w:rFonts w:hint="eastAsia" w:ascii="Times New Roman" w:hAnsi="Times New Roman" w:eastAsia="宋体" w:cs="宋体"/>
                <w:sz w:val="18"/>
                <w:szCs w:val="18"/>
              </w:rPr>
              <w:t>10</w:t>
            </w:r>
            <w:r>
              <w:rPr>
                <w:rFonts w:hint="eastAsia" w:ascii="宋体" w:hAnsi="宋体" w:eastAsia="宋体" w:cs="宋体"/>
                <w:sz w:val="18"/>
                <w:szCs w:val="18"/>
              </w:rPr>
              <w:t>年一遇洪水所能淹没的区域。</w:t>
            </w:r>
          </w:p>
        </w:tc>
        <w:tc>
          <w:tcPr>
            <w:tcW w:w="2632" w:type="dxa"/>
            <w:noWrap/>
            <w:vAlign w:val="center"/>
          </w:tcPr>
          <w:p w14:paraId="2DBC7FBE">
            <w:pPr>
              <w:adjustRightInd w:val="0"/>
              <w:snapToGrid w:val="0"/>
              <w:ind w:firstLine="360" w:firstLineChars="200"/>
              <w:jc w:val="left"/>
              <w:rPr>
                <w:rFonts w:hint="eastAsia" w:ascii="宋体" w:hAnsi="宋体" w:eastAsia="宋体" w:cs="宋体"/>
                <w:sz w:val="18"/>
                <w:szCs w:val="18"/>
              </w:rPr>
            </w:pPr>
            <w:r>
              <w:rPr>
                <w:rFonts w:hint="eastAsia" w:ascii="宋体" w:hAnsi="宋体" w:eastAsia="宋体" w:cs="宋体"/>
                <w:sz w:val="18"/>
                <w:szCs w:val="18"/>
              </w:rPr>
              <w:t>相应的准保护区水域边界线向两岸纵深约</w:t>
            </w:r>
            <w:r>
              <w:rPr>
                <w:rFonts w:hint="eastAsia" w:ascii="Times New Roman" w:hAnsi="Times New Roman" w:eastAsia="宋体" w:cs="宋体"/>
                <w:sz w:val="18"/>
                <w:szCs w:val="18"/>
              </w:rPr>
              <w:t>1000</w:t>
            </w:r>
            <w:r>
              <w:rPr>
                <w:rFonts w:hint="eastAsia" w:ascii="宋体" w:hAnsi="宋体" w:eastAsia="宋体" w:cs="宋体"/>
                <w:sz w:val="18"/>
                <w:szCs w:val="18"/>
              </w:rPr>
              <w:t>米的陆域。</w:t>
            </w:r>
          </w:p>
        </w:tc>
        <w:tc>
          <w:tcPr>
            <w:tcW w:w="720" w:type="dxa"/>
            <w:noWrap/>
            <w:vAlign w:val="center"/>
          </w:tcPr>
          <w:p w14:paraId="2372B07F">
            <w:pPr>
              <w:adjustRightInd w:val="0"/>
              <w:snapToGrid w:val="0"/>
              <w:jc w:val="center"/>
              <w:rPr>
                <w:rFonts w:ascii="Times New Roman" w:hAnsi="Times New Roman"/>
                <w:sz w:val="18"/>
                <w:szCs w:val="18"/>
              </w:rPr>
            </w:pPr>
            <w:r>
              <w:rPr>
                <w:rFonts w:ascii="Times New Roman" w:hAnsi="Times New Roman"/>
                <w:sz w:val="18"/>
                <w:szCs w:val="18"/>
              </w:rPr>
              <w:t>1.45</w:t>
            </w:r>
          </w:p>
        </w:tc>
        <w:tc>
          <w:tcPr>
            <w:tcW w:w="814" w:type="dxa"/>
            <w:noWrap/>
            <w:vAlign w:val="center"/>
          </w:tcPr>
          <w:p w14:paraId="42DE154A">
            <w:pPr>
              <w:autoSpaceDE w:val="0"/>
              <w:autoSpaceDN w:val="0"/>
              <w:adjustRightInd w:val="0"/>
              <w:snapToGrid w:val="0"/>
              <w:rPr>
                <w:rFonts w:ascii="Times New Roman" w:hAnsi="Times New Roman"/>
                <w:sz w:val="18"/>
                <w:szCs w:val="18"/>
              </w:rPr>
            </w:pPr>
          </w:p>
        </w:tc>
        <w:tc>
          <w:tcPr>
            <w:tcW w:w="825" w:type="dxa"/>
            <w:noWrap/>
            <w:vAlign w:val="center"/>
          </w:tcPr>
          <w:p w14:paraId="04DA8966">
            <w:pPr>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1984" w:type="dxa"/>
            <w:noWrap/>
            <w:vAlign w:val="center"/>
          </w:tcPr>
          <w:p w14:paraId="4ECABB4E">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951" w:type="dxa"/>
            <w:noWrap/>
            <w:vAlign w:val="center"/>
          </w:tcPr>
          <w:p w14:paraId="452602F2">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57" w:type="dxa"/>
            <w:noWrap/>
            <w:vAlign w:val="center"/>
          </w:tcPr>
          <w:p w14:paraId="1918FCAB">
            <w:pPr>
              <w:autoSpaceDE w:val="0"/>
              <w:autoSpaceDN w:val="0"/>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458" w:type="dxa"/>
            <w:vMerge w:val="continue"/>
            <w:noWrap/>
            <w:vAlign w:val="center"/>
          </w:tcPr>
          <w:p w14:paraId="402517B0">
            <w:pPr>
              <w:adjustRightInd w:val="0"/>
              <w:snapToGrid w:val="0"/>
              <w:jc w:val="center"/>
              <w:rPr>
                <w:rFonts w:ascii="Times New Roman" w:hAnsi="Times New Roman"/>
                <w:kern w:val="0"/>
                <w:sz w:val="18"/>
                <w:szCs w:val="18"/>
              </w:rPr>
            </w:pPr>
          </w:p>
        </w:tc>
      </w:tr>
      <w:tr w14:paraId="6839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465" w:type="dxa"/>
            <w:vMerge w:val="restart"/>
            <w:noWrap/>
            <w:vAlign w:val="center"/>
          </w:tcPr>
          <w:p w14:paraId="755F3934">
            <w:pPr>
              <w:autoSpaceDE w:val="0"/>
              <w:autoSpaceDN w:val="0"/>
              <w:snapToGrid w:val="0"/>
              <w:jc w:val="center"/>
              <w:rPr>
                <w:rFonts w:ascii="Times New Roman" w:hAnsi="Times New Roman"/>
                <w:sz w:val="18"/>
                <w:szCs w:val="18"/>
              </w:rPr>
            </w:pPr>
            <w:r>
              <w:rPr>
                <w:rFonts w:ascii="Times New Roman" w:hAnsi="Times New Roman"/>
                <w:sz w:val="18"/>
                <w:szCs w:val="18"/>
              </w:rPr>
              <w:t>3</w:t>
            </w:r>
          </w:p>
        </w:tc>
        <w:tc>
          <w:tcPr>
            <w:tcW w:w="811" w:type="dxa"/>
            <w:vMerge w:val="restart"/>
            <w:noWrap/>
            <w:vAlign w:val="center"/>
          </w:tcPr>
          <w:p w14:paraId="37FBC694">
            <w:pPr>
              <w:autoSpaceDE w:val="0"/>
              <w:autoSpaceDN w:val="0"/>
              <w:snapToGrid w:val="0"/>
              <w:jc w:val="left"/>
              <w:rPr>
                <w:rFonts w:hint="eastAsia" w:ascii="宋体" w:hAnsi="宋体" w:eastAsia="宋体" w:cs="宋体"/>
                <w:sz w:val="18"/>
                <w:szCs w:val="18"/>
              </w:rPr>
            </w:pPr>
            <w:r>
              <w:rPr>
                <w:rFonts w:hint="eastAsia" w:ascii="宋体" w:hAnsi="宋体" w:eastAsia="宋体" w:cs="宋体"/>
                <w:sz w:val="18"/>
                <w:szCs w:val="18"/>
              </w:rPr>
              <w:t>联安水库饮用水水源保护区</w:t>
            </w:r>
          </w:p>
        </w:tc>
        <w:tc>
          <w:tcPr>
            <w:tcW w:w="780" w:type="dxa"/>
            <w:noWrap/>
            <w:vAlign w:val="center"/>
          </w:tcPr>
          <w:p w14:paraId="50F9D779">
            <w:pPr>
              <w:autoSpaceDE w:val="0"/>
              <w:autoSpaceDN w:val="0"/>
              <w:snapToGrid w:val="0"/>
              <w:jc w:val="center"/>
              <w:rPr>
                <w:rFonts w:hint="eastAsia" w:ascii="宋体" w:hAnsi="宋体" w:eastAsia="宋体" w:cs="宋体"/>
                <w:sz w:val="18"/>
                <w:szCs w:val="18"/>
              </w:rPr>
            </w:pPr>
            <w:r>
              <w:rPr>
                <w:rFonts w:hint="eastAsia" w:ascii="宋体" w:hAnsi="宋体" w:eastAsia="宋体" w:cs="宋体"/>
                <w:sz w:val="18"/>
                <w:szCs w:val="18"/>
              </w:rPr>
              <w:t>一级保护区</w:t>
            </w:r>
          </w:p>
        </w:tc>
        <w:tc>
          <w:tcPr>
            <w:tcW w:w="2183" w:type="dxa"/>
            <w:noWrap/>
            <w:vAlign w:val="center"/>
          </w:tcPr>
          <w:p w14:paraId="6F81559B">
            <w:pPr>
              <w:autoSpaceDE w:val="0"/>
              <w:autoSpaceDN w:val="0"/>
              <w:adjustRightInd w:val="0"/>
              <w:snapToGrid w:val="0"/>
              <w:ind w:firstLine="360" w:firstLineChars="200"/>
              <w:jc w:val="left"/>
              <w:rPr>
                <w:rFonts w:hint="eastAsia" w:ascii="宋体" w:hAnsi="宋体" w:eastAsia="宋体" w:cs="宋体"/>
                <w:sz w:val="18"/>
                <w:szCs w:val="18"/>
              </w:rPr>
            </w:pPr>
            <w:r>
              <w:rPr>
                <w:rFonts w:hint="eastAsia" w:ascii="宋体" w:hAnsi="宋体" w:eastAsia="宋体" w:cs="宋体"/>
                <w:kern w:val="0"/>
                <w:sz w:val="18"/>
                <w:szCs w:val="18"/>
              </w:rPr>
              <w:t>水库多年平均水位对应的高程线内的区域。</w:t>
            </w:r>
          </w:p>
        </w:tc>
        <w:tc>
          <w:tcPr>
            <w:tcW w:w="2632" w:type="dxa"/>
            <w:noWrap/>
            <w:vAlign w:val="center"/>
          </w:tcPr>
          <w:p w14:paraId="36F0AF87">
            <w:pPr>
              <w:adjustRightInd w:val="0"/>
              <w:snapToGrid w:val="0"/>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w:t>
            </w:r>
          </w:p>
        </w:tc>
        <w:tc>
          <w:tcPr>
            <w:tcW w:w="720" w:type="dxa"/>
            <w:noWrap/>
            <w:vAlign w:val="center"/>
          </w:tcPr>
          <w:p w14:paraId="5DBCD45E">
            <w:pPr>
              <w:adjustRightInd w:val="0"/>
              <w:snapToGrid w:val="0"/>
              <w:jc w:val="center"/>
              <w:rPr>
                <w:rFonts w:ascii="Times New Roman" w:hAnsi="Times New Roman"/>
                <w:sz w:val="18"/>
                <w:szCs w:val="18"/>
              </w:rPr>
            </w:pPr>
            <w:r>
              <w:rPr>
                <w:rFonts w:ascii="Times New Roman" w:hAnsi="Times New Roman"/>
                <w:sz w:val="18"/>
                <w:szCs w:val="18"/>
              </w:rPr>
              <w:t>1.78</w:t>
            </w:r>
          </w:p>
        </w:tc>
        <w:tc>
          <w:tcPr>
            <w:tcW w:w="814" w:type="dxa"/>
            <w:vMerge w:val="restart"/>
            <w:noWrap/>
            <w:vAlign w:val="center"/>
          </w:tcPr>
          <w:p w14:paraId="68A1FA48">
            <w:pPr>
              <w:autoSpaceDE w:val="0"/>
              <w:autoSpaceDN w:val="0"/>
              <w:adjustRightInd w:val="0"/>
              <w:snapToGrid w:val="0"/>
              <w:rPr>
                <w:rFonts w:ascii="Times New Roman" w:hAnsi="Times New Roman"/>
                <w:sz w:val="18"/>
                <w:szCs w:val="18"/>
              </w:rPr>
            </w:pPr>
            <w:r>
              <w:rPr>
                <w:rFonts w:hint="eastAsia" w:ascii="Times New Roman" w:hAnsi="Times New Roman"/>
                <w:sz w:val="18"/>
                <w:szCs w:val="18"/>
              </w:rPr>
              <w:t>联安</w:t>
            </w:r>
            <w:r>
              <w:rPr>
                <w:rFonts w:ascii="Times New Roman" w:hAnsi="Times New Roman"/>
                <w:sz w:val="18"/>
                <w:szCs w:val="18"/>
              </w:rPr>
              <w:t>水库饮用水水源保护区</w:t>
            </w:r>
          </w:p>
        </w:tc>
        <w:tc>
          <w:tcPr>
            <w:tcW w:w="825" w:type="dxa"/>
            <w:noWrap/>
            <w:vAlign w:val="center"/>
          </w:tcPr>
          <w:p w14:paraId="1482826D">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一级保护区</w:t>
            </w:r>
          </w:p>
        </w:tc>
        <w:tc>
          <w:tcPr>
            <w:tcW w:w="1984" w:type="dxa"/>
            <w:noWrap/>
            <w:vAlign w:val="center"/>
          </w:tcPr>
          <w:p w14:paraId="7F405929">
            <w:pPr>
              <w:adjustRightInd w:val="0"/>
              <w:snapToGrid w:val="0"/>
              <w:ind w:firstLine="360" w:firstLineChars="200"/>
              <w:rPr>
                <w:rFonts w:ascii="Times New Roman" w:hAnsi="Times New Roman"/>
                <w:sz w:val="18"/>
                <w:szCs w:val="18"/>
              </w:rPr>
            </w:pPr>
            <w:r>
              <w:rPr>
                <w:rFonts w:ascii="Times New Roman" w:hAnsi="Times New Roman"/>
                <w:kern w:val="0"/>
                <w:sz w:val="18"/>
                <w:szCs w:val="18"/>
              </w:rPr>
              <w:t>水库多年平均水位对应的高程线内的区域。</w:t>
            </w:r>
          </w:p>
        </w:tc>
        <w:tc>
          <w:tcPr>
            <w:tcW w:w="2951" w:type="dxa"/>
            <w:noWrap/>
            <w:vAlign w:val="center"/>
          </w:tcPr>
          <w:p w14:paraId="53DA216B">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57" w:type="dxa"/>
            <w:noWrap/>
            <w:vAlign w:val="center"/>
          </w:tcPr>
          <w:p w14:paraId="6C9D182F">
            <w:pPr>
              <w:adjustRightInd w:val="0"/>
              <w:snapToGrid w:val="0"/>
              <w:jc w:val="center"/>
              <w:rPr>
                <w:rFonts w:ascii="Times New Roman" w:hAnsi="Times New Roman"/>
                <w:sz w:val="18"/>
                <w:szCs w:val="18"/>
              </w:rPr>
            </w:pPr>
            <w:r>
              <w:rPr>
                <w:rFonts w:ascii="Times New Roman" w:hAnsi="Times New Roman"/>
                <w:sz w:val="18"/>
                <w:szCs w:val="18"/>
              </w:rPr>
              <w:t>1.78</w:t>
            </w:r>
          </w:p>
        </w:tc>
        <w:tc>
          <w:tcPr>
            <w:tcW w:w="458" w:type="dxa"/>
            <w:vMerge w:val="restart"/>
            <w:noWrap/>
            <w:vAlign w:val="center"/>
          </w:tcPr>
          <w:p w14:paraId="55ED7348">
            <w:pPr>
              <w:adjustRightInd w:val="0"/>
              <w:snapToGrid w:val="0"/>
              <w:jc w:val="center"/>
              <w:rPr>
                <w:rFonts w:ascii="Times New Roman" w:hAnsi="Times New Roman"/>
                <w:kern w:val="0"/>
                <w:sz w:val="18"/>
                <w:szCs w:val="18"/>
              </w:rPr>
            </w:pPr>
            <w:r>
              <w:rPr>
                <w:rFonts w:ascii="Times New Roman" w:hAnsi="Times New Roman"/>
                <w:kern w:val="0"/>
                <w:sz w:val="18"/>
                <w:szCs w:val="18"/>
              </w:rPr>
              <w:t>调整</w:t>
            </w:r>
          </w:p>
        </w:tc>
      </w:tr>
      <w:tr w14:paraId="5368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465" w:type="dxa"/>
            <w:vMerge w:val="continue"/>
            <w:noWrap/>
            <w:vAlign w:val="center"/>
          </w:tcPr>
          <w:p w14:paraId="069689AC">
            <w:pPr>
              <w:widowControl/>
              <w:snapToGrid w:val="0"/>
              <w:jc w:val="left"/>
              <w:rPr>
                <w:rFonts w:ascii="Times New Roman" w:hAnsi="Times New Roman"/>
                <w:sz w:val="18"/>
                <w:szCs w:val="18"/>
              </w:rPr>
            </w:pPr>
          </w:p>
        </w:tc>
        <w:tc>
          <w:tcPr>
            <w:tcW w:w="811" w:type="dxa"/>
            <w:vMerge w:val="continue"/>
            <w:noWrap/>
            <w:vAlign w:val="center"/>
          </w:tcPr>
          <w:p w14:paraId="6C70616D">
            <w:pPr>
              <w:widowControl/>
              <w:snapToGrid w:val="0"/>
              <w:jc w:val="left"/>
              <w:rPr>
                <w:rFonts w:hint="eastAsia" w:ascii="宋体" w:hAnsi="宋体" w:eastAsia="宋体" w:cs="宋体"/>
                <w:sz w:val="18"/>
                <w:szCs w:val="18"/>
              </w:rPr>
            </w:pPr>
          </w:p>
        </w:tc>
        <w:tc>
          <w:tcPr>
            <w:tcW w:w="780" w:type="dxa"/>
            <w:noWrap/>
            <w:vAlign w:val="center"/>
          </w:tcPr>
          <w:p w14:paraId="07DC9519">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二级保护区</w:t>
            </w:r>
          </w:p>
        </w:tc>
        <w:tc>
          <w:tcPr>
            <w:tcW w:w="2183" w:type="dxa"/>
            <w:noWrap/>
            <w:vAlign w:val="center"/>
          </w:tcPr>
          <w:p w14:paraId="562F5BAA">
            <w:pPr>
              <w:adjustRightInd w:val="0"/>
              <w:snapToGrid w:val="0"/>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w:t>
            </w:r>
          </w:p>
        </w:tc>
        <w:tc>
          <w:tcPr>
            <w:tcW w:w="2632" w:type="dxa"/>
            <w:noWrap/>
            <w:vAlign w:val="center"/>
          </w:tcPr>
          <w:p w14:paraId="5C08021E">
            <w:pPr>
              <w:autoSpaceDE w:val="0"/>
              <w:autoSpaceDN w:val="0"/>
              <w:adjustRightInd w:val="0"/>
              <w:snapToGrid w:val="0"/>
              <w:ind w:firstLine="360" w:firstLineChars="200"/>
              <w:jc w:val="left"/>
              <w:rPr>
                <w:rFonts w:hint="eastAsia" w:ascii="宋体" w:hAnsi="宋体" w:eastAsia="宋体" w:cs="宋体"/>
                <w:sz w:val="18"/>
                <w:szCs w:val="18"/>
              </w:rPr>
            </w:pPr>
            <w:r>
              <w:rPr>
                <w:rFonts w:hint="eastAsia" w:ascii="宋体" w:hAnsi="宋体" w:eastAsia="宋体" w:cs="宋体"/>
                <w:kern w:val="0"/>
                <w:sz w:val="18"/>
                <w:szCs w:val="18"/>
              </w:rPr>
              <w:t>从水库坝下向北经</w:t>
            </w:r>
            <w:r>
              <w:rPr>
                <w:rFonts w:hint="eastAsia" w:ascii="Times New Roman" w:hAnsi="Times New Roman" w:eastAsia="宋体" w:cs="宋体"/>
                <w:kern w:val="0"/>
                <w:sz w:val="18"/>
                <w:szCs w:val="18"/>
              </w:rPr>
              <w:t>237</w:t>
            </w:r>
            <w:r>
              <w:rPr>
                <w:rFonts w:hint="eastAsia" w:ascii="宋体" w:hAnsi="宋体" w:eastAsia="宋体" w:cs="宋体"/>
                <w:kern w:val="0"/>
                <w:sz w:val="18"/>
                <w:szCs w:val="18"/>
              </w:rPr>
              <w:t xml:space="preserve"> 高地，向北过大田围，向东过新村、高岭、中心村，向西南过暗塘、窑山回水库坝下。</w:t>
            </w:r>
          </w:p>
        </w:tc>
        <w:tc>
          <w:tcPr>
            <w:tcW w:w="720" w:type="dxa"/>
            <w:noWrap/>
            <w:vAlign w:val="center"/>
          </w:tcPr>
          <w:p w14:paraId="0F8F1D20">
            <w:pPr>
              <w:adjustRightInd w:val="0"/>
              <w:snapToGrid w:val="0"/>
              <w:jc w:val="center"/>
              <w:rPr>
                <w:rFonts w:ascii="Times New Roman" w:hAnsi="Times New Roman"/>
                <w:sz w:val="18"/>
                <w:szCs w:val="18"/>
              </w:rPr>
            </w:pPr>
            <w:r>
              <w:rPr>
                <w:rFonts w:ascii="Times New Roman" w:hAnsi="Times New Roman"/>
                <w:sz w:val="18"/>
                <w:szCs w:val="18"/>
              </w:rPr>
              <w:t>6.71</w:t>
            </w:r>
          </w:p>
        </w:tc>
        <w:tc>
          <w:tcPr>
            <w:tcW w:w="814" w:type="dxa"/>
            <w:vMerge w:val="continue"/>
            <w:noWrap/>
            <w:vAlign w:val="center"/>
          </w:tcPr>
          <w:p w14:paraId="30710A02">
            <w:pPr>
              <w:widowControl/>
              <w:adjustRightInd w:val="0"/>
              <w:snapToGrid w:val="0"/>
              <w:rPr>
                <w:rFonts w:ascii="Times New Roman" w:hAnsi="Times New Roman"/>
                <w:sz w:val="18"/>
                <w:szCs w:val="18"/>
              </w:rPr>
            </w:pPr>
          </w:p>
        </w:tc>
        <w:tc>
          <w:tcPr>
            <w:tcW w:w="825" w:type="dxa"/>
            <w:noWrap/>
            <w:vAlign w:val="center"/>
          </w:tcPr>
          <w:p w14:paraId="78E40B00">
            <w:pPr>
              <w:adjustRightInd w:val="0"/>
              <w:snapToGrid w:val="0"/>
              <w:jc w:val="center"/>
              <w:rPr>
                <w:rFonts w:ascii="Times New Roman" w:hAnsi="Times New Roman"/>
                <w:sz w:val="18"/>
                <w:szCs w:val="18"/>
              </w:rPr>
            </w:pPr>
            <w:r>
              <w:rPr>
                <w:rFonts w:ascii="Times New Roman" w:hAnsi="Times New Roman"/>
                <w:sz w:val="18"/>
                <w:szCs w:val="18"/>
              </w:rPr>
              <w:t>二级保护区</w:t>
            </w:r>
          </w:p>
        </w:tc>
        <w:tc>
          <w:tcPr>
            <w:tcW w:w="1984" w:type="dxa"/>
            <w:noWrap/>
            <w:vAlign w:val="center"/>
          </w:tcPr>
          <w:p w14:paraId="0767B434">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951" w:type="dxa"/>
            <w:noWrap/>
            <w:vAlign w:val="center"/>
          </w:tcPr>
          <w:p w14:paraId="0D50DF44">
            <w:pPr>
              <w:adjustRightInd w:val="0"/>
              <w:snapToGrid w:val="0"/>
              <w:ind w:firstLine="360" w:firstLineChars="200"/>
              <w:rPr>
                <w:rFonts w:ascii="Times New Roman" w:hAnsi="Times New Roman"/>
                <w:sz w:val="18"/>
                <w:szCs w:val="18"/>
              </w:rPr>
            </w:pPr>
            <w:r>
              <w:rPr>
                <w:rFonts w:ascii="Times New Roman" w:hAnsi="Times New Roman"/>
                <w:kern w:val="0"/>
                <w:sz w:val="18"/>
                <w:szCs w:val="18"/>
              </w:rPr>
              <w:t>从水库坝下向东经张山，向北过灶吓冚、梅子山、高岭至中心村，向西南过石牙窝、大帽顶、高朗山回水库坝下。</w:t>
            </w:r>
          </w:p>
        </w:tc>
        <w:tc>
          <w:tcPr>
            <w:tcW w:w="757" w:type="dxa"/>
            <w:noWrap/>
            <w:vAlign w:val="center"/>
          </w:tcPr>
          <w:p w14:paraId="3BCC30C6">
            <w:pPr>
              <w:adjustRightInd w:val="0"/>
              <w:snapToGrid w:val="0"/>
              <w:jc w:val="center"/>
              <w:rPr>
                <w:rFonts w:ascii="Times New Roman" w:hAnsi="Times New Roman"/>
                <w:sz w:val="18"/>
                <w:szCs w:val="18"/>
              </w:rPr>
            </w:pPr>
            <w:r>
              <w:rPr>
                <w:rFonts w:ascii="Times New Roman" w:hAnsi="Times New Roman"/>
                <w:sz w:val="18"/>
                <w:szCs w:val="18"/>
              </w:rPr>
              <w:t>8.74</w:t>
            </w:r>
          </w:p>
        </w:tc>
        <w:tc>
          <w:tcPr>
            <w:tcW w:w="458" w:type="dxa"/>
            <w:vMerge w:val="continue"/>
            <w:noWrap/>
            <w:vAlign w:val="center"/>
          </w:tcPr>
          <w:p w14:paraId="5A350989">
            <w:pPr>
              <w:widowControl/>
              <w:snapToGrid w:val="0"/>
              <w:jc w:val="center"/>
              <w:rPr>
                <w:rFonts w:ascii="Times New Roman" w:hAnsi="Times New Roman"/>
                <w:kern w:val="0"/>
                <w:sz w:val="18"/>
                <w:szCs w:val="18"/>
              </w:rPr>
            </w:pPr>
          </w:p>
        </w:tc>
      </w:tr>
      <w:tr w14:paraId="236F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465" w:type="dxa"/>
            <w:vMerge w:val="continue"/>
            <w:noWrap/>
            <w:vAlign w:val="center"/>
          </w:tcPr>
          <w:p w14:paraId="5FA3B0E5">
            <w:pPr>
              <w:widowControl/>
              <w:snapToGrid w:val="0"/>
              <w:jc w:val="left"/>
              <w:rPr>
                <w:rFonts w:ascii="Times New Roman" w:hAnsi="Times New Roman"/>
                <w:sz w:val="18"/>
                <w:szCs w:val="18"/>
              </w:rPr>
            </w:pPr>
          </w:p>
        </w:tc>
        <w:tc>
          <w:tcPr>
            <w:tcW w:w="811" w:type="dxa"/>
            <w:vMerge w:val="continue"/>
            <w:noWrap/>
            <w:vAlign w:val="center"/>
          </w:tcPr>
          <w:p w14:paraId="10F9FDF9">
            <w:pPr>
              <w:widowControl/>
              <w:snapToGrid w:val="0"/>
              <w:jc w:val="left"/>
              <w:rPr>
                <w:rFonts w:ascii="Times New Roman" w:hAnsi="Times New Roman"/>
                <w:sz w:val="18"/>
                <w:szCs w:val="18"/>
              </w:rPr>
            </w:pPr>
          </w:p>
        </w:tc>
        <w:tc>
          <w:tcPr>
            <w:tcW w:w="780" w:type="dxa"/>
            <w:noWrap/>
            <w:vAlign w:val="center"/>
          </w:tcPr>
          <w:p w14:paraId="15EDD5F3">
            <w:pPr>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2183" w:type="dxa"/>
            <w:noWrap/>
            <w:vAlign w:val="center"/>
          </w:tcPr>
          <w:p w14:paraId="69874BFD">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632" w:type="dxa"/>
            <w:noWrap/>
            <w:vAlign w:val="center"/>
          </w:tcPr>
          <w:p w14:paraId="18090302">
            <w:pPr>
              <w:autoSpaceDE w:val="0"/>
              <w:autoSpaceDN w:val="0"/>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20" w:type="dxa"/>
            <w:noWrap/>
            <w:vAlign w:val="center"/>
          </w:tcPr>
          <w:p w14:paraId="59739CA5">
            <w:pPr>
              <w:adjustRightInd w:val="0"/>
              <w:snapToGrid w:val="0"/>
              <w:jc w:val="center"/>
              <w:rPr>
                <w:rFonts w:ascii="Times New Roman" w:hAnsi="Times New Roman"/>
                <w:sz w:val="18"/>
                <w:szCs w:val="18"/>
              </w:rPr>
            </w:pPr>
            <w:r>
              <w:rPr>
                <w:rFonts w:hint="eastAsia" w:ascii="Times New Roman" w:hAnsi="Times New Roman"/>
                <w:sz w:val="18"/>
                <w:szCs w:val="18"/>
              </w:rPr>
              <w:t>/</w:t>
            </w:r>
          </w:p>
        </w:tc>
        <w:tc>
          <w:tcPr>
            <w:tcW w:w="814" w:type="dxa"/>
            <w:vMerge w:val="continue"/>
            <w:noWrap/>
            <w:vAlign w:val="center"/>
          </w:tcPr>
          <w:p w14:paraId="3DAF0DA1">
            <w:pPr>
              <w:widowControl/>
              <w:adjustRightInd w:val="0"/>
              <w:snapToGrid w:val="0"/>
              <w:rPr>
                <w:rFonts w:ascii="Times New Roman" w:hAnsi="Times New Roman"/>
                <w:sz w:val="18"/>
                <w:szCs w:val="18"/>
              </w:rPr>
            </w:pPr>
          </w:p>
        </w:tc>
        <w:tc>
          <w:tcPr>
            <w:tcW w:w="825" w:type="dxa"/>
            <w:noWrap/>
            <w:vAlign w:val="center"/>
          </w:tcPr>
          <w:p w14:paraId="301AC97E">
            <w:pPr>
              <w:adjustRightInd w:val="0"/>
              <w:snapToGrid w:val="0"/>
              <w:jc w:val="center"/>
              <w:rPr>
                <w:rFonts w:ascii="Times New Roman" w:hAnsi="Times New Roman"/>
                <w:sz w:val="18"/>
                <w:szCs w:val="18"/>
              </w:rPr>
            </w:pPr>
            <w:r>
              <w:rPr>
                <w:rFonts w:ascii="Times New Roman" w:hAnsi="Times New Roman"/>
                <w:sz w:val="18"/>
                <w:szCs w:val="18"/>
              </w:rPr>
              <w:t>准保护区</w:t>
            </w:r>
          </w:p>
        </w:tc>
        <w:tc>
          <w:tcPr>
            <w:tcW w:w="1984" w:type="dxa"/>
            <w:noWrap/>
            <w:vAlign w:val="center"/>
          </w:tcPr>
          <w:p w14:paraId="70E663DC">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951" w:type="dxa"/>
            <w:noWrap/>
            <w:vAlign w:val="center"/>
          </w:tcPr>
          <w:p w14:paraId="19BA1BAE">
            <w:pPr>
              <w:adjustRightInd w:val="0"/>
              <w:snapToGrid w:val="0"/>
              <w:ind w:firstLine="360" w:firstLineChars="200"/>
              <w:rPr>
                <w:rFonts w:ascii="Times New Roman" w:hAnsi="Times New Roman"/>
                <w:sz w:val="18"/>
                <w:szCs w:val="18"/>
              </w:rPr>
            </w:pPr>
            <w:r>
              <w:rPr>
                <w:rFonts w:ascii="Times New Roman" w:hAnsi="Times New Roman"/>
                <w:kern w:val="0"/>
                <w:sz w:val="18"/>
                <w:szCs w:val="18"/>
              </w:rPr>
              <w:t>从水库坝下向东经窑冚顶，向北过吊湖顶、单眼狮至中心村（二级保护区除外）。</w:t>
            </w:r>
          </w:p>
        </w:tc>
        <w:tc>
          <w:tcPr>
            <w:tcW w:w="757" w:type="dxa"/>
            <w:noWrap/>
            <w:vAlign w:val="center"/>
          </w:tcPr>
          <w:p w14:paraId="40B21305">
            <w:pPr>
              <w:adjustRightInd w:val="0"/>
              <w:snapToGrid w:val="0"/>
              <w:jc w:val="center"/>
              <w:rPr>
                <w:rFonts w:ascii="Times New Roman" w:hAnsi="Times New Roman"/>
                <w:sz w:val="18"/>
                <w:szCs w:val="18"/>
              </w:rPr>
            </w:pPr>
            <w:r>
              <w:rPr>
                <w:rFonts w:ascii="Times New Roman" w:hAnsi="Times New Roman"/>
                <w:sz w:val="18"/>
                <w:szCs w:val="18"/>
              </w:rPr>
              <w:t>3.04</w:t>
            </w:r>
          </w:p>
        </w:tc>
        <w:tc>
          <w:tcPr>
            <w:tcW w:w="458" w:type="dxa"/>
            <w:vMerge w:val="continue"/>
            <w:noWrap/>
            <w:vAlign w:val="center"/>
          </w:tcPr>
          <w:p w14:paraId="15361DEC">
            <w:pPr>
              <w:widowControl/>
              <w:snapToGrid w:val="0"/>
              <w:jc w:val="center"/>
              <w:rPr>
                <w:rFonts w:ascii="Times New Roman" w:hAnsi="Times New Roman"/>
                <w:kern w:val="0"/>
                <w:sz w:val="18"/>
                <w:szCs w:val="18"/>
              </w:rPr>
            </w:pPr>
          </w:p>
        </w:tc>
      </w:tr>
      <w:tr w14:paraId="7F7F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465" w:type="dxa"/>
            <w:vMerge w:val="restart"/>
            <w:noWrap/>
            <w:vAlign w:val="center"/>
          </w:tcPr>
          <w:p w14:paraId="7B6AD8ED">
            <w:pPr>
              <w:widowControl/>
              <w:snapToGrid w:val="0"/>
              <w:jc w:val="left"/>
              <w:rPr>
                <w:rFonts w:ascii="Times New Roman" w:hAnsi="Times New Roman"/>
                <w:sz w:val="18"/>
                <w:szCs w:val="18"/>
              </w:rPr>
            </w:pPr>
            <w:r>
              <w:rPr>
                <w:rFonts w:ascii="Times New Roman" w:hAnsi="Times New Roman"/>
                <w:sz w:val="18"/>
                <w:szCs w:val="18"/>
              </w:rPr>
              <w:t>4</w:t>
            </w:r>
          </w:p>
        </w:tc>
        <w:tc>
          <w:tcPr>
            <w:tcW w:w="811" w:type="dxa"/>
            <w:vMerge w:val="restart"/>
            <w:noWrap/>
            <w:vAlign w:val="center"/>
          </w:tcPr>
          <w:p w14:paraId="2E691276">
            <w:pPr>
              <w:autoSpaceDE w:val="0"/>
              <w:autoSpaceDN w:val="0"/>
              <w:snapToGrid w:val="0"/>
              <w:jc w:val="center"/>
              <w:rPr>
                <w:rFonts w:ascii="Times New Roman" w:hAnsi="Times New Roman"/>
                <w:sz w:val="18"/>
                <w:szCs w:val="18"/>
              </w:rPr>
            </w:pPr>
            <w:r>
              <w:rPr>
                <w:rFonts w:ascii="Times New Roman" w:hAnsi="Times New Roman"/>
                <w:sz w:val="18"/>
                <w:szCs w:val="18"/>
              </w:rPr>
              <w:t>白洞水库饮用水水源保护区</w:t>
            </w:r>
          </w:p>
        </w:tc>
        <w:tc>
          <w:tcPr>
            <w:tcW w:w="780" w:type="dxa"/>
            <w:noWrap/>
            <w:vAlign w:val="center"/>
          </w:tcPr>
          <w:p w14:paraId="2364CF37">
            <w:pPr>
              <w:autoSpaceDE w:val="0"/>
              <w:autoSpaceDN w:val="0"/>
              <w:snapToGrid w:val="0"/>
              <w:jc w:val="center"/>
              <w:rPr>
                <w:rFonts w:ascii="Times New Roman" w:hAnsi="Times New Roman"/>
                <w:sz w:val="18"/>
                <w:szCs w:val="18"/>
              </w:rPr>
            </w:pPr>
            <w:r>
              <w:rPr>
                <w:rFonts w:ascii="Times New Roman" w:hAnsi="Times New Roman"/>
                <w:sz w:val="18"/>
                <w:szCs w:val="18"/>
              </w:rPr>
              <w:t>一级保护区</w:t>
            </w:r>
          </w:p>
        </w:tc>
        <w:tc>
          <w:tcPr>
            <w:tcW w:w="2183" w:type="dxa"/>
            <w:noWrap/>
            <w:vAlign w:val="center"/>
          </w:tcPr>
          <w:p w14:paraId="2DE4EAA8">
            <w:pPr>
              <w:autoSpaceDE w:val="0"/>
              <w:autoSpaceDN w:val="0"/>
              <w:adjustRightInd w:val="0"/>
              <w:snapToGrid w:val="0"/>
              <w:ind w:firstLine="360" w:firstLineChars="200"/>
              <w:jc w:val="left"/>
              <w:rPr>
                <w:rFonts w:ascii="Times New Roman" w:hAnsi="Times New Roman"/>
                <w:sz w:val="18"/>
                <w:szCs w:val="18"/>
              </w:rPr>
            </w:pPr>
            <w:r>
              <w:rPr>
                <w:rFonts w:ascii="Times New Roman" w:hAnsi="Times New Roman"/>
                <w:kern w:val="0"/>
                <w:sz w:val="18"/>
                <w:szCs w:val="18"/>
              </w:rPr>
              <w:t>水库多年平均水位对应的高程线内的区域。</w:t>
            </w:r>
          </w:p>
        </w:tc>
        <w:tc>
          <w:tcPr>
            <w:tcW w:w="2632" w:type="dxa"/>
            <w:noWrap/>
            <w:vAlign w:val="center"/>
          </w:tcPr>
          <w:p w14:paraId="72D0E1FB">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20" w:type="dxa"/>
            <w:noWrap/>
            <w:vAlign w:val="center"/>
          </w:tcPr>
          <w:p w14:paraId="12E60617">
            <w:pPr>
              <w:adjustRightInd w:val="0"/>
              <w:snapToGrid w:val="0"/>
              <w:jc w:val="center"/>
              <w:rPr>
                <w:rFonts w:ascii="Times New Roman" w:hAnsi="Times New Roman"/>
                <w:sz w:val="18"/>
                <w:szCs w:val="18"/>
              </w:rPr>
            </w:pPr>
            <w:r>
              <w:rPr>
                <w:rFonts w:ascii="Times New Roman" w:hAnsi="Times New Roman"/>
                <w:sz w:val="18"/>
                <w:szCs w:val="18"/>
              </w:rPr>
              <w:t>0.84</w:t>
            </w:r>
          </w:p>
        </w:tc>
        <w:tc>
          <w:tcPr>
            <w:tcW w:w="814" w:type="dxa"/>
            <w:vMerge w:val="restart"/>
            <w:noWrap/>
            <w:vAlign w:val="center"/>
          </w:tcPr>
          <w:p w14:paraId="0CF61A64">
            <w:pPr>
              <w:widowControl/>
              <w:adjustRightInd w:val="0"/>
              <w:snapToGrid w:val="0"/>
              <w:rPr>
                <w:rFonts w:ascii="Times New Roman" w:hAnsi="Times New Roman"/>
                <w:sz w:val="18"/>
                <w:szCs w:val="18"/>
              </w:rPr>
            </w:pPr>
            <w:r>
              <w:rPr>
                <w:rFonts w:ascii="Times New Roman" w:hAnsi="Times New Roman"/>
                <w:sz w:val="18"/>
                <w:szCs w:val="18"/>
              </w:rPr>
              <w:t>白洞水库饮用水水源保护区</w:t>
            </w:r>
          </w:p>
        </w:tc>
        <w:tc>
          <w:tcPr>
            <w:tcW w:w="825" w:type="dxa"/>
            <w:noWrap/>
            <w:vAlign w:val="center"/>
          </w:tcPr>
          <w:p w14:paraId="5F998EC8">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一级保护区</w:t>
            </w:r>
          </w:p>
        </w:tc>
        <w:tc>
          <w:tcPr>
            <w:tcW w:w="1984" w:type="dxa"/>
            <w:noWrap/>
            <w:vAlign w:val="center"/>
          </w:tcPr>
          <w:p w14:paraId="100473CB">
            <w:pPr>
              <w:adjustRightInd w:val="0"/>
              <w:snapToGrid w:val="0"/>
              <w:ind w:firstLine="360" w:firstLineChars="200"/>
              <w:rPr>
                <w:rFonts w:ascii="Times New Roman" w:hAnsi="Times New Roman"/>
                <w:sz w:val="18"/>
                <w:szCs w:val="18"/>
              </w:rPr>
            </w:pPr>
            <w:r>
              <w:rPr>
                <w:rFonts w:ascii="Times New Roman" w:hAnsi="Times New Roman"/>
                <w:kern w:val="0"/>
                <w:sz w:val="18"/>
                <w:szCs w:val="18"/>
              </w:rPr>
              <w:t>水库多年平均水位对应的高程线内的区域。</w:t>
            </w:r>
          </w:p>
        </w:tc>
        <w:tc>
          <w:tcPr>
            <w:tcW w:w="2951" w:type="dxa"/>
            <w:noWrap/>
            <w:vAlign w:val="center"/>
          </w:tcPr>
          <w:p w14:paraId="743EB01A">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57" w:type="dxa"/>
            <w:noWrap/>
            <w:vAlign w:val="center"/>
          </w:tcPr>
          <w:p w14:paraId="61711377">
            <w:pPr>
              <w:adjustRightInd w:val="0"/>
              <w:snapToGrid w:val="0"/>
              <w:jc w:val="center"/>
              <w:rPr>
                <w:rFonts w:ascii="Times New Roman" w:hAnsi="Times New Roman"/>
                <w:sz w:val="18"/>
                <w:szCs w:val="18"/>
              </w:rPr>
            </w:pPr>
            <w:r>
              <w:rPr>
                <w:rFonts w:ascii="Times New Roman" w:hAnsi="Times New Roman"/>
                <w:sz w:val="18"/>
                <w:szCs w:val="18"/>
              </w:rPr>
              <w:t>0.84</w:t>
            </w:r>
          </w:p>
        </w:tc>
        <w:tc>
          <w:tcPr>
            <w:tcW w:w="458" w:type="dxa"/>
            <w:vMerge w:val="restart"/>
            <w:noWrap/>
            <w:vAlign w:val="center"/>
          </w:tcPr>
          <w:p w14:paraId="0DF3C552">
            <w:pPr>
              <w:widowControl/>
              <w:snapToGrid w:val="0"/>
              <w:jc w:val="center"/>
              <w:rPr>
                <w:rFonts w:ascii="Times New Roman" w:hAnsi="Times New Roman"/>
                <w:kern w:val="0"/>
                <w:sz w:val="18"/>
                <w:szCs w:val="18"/>
              </w:rPr>
            </w:pPr>
            <w:r>
              <w:rPr>
                <w:rFonts w:ascii="Times New Roman" w:hAnsi="Times New Roman"/>
                <w:kern w:val="0"/>
                <w:sz w:val="18"/>
                <w:szCs w:val="18"/>
              </w:rPr>
              <w:t>调整</w:t>
            </w:r>
          </w:p>
        </w:tc>
      </w:tr>
      <w:tr w14:paraId="2F90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465" w:type="dxa"/>
            <w:vMerge w:val="continue"/>
            <w:noWrap/>
            <w:vAlign w:val="center"/>
          </w:tcPr>
          <w:p w14:paraId="5458A7D8">
            <w:pPr>
              <w:widowControl/>
              <w:snapToGrid w:val="0"/>
              <w:jc w:val="left"/>
              <w:rPr>
                <w:rFonts w:ascii="Times New Roman" w:hAnsi="Times New Roman"/>
                <w:sz w:val="18"/>
                <w:szCs w:val="18"/>
              </w:rPr>
            </w:pPr>
          </w:p>
        </w:tc>
        <w:tc>
          <w:tcPr>
            <w:tcW w:w="811" w:type="dxa"/>
            <w:vMerge w:val="continue"/>
            <w:noWrap/>
            <w:vAlign w:val="center"/>
          </w:tcPr>
          <w:p w14:paraId="49F901D0">
            <w:pPr>
              <w:rPr>
                <w:rFonts w:ascii="Times New Roman" w:hAnsi="Times New Roman"/>
                <w:sz w:val="18"/>
                <w:szCs w:val="18"/>
              </w:rPr>
            </w:pPr>
          </w:p>
        </w:tc>
        <w:tc>
          <w:tcPr>
            <w:tcW w:w="780" w:type="dxa"/>
            <w:noWrap/>
            <w:vAlign w:val="center"/>
          </w:tcPr>
          <w:p w14:paraId="59FD56F3">
            <w:pPr>
              <w:adjustRightInd w:val="0"/>
              <w:snapToGrid w:val="0"/>
              <w:jc w:val="center"/>
              <w:rPr>
                <w:rFonts w:ascii="Times New Roman" w:hAnsi="Times New Roman"/>
                <w:sz w:val="18"/>
                <w:szCs w:val="18"/>
              </w:rPr>
            </w:pPr>
            <w:r>
              <w:rPr>
                <w:rFonts w:ascii="Times New Roman" w:hAnsi="Times New Roman"/>
                <w:sz w:val="18"/>
                <w:szCs w:val="18"/>
              </w:rPr>
              <w:t>二级保护区</w:t>
            </w:r>
          </w:p>
        </w:tc>
        <w:tc>
          <w:tcPr>
            <w:tcW w:w="2183" w:type="dxa"/>
            <w:noWrap/>
            <w:vAlign w:val="center"/>
          </w:tcPr>
          <w:p w14:paraId="72C02FE4">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632" w:type="dxa"/>
            <w:noWrap/>
            <w:vAlign w:val="center"/>
          </w:tcPr>
          <w:p w14:paraId="3153EBCA">
            <w:pPr>
              <w:autoSpaceDE w:val="0"/>
              <w:autoSpaceDN w:val="0"/>
              <w:adjustRightInd w:val="0"/>
              <w:snapToGrid w:val="0"/>
              <w:ind w:firstLine="360" w:firstLineChars="200"/>
              <w:jc w:val="left"/>
              <w:rPr>
                <w:rFonts w:ascii="Times New Roman" w:hAnsi="Times New Roman"/>
                <w:sz w:val="18"/>
                <w:szCs w:val="18"/>
              </w:rPr>
            </w:pPr>
            <w:r>
              <w:rPr>
                <w:rFonts w:ascii="Times New Roman" w:hAnsi="Times New Roman"/>
                <w:kern w:val="0"/>
                <w:sz w:val="18"/>
                <w:szCs w:val="18"/>
              </w:rPr>
              <w:t>从水库坝下向北经帽风浪，向东北经149高地，向东南经128高地，向东北经124高地，向东过西河，向西南经148高地，过木头塘回水库坝下。</w:t>
            </w:r>
          </w:p>
        </w:tc>
        <w:tc>
          <w:tcPr>
            <w:tcW w:w="720" w:type="dxa"/>
            <w:noWrap/>
            <w:vAlign w:val="center"/>
          </w:tcPr>
          <w:p w14:paraId="21146D9D">
            <w:pPr>
              <w:adjustRightInd w:val="0"/>
              <w:snapToGrid w:val="0"/>
              <w:jc w:val="center"/>
              <w:rPr>
                <w:rFonts w:ascii="Times New Roman" w:hAnsi="Times New Roman"/>
                <w:sz w:val="18"/>
                <w:szCs w:val="18"/>
              </w:rPr>
            </w:pPr>
            <w:r>
              <w:rPr>
                <w:rFonts w:ascii="Times New Roman" w:hAnsi="Times New Roman"/>
                <w:sz w:val="18"/>
                <w:szCs w:val="18"/>
              </w:rPr>
              <w:t>3.70</w:t>
            </w:r>
          </w:p>
        </w:tc>
        <w:tc>
          <w:tcPr>
            <w:tcW w:w="814" w:type="dxa"/>
            <w:vMerge w:val="continue"/>
            <w:noWrap/>
            <w:vAlign w:val="center"/>
          </w:tcPr>
          <w:p w14:paraId="0ED4CCFB">
            <w:pPr>
              <w:widowControl/>
              <w:adjustRightInd w:val="0"/>
              <w:snapToGrid w:val="0"/>
              <w:rPr>
                <w:rFonts w:ascii="Times New Roman" w:hAnsi="Times New Roman"/>
                <w:sz w:val="18"/>
                <w:szCs w:val="18"/>
              </w:rPr>
            </w:pPr>
          </w:p>
        </w:tc>
        <w:tc>
          <w:tcPr>
            <w:tcW w:w="825" w:type="dxa"/>
            <w:noWrap/>
            <w:vAlign w:val="center"/>
          </w:tcPr>
          <w:p w14:paraId="24E449E1">
            <w:pPr>
              <w:adjustRightInd w:val="0"/>
              <w:snapToGrid w:val="0"/>
              <w:jc w:val="center"/>
              <w:rPr>
                <w:rFonts w:ascii="Times New Roman" w:hAnsi="Times New Roman"/>
                <w:sz w:val="18"/>
                <w:szCs w:val="18"/>
              </w:rPr>
            </w:pPr>
            <w:r>
              <w:rPr>
                <w:rFonts w:ascii="Times New Roman" w:hAnsi="Times New Roman"/>
                <w:sz w:val="18"/>
                <w:szCs w:val="18"/>
              </w:rPr>
              <w:t>二级保护区</w:t>
            </w:r>
          </w:p>
        </w:tc>
        <w:tc>
          <w:tcPr>
            <w:tcW w:w="1984" w:type="dxa"/>
            <w:noWrap/>
            <w:vAlign w:val="center"/>
          </w:tcPr>
          <w:p w14:paraId="633B4402">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951" w:type="dxa"/>
            <w:noWrap/>
            <w:vAlign w:val="center"/>
          </w:tcPr>
          <w:p w14:paraId="3137F27B">
            <w:pPr>
              <w:adjustRightInd w:val="0"/>
              <w:snapToGrid w:val="0"/>
              <w:ind w:firstLine="360" w:firstLineChars="200"/>
              <w:rPr>
                <w:rFonts w:ascii="Times New Roman" w:hAnsi="Times New Roman"/>
                <w:sz w:val="18"/>
                <w:szCs w:val="18"/>
              </w:rPr>
            </w:pPr>
            <w:r>
              <w:rPr>
                <w:rFonts w:ascii="Times New Roman" w:hAnsi="Times New Roman"/>
                <w:kern w:val="0"/>
                <w:sz w:val="18"/>
                <w:szCs w:val="18"/>
              </w:rPr>
              <w:t>从水库坝下向西北经帽风浪、风和岭，向北经葛子冚、方屋，向东北经庙角头、赤脚，向东经鹞婆过坳，过七龙潭回水库坝下。</w:t>
            </w:r>
          </w:p>
        </w:tc>
        <w:tc>
          <w:tcPr>
            <w:tcW w:w="757" w:type="dxa"/>
            <w:noWrap/>
            <w:vAlign w:val="center"/>
          </w:tcPr>
          <w:p w14:paraId="61A03572">
            <w:pPr>
              <w:adjustRightInd w:val="0"/>
              <w:snapToGrid w:val="0"/>
              <w:jc w:val="center"/>
              <w:rPr>
                <w:rFonts w:ascii="Times New Roman" w:hAnsi="Times New Roman"/>
                <w:sz w:val="18"/>
                <w:szCs w:val="18"/>
              </w:rPr>
            </w:pPr>
            <w:r>
              <w:rPr>
                <w:rFonts w:ascii="Times New Roman" w:hAnsi="Times New Roman"/>
                <w:sz w:val="18"/>
                <w:szCs w:val="18"/>
              </w:rPr>
              <w:t>5.47</w:t>
            </w:r>
          </w:p>
        </w:tc>
        <w:tc>
          <w:tcPr>
            <w:tcW w:w="458" w:type="dxa"/>
            <w:vMerge w:val="continue"/>
            <w:noWrap/>
            <w:vAlign w:val="center"/>
          </w:tcPr>
          <w:p w14:paraId="153924C2">
            <w:pPr>
              <w:widowControl/>
              <w:snapToGrid w:val="0"/>
              <w:jc w:val="center"/>
              <w:rPr>
                <w:rFonts w:ascii="Times New Roman" w:hAnsi="Times New Roman"/>
                <w:kern w:val="0"/>
                <w:sz w:val="18"/>
                <w:szCs w:val="18"/>
              </w:rPr>
            </w:pPr>
          </w:p>
        </w:tc>
      </w:tr>
      <w:tr w14:paraId="6D6E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8" w:hRule="atLeast"/>
          <w:jc w:val="center"/>
        </w:trPr>
        <w:tc>
          <w:tcPr>
            <w:tcW w:w="465" w:type="dxa"/>
            <w:noWrap/>
            <w:vAlign w:val="center"/>
          </w:tcPr>
          <w:p w14:paraId="18510BA0">
            <w:pPr>
              <w:autoSpaceDE w:val="0"/>
              <w:autoSpaceDN w:val="0"/>
              <w:snapToGrid w:val="0"/>
              <w:jc w:val="center"/>
              <w:rPr>
                <w:rFonts w:ascii="Times New Roman" w:hAnsi="Times New Roman"/>
                <w:sz w:val="18"/>
                <w:szCs w:val="18"/>
              </w:rPr>
            </w:pPr>
            <w:r>
              <w:rPr>
                <w:rFonts w:ascii="Times New Roman" w:hAnsi="Times New Roman"/>
                <w:sz w:val="18"/>
                <w:szCs w:val="18"/>
              </w:rPr>
              <w:t>5</w:t>
            </w:r>
          </w:p>
        </w:tc>
        <w:tc>
          <w:tcPr>
            <w:tcW w:w="811" w:type="dxa"/>
            <w:noWrap/>
            <w:vAlign w:val="center"/>
          </w:tcPr>
          <w:p w14:paraId="5EF1F2C5">
            <w:pPr>
              <w:autoSpaceDE w:val="0"/>
              <w:autoSpaceDN w:val="0"/>
              <w:snapToGrid w:val="0"/>
              <w:jc w:val="left"/>
              <w:rPr>
                <w:rFonts w:ascii="Times New Roman" w:hAnsi="Times New Roman"/>
                <w:sz w:val="18"/>
                <w:szCs w:val="18"/>
              </w:rPr>
            </w:pPr>
            <w:r>
              <w:rPr>
                <w:rFonts w:ascii="Times New Roman" w:hAnsi="Times New Roman"/>
                <w:sz w:val="18"/>
                <w:szCs w:val="18"/>
              </w:rPr>
              <w:t>东江北干流饮用水水源保护区</w:t>
            </w:r>
          </w:p>
        </w:tc>
        <w:tc>
          <w:tcPr>
            <w:tcW w:w="780" w:type="dxa"/>
            <w:noWrap/>
            <w:vAlign w:val="center"/>
          </w:tcPr>
          <w:p w14:paraId="227AA871">
            <w:pPr>
              <w:autoSpaceDE w:val="0"/>
              <w:autoSpaceDN w:val="0"/>
              <w:snapToGrid w:val="0"/>
              <w:jc w:val="center"/>
              <w:rPr>
                <w:rFonts w:ascii="Times New Roman" w:hAnsi="Times New Roman"/>
                <w:sz w:val="18"/>
                <w:szCs w:val="18"/>
              </w:rPr>
            </w:pPr>
            <w:r>
              <w:rPr>
                <w:rFonts w:ascii="Times New Roman" w:hAnsi="Times New Roman"/>
                <w:sz w:val="18"/>
                <w:szCs w:val="18"/>
              </w:rPr>
              <w:t>一级保护区</w:t>
            </w:r>
          </w:p>
        </w:tc>
        <w:tc>
          <w:tcPr>
            <w:tcW w:w="2183" w:type="dxa"/>
            <w:noWrap/>
            <w:vAlign w:val="center"/>
          </w:tcPr>
          <w:p w14:paraId="52251FA4">
            <w:pPr>
              <w:shd w:val="clear" w:color="auto" w:fill="FFFFFF"/>
              <w:adjustRightInd w:val="0"/>
              <w:snapToGrid w:val="0"/>
              <w:ind w:firstLine="360" w:firstLineChars="200"/>
              <w:jc w:val="left"/>
              <w:rPr>
                <w:rFonts w:ascii="Times New Roman" w:hAnsi="Times New Roman"/>
                <w:sz w:val="18"/>
                <w:szCs w:val="18"/>
                <w:shd w:val="clear" w:color="auto" w:fill="FFFFFF"/>
              </w:rPr>
            </w:pPr>
            <w:r>
              <w:rPr>
                <w:rFonts w:ascii="Times New Roman" w:hAnsi="Times New Roman"/>
                <w:sz w:val="18"/>
                <w:szCs w:val="18"/>
                <w:shd w:val="clear" w:color="auto" w:fill="FFFFFF"/>
              </w:rPr>
              <w:t>新塘水厂与西洲水厂取水口（两水厂同一取水口）上游1000米至取水口下游1000米的河段，河道中泓线至取水口一侧防洪堤迎水坡坡顶之间的水域。</w:t>
            </w:r>
          </w:p>
          <w:p w14:paraId="2410F539">
            <w:pPr>
              <w:shd w:val="clear" w:color="auto" w:fill="FFFFFF"/>
              <w:adjustRightInd w:val="0"/>
              <w:snapToGrid w:val="0"/>
              <w:ind w:firstLine="360" w:firstLineChars="200"/>
              <w:jc w:val="left"/>
              <w:rPr>
                <w:rFonts w:ascii="Times New Roman" w:hAnsi="Times New Roman"/>
                <w:sz w:val="18"/>
                <w:szCs w:val="18"/>
              </w:rPr>
            </w:pPr>
            <w:r>
              <w:rPr>
                <w:rFonts w:ascii="Times New Roman" w:hAnsi="Times New Roman"/>
                <w:sz w:val="18"/>
                <w:szCs w:val="18"/>
                <w:shd w:val="clear" w:color="auto" w:fill="FFFFFF"/>
              </w:rPr>
              <w:t>新和水厂取水口上游1000米至取水口下游1000米的河段，河道中泓线至取水口一侧防洪堤迎水坡坡顶之间的水域。</w:t>
            </w:r>
          </w:p>
        </w:tc>
        <w:tc>
          <w:tcPr>
            <w:tcW w:w="2632" w:type="dxa"/>
            <w:noWrap/>
            <w:vAlign w:val="center"/>
          </w:tcPr>
          <w:p w14:paraId="00902476">
            <w:pPr>
              <w:shd w:val="clear" w:color="auto" w:fill="FFFFFF"/>
              <w:adjustRightInd w:val="0"/>
              <w:snapToGrid w:val="0"/>
              <w:ind w:firstLine="360" w:firstLineChars="200"/>
              <w:jc w:val="left"/>
              <w:rPr>
                <w:rFonts w:ascii="Times New Roman" w:hAnsi="Times New Roman"/>
                <w:sz w:val="18"/>
                <w:szCs w:val="18"/>
                <w:shd w:val="clear" w:color="auto" w:fill="FFFFFF"/>
              </w:rPr>
            </w:pPr>
            <w:r>
              <w:rPr>
                <w:rFonts w:ascii="Times New Roman" w:hAnsi="Times New Roman"/>
                <w:sz w:val="18"/>
                <w:szCs w:val="18"/>
                <w:shd w:val="clear" w:color="auto" w:fill="FFFFFF"/>
              </w:rPr>
              <w:t>新塘水厂取水口一侧相应的一级保护区水域边界线至沿岸防洪堤外延约50米的陆域。</w:t>
            </w:r>
          </w:p>
          <w:p w14:paraId="739AABB7">
            <w:pPr>
              <w:shd w:val="clear" w:color="auto" w:fill="FFFFFF"/>
              <w:adjustRightInd w:val="0"/>
              <w:snapToGrid w:val="0"/>
              <w:ind w:firstLine="360" w:firstLineChars="200"/>
              <w:jc w:val="left"/>
              <w:rPr>
                <w:rFonts w:ascii="Times New Roman" w:hAnsi="Times New Roman"/>
                <w:sz w:val="18"/>
                <w:szCs w:val="18"/>
              </w:rPr>
            </w:pPr>
            <w:r>
              <w:rPr>
                <w:rFonts w:ascii="Times New Roman" w:hAnsi="Times New Roman"/>
                <w:sz w:val="18"/>
                <w:szCs w:val="18"/>
                <w:shd w:val="clear" w:color="auto" w:fill="FFFFFF"/>
              </w:rPr>
              <w:t>新和水厂取水口一侧相应的一级保护区水域边界线至沿岸防洪堤迎水坡坡顶之间的陆域。</w:t>
            </w:r>
          </w:p>
        </w:tc>
        <w:tc>
          <w:tcPr>
            <w:tcW w:w="720" w:type="dxa"/>
            <w:noWrap/>
            <w:vAlign w:val="center"/>
          </w:tcPr>
          <w:p w14:paraId="5BC48177">
            <w:pPr>
              <w:widowControl/>
              <w:adjustRightInd w:val="0"/>
              <w:snapToGrid w:val="0"/>
              <w:jc w:val="center"/>
              <w:rPr>
                <w:rFonts w:ascii="Times New Roman" w:hAnsi="Times New Roman"/>
                <w:sz w:val="18"/>
                <w:szCs w:val="18"/>
              </w:rPr>
            </w:pPr>
            <w:r>
              <w:rPr>
                <w:rFonts w:ascii="Times New Roman" w:hAnsi="Times New Roman"/>
                <w:kern w:val="0"/>
                <w:sz w:val="18"/>
                <w:szCs w:val="18"/>
              </w:rPr>
              <w:t>0.69</w:t>
            </w:r>
          </w:p>
        </w:tc>
        <w:tc>
          <w:tcPr>
            <w:tcW w:w="814" w:type="dxa"/>
            <w:noWrap/>
            <w:vAlign w:val="center"/>
          </w:tcPr>
          <w:p w14:paraId="67AEBE25">
            <w:pPr>
              <w:autoSpaceDE w:val="0"/>
              <w:autoSpaceDN w:val="0"/>
              <w:adjustRightInd w:val="0"/>
              <w:snapToGrid w:val="0"/>
              <w:rPr>
                <w:rFonts w:ascii="Times New Roman" w:hAnsi="Times New Roman"/>
                <w:sz w:val="18"/>
                <w:szCs w:val="18"/>
              </w:rPr>
            </w:pPr>
            <w:r>
              <w:rPr>
                <w:rFonts w:ascii="Times New Roman" w:hAnsi="Times New Roman"/>
                <w:sz w:val="18"/>
                <w:szCs w:val="18"/>
              </w:rPr>
              <w:t>东江北干流饮用水水源保护区</w:t>
            </w:r>
          </w:p>
        </w:tc>
        <w:tc>
          <w:tcPr>
            <w:tcW w:w="825" w:type="dxa"/>
            <w:noWrap/>
            <w:vAlign w:val="center"/>
          </w:tcPr>
          <w:p w14:paraId="28370F5A">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一级保护区</w:t>
            </w:r>
          </w:p>
        </w:tc>
        <w:tc>
          <w:tcPr>
            <w:tcW w:w="1984" w:type="dxa"/>
            <w:noWrap/>
            <w:vAlign w:val="center"/>
          </w:tcPr>
          <w:p w14:paraId="31443B78">
            <w:pPr>
              <w:shd w:val="clear" w:color="auto" w:fill="FFFFFF"/>
              <w:adjustRightInd w:val="0"/>
              <w:snapToGrid w:val="0"/>
              <w:ind w:firstLine="360" w:firstLineChars="200"/>
              <w:jc w:val="left"/>
              <w:rPr>
                <w:rFonts w:ascii="Times New Roman" w:hAnsi="Times New Roman"/>
                <w:sz w:val="18"/>
                <w:szCs w:val="18"/>
                <w:shd w:val="clear" w:color="auto" w:fill="FFFFFF"/>
              </w:rPr>
            </w:pPr>
            <w:r>
              <w:rPr>
                <w:rFonts w:ascii="Times New Roman" w:hAnsi="Times New Roman"/>
                <w:sz w:val="18"/>
                <w:szCs w:val="18"/>
                <w:shd w:val="clear" w:color="auto" w:fill="FFFFFF"/>
              </w:rPr>
              <w:t>新塘水厂与西洲水厂取水口（两水厂同一取水口）上游1000米至取水口下游1000米的河段，河道中泓线至取水口一侧防洪堤迎水坡坡顶之间的水域。</w:t>
            </w:r>
          </w:p>
          <w:p w14:paraId="08FA580F">
            <w:pPr>
              <w:shd w:val="clear" w:color="auto" w:fill="FFFFFF"/>
              <w:adjustRightInd w:val="0"/>
              <w:snapToGrid w:val="0"/>
              <w:ind w:firstLine="360" w:firstLineChars="200"/>
              <w:jc w:val="left"/>
              <w:rPr>
                <w:rFonts w:ascii="Times New Roman" w:hAnsi="Times New Roman"/>
                <w:sz w:val="18"/>
                <w:szCs w:val="18"/>
              </w:rPr>
            </w:pPr>
            <w:r>
              <w:rPr>
                <w:rFonts w:ascii="Times New Roman" w:hAnsi="Times New Roman"/>
                <w:sz w:val="18"/>
                <w:szCs w:val="18"/>
                <w:shd w:val="clear" w:color="auto" w:fill="FFFFFF"/>
              </w:rPr>
              <w:t>新和水厂取水口上游1000米至取水口下游1000米的河段，河道中泓线至取水口一侧防洪堤迎水坡坡顶之间的水域。</w:t>
            </w:r>
          </w:p>
        </w:tc>
        <w:tc>
          <w:tcPr>
            <w:tcW w:w="2951" w:type="dxa"/>
            <w:noWrap/>
            <w:vAlign w:val="center"/>
          </w:tcPr>
          <w:p w14:paraId="1E547C08">
            <w:pPr>
              <w:shd w:val="clear" w:color="auto" w:fill="FFFFFF"/>
              <w:adjustRightInd w:val="0"/>
              <w:snapToGrid w:val="0"/>
              <w:ind w:firstLine="360" w:firstLineChars="200"/>
              <w:jc w:val="left"/>
              <w:rPr>
                <w:rFonts w:ascii="Times New Roman" w:hAnsi="Times New Roman"/>
                <w:sz w:val="18"/>
                <w:szCs w:val="18"/>
                <w:shd w:val="clear" w:color="auto" w:fill="FFFFFF"/>
              </w:rPr>
            </w:pPr>
            <w:r>
              <w:rPr>
                <w:rFonts w:ascii="Times New Roman" w:hAnsi="Times New Roman"/>
                <w:sz w:val="18"/>
                <w:szCs w:val="18"/>
                <w:shd w:val="clear" w:color="auto" w:fill="FFFFFF"/>
              </w:rPr>
              <w:t>新塘水厂取水口一侧相应的一级保护区水域边界线至沿岸防洪堤外延约50米的陆域。</w:t>
            </w:r>
          </w:p>
          <w:p w14:paraId="5F40F340">
            <w:pPr>
              <w:shd w:val="clear" w:color="auto" w:fill="FFFFFF"/>
              <w:adjustRightInd w:val="0"/>
              <w:snapToGrid w:val="0"/>
              <w:ind w:firstLine="360" w:firstLineChars="200"/>
              <w:jc w:val="left"/>
              <w:rPr>
                <w:rFonts w:ascii="Times New Roman" w:hAnsi="Times New Roman"/>
                <w:sz w:val="18"/>
                <w:szCs w:val="18"/>
              </w:rPr>
            </w:pPr>
            <w:r>
              <w:rPr>
                <w:rFonts w:ascii="Times New Roman" w:hAnsi="Times New Roman"/>
                <w:sz w:val="18"/>
                <w:szCs w:val="18"/>
                <w:shd w:val="clear" w:color="auto" w:fill="FFFFFF"/>
              </w:rPr>
              <w:t>新和水厂取水口一侧相应的一级保护区水域边界线至沿岸防洪堤迎水坡坡顶之间的陆域。</w:t>
            </w:r>
          </w:p>
        </w:tc>
        <w:tc>
          <w:tcPr>
            <w:tcW w:w="757" w:type="dxa"/>
            <w:noWrap/>
            <w:vAlign w:val="center"/>
          </w:tcPr>
          <w:p w14:paraId="3CE1C302">
            <w:pPr>
              <w:widowControl/>
              <w:adjustRightInd w:val="0"/>
              <w:snapToGrid w:val="0"/>
              <w:jc w:val="center"/>
              <w:rPr>
                <w:rFonts w:ascii="Times New Roman" w:hAnsi="Times New Roman"/>
                <w:sz w:val="18"/>
                <w:szCs w:val="18"/>
              </w:rPr>
            </w:pPr>
            <w:r>
              <w:rPr>
                <w:rFonts w:ascii="Times New Roman" w:hAnsi="Times New Roman"/>
                <w:kern w:val="0"/>
                <w:sz w:val="18"/>
                <w:szCs w:val="18"/>
              </w:rPr>
              <w:t>0.69</w:t>
            </w:r>
          </w:p>
        </w:tc>
        <w:tc>
          <w:tcPr>
            <w:tcW w:w="458" w:type="dxa"/>
            <w:vMerge w:val="restart"/>
            <w:noWrap/>
            <w:vAlign w:val="center"/>
          </w:tcPr>
          <w:p w14:paraId="2B44DFA3">
            <w:pPr>
              <w:adjustRightInd w:val="0"/>
              <w:snapToGrid w:val="0"/>
              <w:jc w:val="center"/>
              <w:rPr>
                <w:rFonts w:ascii="Times New Roman" w:hAnsi="Times New Roman"/>
                <w:sz w:val="18"/>
                <w:szCs w:val="18"/>
              </w:rPr>
            </w:pPr>
            <w:r>
              <w:rPr>
                <w:rFonts w:ascii="Times New Roman" w:hAnsi="Times New Roman"/>
                <w:sz w:val="18"/>
                <w:szCs w:val="18"/>
              </w:rPr>
              <w:t>调整</w:t>
            </w:r>
          </w:p>
        </w:tc>
      </w:tr>
      <w:tr w14:paraId="26A4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5" w:hRule="atLeast"/>
          <w:jc w:val="center"/>
        </w:trPr>
        <w:tc>
          <w:tcPr>
            <w:tcW w:w="465" w:type="dxa"/>
            <w:noWrap/>
            <w:vAlign w:val="center"/>
          </w:tcPr>
          <w:p w14:paraId="3BB08313">
            <w:pPr>
              <w:autoSpaceDE w:val="0"/>
              <w:autoSpaceDN w:val="0"/>
              <w:snapToGrid w:val="0"/>
              <w:jc w:val="center"/>
              <w:rPr>
                <w:rFonts w:ascii="Times New Roman" w:hAnsi="Times New Roman"/>
                <w:sz w:val="18"/>
                <w:szCs w:val="18"/>
              </w:rPr>
            </w:pPr>
            <w:r>
              <w:rPr>
                <w:rFonts w:ascii="Times New Roman" w:hAnsi="Times New Roman"/>
                <w:sz w:val="18"/>
                <w:szCs w:val="18"/>
              </w:rPr>
              <w:t>5</w:t>
            </w:r>
          </w:p>
        </w:tc>
        <w:tc>
          <w:tcPr>
            <w:tcW w:w="811" w:type="dxa"/>
            <w:noWrap/>
            <w:vAlign w:val="center"/>
          </w:tcPr>
          <w:p w14:paraId="2145A4D4">
            <w:pPr>
              <w:autoSpaceDE w:val="0"/>
              <w:autoSpaceDN w:val="0"/>
              <w:snapToGrid w:val="0"/>
              <w:jc w:val="left"/>
              <w:rPr>
                <w:rFonts w:ascii="Times New Roman" w:hAnsi="Times New Roman"/>
                <w:sz w:val="18"/>
                <w:szCs w:val="18"/>
              </w:rPr>
            </w:pPr>
            <w:r>
              <w:rPr>
                <w:rFonts w:ascii="Times New Roman" w:hAnsi="Times New Roman"/>
                <w:sz w:val="18"/>
                <w:szCs w:val="18"/>
              </w:rPr>
              <w:t>东江北干流饮用水水源保护区</w:t>
            </w:r>
          </w:p>
        </w:tc>
        <w:tc>
          <w:tcPr>
            <w:tcW w:w="780" w:type="dxa"/>
            <w:noWrap/>
            <w:vAlign w:val="center"/>
          </w:tcPr>
          <w:p w14:paraId="529D5197">
            <w:pPr>
              <w:keepNext w:val="0"/>
              <w:keepLines w:val="0"/>
              <w:pageBreakBefore w:val="0"/>
              <w:kinsoku/>
              <w:wordWrap/>
              <w:overflowPunct/>
              <w:topLinePunct w:val="0"/>
              <w:bidi w:val="0"/>
              <w:adjustRightInd w:val="0"/>
              <w:snapToGrid w:val="0"/>
              <w:spacing w:line="220" w:lineRule="exact"/>
              <w:jc w:val="center"/>
              <w:textAlignment w:val="auto"/>
              <w:rPr>
                <w:rFonts w:ascii="Times New Roman" w:hAnsi="Times New Roman"/>
                <w:sz w:val="18"/>
                <w:szCs w:val="18"/>
              </w:rPr>
            </w:pPr>
            <w:r>
              <w:rPr>
                <w:rFonts w:ascii="Times New Roman" w:hAnsi="Times New Roman"/>
                <w:sz w:val="18"/>
                <w:szCs w:val="18"/>
              </w:rPr>
              <w:t>二级保护区</w:t>
            </w:r>
          </w:p>
        </w:tc>
        <w:tc>
          <w:tcPr>
            <w:tcW w:w="2183" w:type="dxa"/>
            <w:noWrap/>
            <w:vAlign w:val="center"/>
          </w:tcPr>
          <w:p w14:paraId="41EDEA2B">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东江北干流土江至甘涌口的河段，两岸防洪堤迎水坡坡顶之间的广州市境内的水域（一级保护区除外）。</w:t>
            </w:r>
          </w:p>
          <w:p w14:paraId="2DCBF5F3">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仙村运河两岸防洪堤迎水坡坡顶之间的水域（一级保护区除外）。</w:t>
            </w:r>
          </w:p>
          <w:p w14:paraId="41879D38">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增江石滩铁路桥下水面至观海口的河段，两岸防洪堤迎水坡坡顶之间的水域。</w:t>
            </w:r>
          </w:p>
          <w:p w14:paraId="7B1427BC">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西福河石厦至郭屋基（仙村运河口）的河段，两岸防洪堤迎水坡坡顶之间的水域。</w:t>
            </w:r>
          </w:p>
          <w:p w14:paraId="77B39FB0">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永和河石吓至久裕的河段，两岸防洪堤迎水坡坡顶之间的水域。</w:t>
            </w:r>
          </w:p>
          <w:p w14:paraId="0FE5B387">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雅瑶河雅瑶至大墩的河段，两岸防洪堤迎水坡坡顶之间的水域。</w:t>
            </w:r>
          </w:p>
          <w:p w14:paraId="1B620AEB">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仙村运河支流鹤海涌、上平地涌、水和安涌、白花涌、龙湖涌、仙村涌、官厅涌、蕉坑涌、东丫涌、新基涌、巷头涌、碧江涌的水域。</w:t>
            </w:r>
          </w:p>
        </w:tc>
        <w:tc>
          <w:tcPr>
            <w:tcW w:w="2632" w:type="dxa"/>
            <w:noWrap/>
            <w:vAlign w:val="center"/>
          </w:tcPr>
          <w:p w14:paraId="59DC32FF">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东江北干流土江至仙村运河口的河段，相应的二级保护区水域边界线至北岸广深铁路之间的陆域。</w:t>
            </w:r>
          </w:p>
          <w:p w14:paraId="14C4BF61">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东江北干流仙村运河口至甘涌口的河段，相应的一、二级保护区水域边界线至两岸防洪堤背水坡坡脚外延约30米的陆域（一级保护区除外）。</w:t>
            </w:r>
          </w:p>
          <w:p w14:paraId="4B9789A9">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仙村运河相应的一、二级保护区水域边界线至两岸防洪堤背水坡坡脚外延约30米的陆域（一级保护区除外）。</w:t>
            </w:r>
          </w:p>
          <w:p w14:paraId="08698E48">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仙村运河与东江北干流所包围的刘屋洲、鹅桂洲、沙角洲、大洲等江心岛和滩涂区域（一级保护区除外）。</w:t>
            </w:r>
          </w:p>
          <w:p w14:paraId="74EB5C3F">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西福河石厦至郭屋基（仙村运河口）的河段，相应的二级保护区水域边界线至西岸防洪堤背水坡坡脚外延约30米的陆域。</w:t>
            </w:r>
          </w:p>
          <w:p w14:paraId="343BE750">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永和河石吓至久裕的河段，相应的二级保护区水域边界线至两岸防洪堤背水坡坡脚外延约6米的陆域。</w:t>
            </w:r>
          </w:p>
          <w:p w14:paraId="651FCB01">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雅瑶河雅瑶至大墩的河段，相应的二级保护区水域边界线至两岸防洪堤背水坡坡脚外延约6米的陆域。</w:t>
            </w:r>
          </w:p>
          <w:p w14:paraId="38BACC20">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仙村运河支流鹤海涌、上平地涌、水和安涌、白花涌、龙湖涌、仙村涌、官厅涌、蕉坑涌、东丫涌、新基涌、巷头涌、碧江涌相应的二级保护区水域边界线至两岸外延约6米的陆域。</w:t>
            </w:r>
          </w:p>
        </w:tc>
        <w:tc>
          <w:tcPr>
            <w:tcW w:w="720" w:type="dxa"/>
            <w:noWrap/>
            <w:vAlign w:val="center"/>
          </w:tcPr>
          <w:p w14:paraId="4AF09E6B">
            <w:pPr>
              <w:keepNext w:val="0"/>
              <w:keepLines w:val="0"/>
              <w:pageBreakBefore w:val="0"/>
              <w:widowControl/>
              <w:kinsoku/>
              <w:wordWrap/>
              <w:overflowPunct/>
              <w:topLinePunct w:val="0"/>
              <w:bidi w:val="0"/>
              <w:adjustRightInd w:val="0"/>
              <w:snapToGrid w:val="0"/>
              <w:spacing w:line="220" w:lineRule="exact"/>
              <w:jc w:val="center"/>
              <w:textAlignment w:val="auto"/>
              <w:rPr>
                <w:rFonts w:ascii="Times New Roman" w:hAnsi="Times New Roman"/>
                <w:sz w:val="18"/>
                <w:szCs w:val="18"/>
              </w:rPr>
            </w:pPr>
            <w:r>
              <w:rPr>
                <w:rFonts w:ascii="Times New Roman" w:hAnsi="Times New Roman"/>
                <w:kern w:val="0"/>
                <w:sz w:val="18"/>
                <w:szCs w:val="18"/>
              </w:rPr>
              <w:t>51.91</w:t>
            </w:r>
          </w:p>
        </w:tc>
        <w:tc>
          <w:tcPr>
            <w:tcW w:w="814" w:type="dxa"/>
            <w:noWrap/>
            <w:vAlign w:val="center"/>
          </w:tcPr>
          <w:p w14:paraId="45C163CA">
            <w:pPr>
              <w:keepNext w:val="0"/>
              <w:keepLines w:val="0"/>
              <w:pageBreakBefore w:val="0"/>
              <w:widowControl/>
              <w:kinsoku/>
              <w:wordWrap/>
              <w:overflowPunct/>
              <w:topLinePunct w:val="0"/>
              <w:bidi w:val="0"/>
              <w:adjustRightInd w:val="0"/>
              <w:snapToGrid w:val="0"/>
              <w:spacing w:line="220" w:lineRule="exact"/>
              <w:textAlignment w:val="auto"/>
              <w:rPr>
                <w:rFonts w:ascii="Times New Roman" w:hAnsi="Times New Roman"/>
                <w:sz w:val="18"/>
                <w:szCs w:val="18"/>
              </w:rPr>
            </w:pPr>
            <w:r>
              <w:rPr>
                <w:rFonts w:ascii="Times New Roman" w:hAnsi="Times New Roman"/>
                <w:sz w:val="18"/>
                <w:szCs w:val="18"/>
              </w:rPr>
              <w:t>东江北干流饮用水水源保护区</w:t>
            </w:r>
          </w:p>
        </w:tc>
        <w:tc>
          <w:tcPr>
            <w:tcW w:w="825" w:type="dxa"/>
            <w:noWrap/>
            <w:vAlign w:val="center"/>
          </w:tcPr>
          <w:p w14:paraId="73C96B49">
            <w:pPr>
              <w:keepNext w:val="0"/>
              <w:keepLines w:val="0"/>
              <w:pageBreakBefore w:val="0"/>
              <w:widowControl/>
              <w:kinsoku/>
              <w:wordWrap/>
              <w:overflowPunct/>
              <w:topLinePunct w:val="0"/>
              <w:bidi w:val="0"/>
              <w:adjustRightInd w:val="0"/>
              <w:snapToGrid w:val="0"/>
              <w:spacing w:line="220" w:lineRule="exact"/>
              <w:jc w:val="center"/>
              <w:textAlignment w:val="auto"/>
              <w:rPr>
                <w:rFonts w:ascii="Times New Roman" w:hAnsi="Times New Roman"/>
                <w:sz w:val="18"/>
                <w:szCs w:val="18"/>
              </w:rPr>
            </w:pPr>
            <w:r>
              <w:rPr>
                <w:rFonts w:ascii="Times New Roman" w:hAnsi="Times New Roman"/>
                <w:kern w:val="0"/>
                <w:sz w:val="18"/>
                <w:szCs w:val="18"/>
              </w:rPr>
              <w:t>二级保护区</w:t>
            </w:r>
          </w:p>
        </w:tc>
        <w:tc>
          <w:tcPr>
            <w:tcW w:w="1984" w:type="dxa"/>
            <w:noWrap/>
            <w:vAlign w:val="center"/>
          </w:tcPr>
          <w:p w14:paraId="2D2881DC">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东江北干流土江至甘涌口的河段，两岸防洪堤迎水坡坡顶之间的广州市境内的水域（一级保护区除外）。</w:t>
            </w:r>
          </w:p>
          <w:p w14:paraId="32CDE6B4">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仙村运河两岸防洪堤迎水坡坡顶之间的水域（一级保护区除外）。</w:t>
            </w:r>
          </w:p>
          <w:p w14:paraId="0456473E">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增江石滩铁路桥下水面至观海口的河段，两岸防洪堤迎水坡坡顶之间的水域。</w:t>
            </w:r>
          </w:p>
          <w:p w14:paraId="5E3E561A">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西福河石厦至郭屋基（仙村运河口）的河段，两岸防洪堤迎水坡坡顶之间的水域。</w:t>
            </w:r>
          </w:p>
          <w:p w14:paraId="1CABBF14">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永和河石吓至久裕的河段，两岸防洪堤迎水坡坡顶之间的水域。</w:t>
            </w:r>
          </w:p>
          <w:p w14:paraId="436ECE78">
            <w:pPr>
              <w:keepNext w:val="0"/>
              <w:keepLines w:val="0"/>
              <w:pageBreakBefore w:val="0"/>
              <w:shd w:val="clear" w:color="auto" w:fill="FFFFFF"/>
              <w:kinsoku/>
              <w:wordWrap/>
              <w:overflowPunct/>
              <w:topLinePunct w:val="0"/>
              <w:bidi w:val="0"/>
              <w:adjustRightInd w:val="0"/>
              <w:snapToGrid w:val="0"/>
              <w:spacing w:line="220" w:lineRule="exact"/>
              <w:ind w:firstLine="360" w:firstLineChars="200"/>
              <w:jc w:val="left"/>
              <w:textAlignment w:val="auto"/>
              <w:rPr>
                <w:rFonts w:ascii="Times New Roman" w:hAnsi="Times New Roman"/>
                <w:sz w:val="18"/>
                <w:szCs w:val="18"/>
                <w:shd w:val="clear" w:color="auto" w:fill="FFFFFF"/>
              </w:rPr>
            </w:pPr>
            <w:r>
              <w:rPr>
                <w:rFonts w:ascii="Times New Roman" w:hAnsi="Times New Roman"/>
                <w:sz w:val="18"/>
                <w:szCs w:val="18"/>
                <w:shd w:val="clear" w:color="auto" w:fill="FFFFFF"/>
              </w:rPr>
              <w:t>雅瑶河雅瑶至大墩的河段，两岸防洪堤迎水坡坡顶之间的水域。</w:t>
            </w:r>
          </w:p>
          <w:p w14:paraId="54C8A775">
            <w:pPr>
              <w:keepNext w:val="0"/>
              <w:keepLines w:val="0"/>
              <w:pageBreakBefore w:val="0"/>
              <w:widowControl/>
              <w:kinsoku/>
              <w:wordWrap/>
              <w:overflowPunct/>
              <w:topLinePunct w:val="0"/>
              <w:bidi w:val="0"/>
              <w:adjustRightInd w:val="0"/>
              <w:snapToGrid w:val="0"/>
              <w:spacing w:line="220" w:lineRule="exact"/>
              <w:ind w:firstLine="360" w:firstLineChars="200"/>
              <w:jc w:val="center"/>
              <w:textAlignment w:val="auto"/>
              <w:rPr>
                <w:rFonts w:ascii="Times New Roman" w:hAnsi="Times New Roman"/>
                <w:sz w:val="18"/>
                <w:szCs w:val="18"/>
              </w:rPr>
            </w:pPr>
            <w:r>
              <w:rPr>
                <w:rFonts w:ascii="Times New Roman" w:hAnsi="Times New Roman"/>
                <w:sz w:val="18"/>
                <w:szCs w:val="18"/>
              </w:rPr>
              <w:t xml:space="preserve"> 仙村运河支流鹤海涌、上平地涌、水和安涌、白花涌、龙湖涌、仙村涌、官厅涌、蕉坑涌、东丫涌、新基涌、巷头涌、碧江涌的水域。</w:t>
            </w:r>
          </w:p>
        </w:tc>
        <w:tc>
          <w:tcPr>
            <w:tcW w:w="2951" w:type="dxa"/>
            <w:noWrap/>
            <w:vAlign w:val="center"/>
          </w:tcPr>
          <w:p w14:paraId="0B12600F">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东江北干流土江至西增江口的河段，相应的二级保护区水域边界线至北岸广深铁路之间的陆域。东江北干流增江口至西福河口的河段， 相应的二级保护区水域边界线至北岸牛楼涌之间的陆域。</w:t>
            </w:r>
          </w:p>
          <w:p w14:paraId="7783FB09">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东江北干流仙村运河口至甘涌口的河段，相应的一、二级保护区水域边界线至两岸防洪堤背水坡坡脚外延约30米的陆域（一级保护区除外）。</w:t>
            </w:r>
          </w:p>
          <w:p w14:paraId="0F0D1119">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仙村运河相应的一、二级保护区水域边界线至两岸防洪堤背水坡坡脚外延约30米的陆域（一级保护区除外）。</w:t>
            </w:r>
          </w:p>
          <w:p w14:paraId="72C83881">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仙村运河与东江北干流所包围的刘屋洲、鹅桂洲、沙角洲、大洲等江心岛和滩涂区域（一级保护区除外）。</w:t>
            </w:r>
          </w:p>
          <w:p w14:paraId="1B264572">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西福河石厦至郭屋基（仙村运河口）的河段，相应的二级保护区水域边界线至西岸防洪堤背水坡坡脚外延约30米的陆域。</w:t>
            </w:r>
          </w:p>
          <w:p w14:paraId="085AD5CE">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永和河石吓至久裕的河段，相应的二级保护区水域边界线至两岸防洪堤背水坡坡脚外延约6米的陆域。</w:t>
            </w:r>
          </w:p>
          <w:p w14:paraId="650B7F1B">
            <w:pPr>
              <w:keepNext w:val="0"/>
              <w:keepLines w:val="0"/>
              <w:pageBreakBefore w:val="0"/>
              <w:kinsoku/>
              <w:wordWrap/>
              <w:overflowPunct/>
              <w:topLinePunct w:val="0"/>
              <w:autoSpaceDE w:val="0"/>
              <w:autoSpaceDN w:val="0"/>
              <w:bidi w:val="0"/>
              <w:adjustRightInd w:val="0"/>
              <w:snapToGrid w:val="0"/>
              <w:spacing w:line="220" w:lineRule="exact"/>
              <w:ind w:firstLine="360" w:firstLineChars="200"/>
              <w:jc w:val="left"/>
              <w:textAlignment w:val="auto"/>
              <w:rPr>
                <w:rFonts w:ascii="Times New Roman" w:hAnsi="Times New Roman"/>
                <w:sz w:val="18"/>
                <w:szCs w:val="18"/>
              </w:rPr>
            </w:pPr>
            <w:r>
              <w:rPr>
                <w:rFonts w:ascii="Times New Roman" w:hAnsi="Times New Roman"/>
                <w:sz w:val="18"/>
                <w:szCs w:val="18"/>
              </w:rPr>
              <w:t>雅瑶河雅瑶至大墩的河段，相应的二级保护区水域边界线至两岸防洪堤背水坡坡脚外延约6米的陆域。</w:t>
            </w:r>
          </w:p>
          <w:p w14:paraId="2552033F">
            <w:pPr>
              <w:keepNext w:val="0"/>
              <w:keepLines w:val="0"/>
              <w:pageBreakBefore w:val="0"/>
              <w:widowControl/>
              <w:kinsoku/>
              <w:wordWrap/>
              <w:overflowPunct/>
              <w:topLinePunct w:val="0"/>
              <w:bidi w:val="0"/>
              <w:adjustRightInd w:val="0"/>
              <w:snapToGrid w:val="0"/>
              <w:spacing w:line="220" w:lineRule="exact"/>
              <w:ind w:firstLine="360" w:firstLineChars="200"/>
              <w:textAlignment w:val="auto"/>
              <w:rPr>
                <w:rFonts w:ascii="Times New Roman" w:hAnsi="Times New Roman"/>
                <w:sz w:val="18"/>
                <w:szCs w:val="18"/>
              </w:rPr>
            </w:pPr>
            <w:r>
              <w:rPr>
                <w:rFonts w:ascii="Times New Roman" w:hAnsi="Times New Roman"/>
                <w:sz w:val="18"/>
                <w:szCs w:val="18"/>
              </w:rPr>
              <w:t>仙村运河支流鹤海涌、上平地涌、水和安涌、白花涌、龙湖涌、仙村涌、官厅涌、蕉坑涌、东丫涌、新基涌、巷头涌、碧江涌相应的二级保护区水域边界线至两岸外延约6米的陆域。</w:t>
            </w:r>
          </w:p>
        </w:tc>
        <w:tc>
          <w:tcPr>
            <w:tcW w:w="757" w:type="dxa"/>
            <w:noWrap/>
            <w:vAlign w:val="center"/>
          </w:tcPr>
          <w:p w14:paraId="2D322885">
            <w:pPr>
              <w:keepNext w:val="0"/>
              <w:keepLines w:val="0"/>
              <w:pageBreakBefore w:val="0"/>
              <w:widowControl/>
              <w:kinsoku/>
              <w:wordWrap/>
              <w:overflowPunct/>
              <w:topLinePunct w:val="0"/>
              <w:bidi w:val="0"/>
              <w:adjustRightInd w:val="0"/>
              <w:snapToGrid w:val="0"/>
              <w:spacing w:line="220" w:lineRule="exact"/>
              <w:jc w:val="center"/>
              <w:textAlignment w:val="auto"/>
              <w:rPr>
                <w:rFonts w:ascii="Times New Roman" w:hAnsi="Times New Roman"/>
                <w:sz w:val="18"/>
                <w:szCs w:val="18"/>
              </w:rPr>
            </w:pPr>
            <w:r>
              <w:rPr>
                <w:rFonts w:ascii="Times New Roman" w:hAnsi="Times New Roman"/>
                <w:kern w:val="0"/>
                <w:sz w:val="18"/>
                <w:szCs w:val="18"/>
              </w:rPr>
              <w:t>47.89</w:t>
            </w:r>
          </w:p>
        </w:tc>
        <w:tc>
          <w:tcPr>
            <w:tcW w:w="458" w:type="dxa"/>
            <w:vMerge w:val="continue"/>
            <w:noWrap/>
            <w:vAlign w:val="center"/>
          </w:tcPr>
          <w:p w14:paraId="3AACDB05">
            <w:pPr>
              <w:keepNext w:val="0"/>
              <w:keepLines w:val="0"/>
              <w:pageBreakBefore w:val="0"/>
              <w:widowControl/>
              <w:kinsoku/>
              <w:wordWrap/>
              <w:overflowPunct/>
              <w:topLinePunct w:val="0"/>
              <w:bidi w:val="0"/>
              <w:snapToGrid w:val="0"/>
              <w:spacing w:line="220" w:lineRule="exact"/>
              <w:jc w:val="center"/>
              <w:textAlignment w:val="auto"/>
              <w:rPr>
                <w:rFonts w:ascii="Times New Roman" w:hAnsi="Times New Roman"/>
                <w:sz w:val="18"/>
                <w:szCs w:val="18"/>
              </w:rPr>
            </w:pPr>
          </w:p>
        </w:tc>
      </w:tr>
      <w:tr w14:paraId="7275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5" w:hRule="atLeast"/>
          <w:jc w:val="center"/>
        </w:trPr>
        <w:tc>
          <w:tcPr>
            <w:tcW w:w="465" w:type="dxa"/>
            <w:noWrap/>
            <w:vAlign w:val="center"/>
          </w:tcPr>
          <w:p w14:paraId="747C41EC">
            <w:pPr>
              <w:autoSpaceDE w:val="0"/>
              <w:autoSpaceDN w:val="0"/>
              <w:snapToGrid w:val="0"/>
              <w:jc w:val="center"/>
              <w:rPr>
                <w:rFonts w:ascii="Times New Roman" w:hAnsi="Times New Roman"/>
                <w:sz w:val="18"/>
                <w:szCs w:val="18"/>
              </w:rPr>
            </w:pPr>
            <w:r>
              <w:rPr>
                <w:rFonts w:ascii="Times New Roman" w:hAnsi="Times New Roman"/>
                <w:sz w:val="18"/>
                <w:szCs w:val="18"/>
              </w:rPr>
              <w:t>5</w:t>
            </w:r>
          </w:p>
        </w:tc>
        <w:tc>
          <w:tcPr>
            <w:tcW w:w="811" w:type="dxa"/>
            <w:noWrap/>
            <w:vAlign w:val="center"/>
          </w:tcPr>
          <w:p w14:paraId="584C2F1D">
            <w:pPr>
              <w:autoSpaceDE w:val="0"/>
              <w:autoSpaceDN w:val="0"/>
              <w:snapToGrid w:val="0"/>
              <w:jc w:val="left"/>
              <w:rPr>
                <w:rFonts w:ascii="Times New Roman" w:hAnsi="Times New Roman"/>
                <w:sz w:val="18"/>
                <w:szCs w:val="18"/>
              </w:rPr>
            </w:pPr>
            <w:r>
              <w:rPr>
                <w:rFonts w:ascii="Times New Roman" w:hAnsi="Times New Roman"/>
                <w:sz w:val="18"/>
                <w:szCs w:val="18"/>
              </w:rPr>
              <w:t>东江北干流饮用水水源保护区</w:t>
            </w:r>
          </w:p>
        </w:tc>
        <w:tc>
          <w:tcPr>
            <w:tcW w:w="780" w:type="dxa"/>
            <w:noWrap/>
            <w:vAlign w:val="center"/>
          </w:tcPr>
          <w:p w14:paraId="79AE5034">
            <w:pPr>
              <w:adjustRightInd w:val="0"/>
              <w:snapToGrid w:val="0"/>
              <w:jc w:val="center"/>
              <w:rPr>
                <w:rFonts w:ascii="Times New Roman" w:hAnsi="Times New Roman"/>
                <w:sz w:val="18"/>
                <w:szCs w:val="18"/>
              </w:rPr>
            </w:pPr>
            <w:r>
              <w:rPr>
                <w:rFonts w:ascii="Times New Roman" w:hAnsi="Times New Roman"/>
                <w:sz w:val="18"/>
                <w:szCs w:val="18"/>
              </w:rPr>
              <w:t>准保护区</w:t>
            </w:r>
          </w:p>
        </w:tc>
        <w:tc>
          <w:tcPr>
            <w:tcW w:w="2183" w:type="dxa"/>
            <w:noWrap/>
            <w:vAlign w:val="center"/>
          </w:tcPr>
          <w:p w14:paraId="45C1CF91">
            <w:pPr>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东江北干流新塘水厂二级保护区上界（土江）至上游联和排洪渠河口（江口水闸下游500米）共2.4公里的河段，两岸防洪堤迎水坡坡顶之间的广州市境内的水域。</w:t>
            </w:r>
          </w:p>
          <w:p w14:paraId="514A42EF">
            <w:pPr>
              <w:autoSpaceDE w:val="0"/>
              <w:autoSpaceDN w:val="0"/>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东江北干流新塘水厂下游二级保护区下界至下游广深高速高架桥以东1000米处共2.8公里的河段，两岸防洪堤迎水坡坡顶之间的广州市境内的水域。</w:t>
            </w:r>
          </w:p>
        </w:tc>
        <w:tc>
          <w:tcPr>
            <w:tcW w:w="2632" w:type="dxa"/>
            <w:noWrap/>
            <w:vAlign w:val="center"/>
          </w:tcPr>
          <w:p w14:paraId="20B1C5CE">
            <w:pPr>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东江北干流相应的准保护区水域边界线向两岸纵深至防洪堤外延约500米的广州市境内的陆域。</w:t>
            </w:r>
          </w:p>
          <w:p w14:paraId="78D60A6D">
            <w:pPr>
              <w:autoSpaceDE w:val="0"/>
              <w:autoSpaceDN w:val="0"/>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东江北干流甘涌口沿东江北干流和仙村运河至仙村运河口的河段，相应的一、二级保护区水域边界线至北岸四望冈、石吓及广深铁路之间的区域（一、二级保护区除外）。</w:t>
            </w:r>
          </w:p>
        </w:tc>
        <w:tc>
          <w:tcPr>
            <w:tcW w:w="720" w:type="dxa"/>
            <w:noWrap/>
            <w:vAlign w:val="center"/>
          </w:tcPr>
          <w:p w14:paraId="631C04A8">
            <w:pPr>
              <w:widowControl/>
              <w:adjustRightInd w:val="0"/>
              <w:snapToGrid w:val="0"/>
              <w:jc w:val="center"/>
              <w:rPr>
                <w:rFonts w:ascii="Times New Roman" w:hAnsi="Times New Roman"/>
                <w:sz w:val="18"/>
                <w:szCs w:val="18"/>
              </w:rPr>
            </w:pPr>
            <w:r>
              <w:rPr>
                <w:rFonts w:ascii="Times New Roman" w:hAnsi="Times New Roman"/>
                <w:kern w:val="0"/>
                <w:sz w:val="18"/>
                <w:szCs w:val="18"/>
              </w:rPr>
              <w:t>31.22</w:t>
            </w:r>
          </w:p>
        </w:tc>
        <w:tc>
          <w:tcPr>
            <w:tcW w:w="814" w:type="dxa"/>
            <w:noWrap/>
            <w:vAlign w:val="center"/>
          </w:tcPr>
          <w:p w14:paraId="5454EE0B">
            <w:pPr>
              <w:widowControl/>
              <w:adjustRightInd w:val="0"/>
              <w:snapToGrid w:val="0"/>
              <w:rPr>
                <w:rFonts w:ascii="Times New Roman" w:hAnsi="Times New Roman"/>
                <w:sz w:val="18"/>
                <w:szCs w:val="18"/>
              </w:rPr>
            </w:pPr>
            <w:r>
              <w:rPr>
                <w:rFonts w:ascii="Times New Roman" w:hAnsi="Times New Roman"/>
                <w:sz w:val="18"/>
                <w:szCs w:val="18"/>
              </w:rPr>
              <w:t>东江北干流饮用水水源保护区</w:t>
            </w:r>
          </w:p>
        </w:tc>
        <w:tc>
          <w:tcPr>
            <w:tcW w:w="825" w:type="dxa"/>
            <w:noWrap/>
            <w:vAlign w:val="center"/>
          </w:tcPr>
          <w:p w14:paraId="7713E496">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准保护区</w:t>
            </w:r>
          </w:p>
        </w:tc>
        <w:tc>
          <w:tcPr>
            <w:tcW w:w="1984" w:type="dxa"/>
            <w:noWrap/>
            <w:vAlign w:val="center"/>
          </w:tcPr>
          <w:p w14:paraId="44D96A14">
            <w:pPr>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东江北干流新塘水厂二级保护区上界（土江）至上游联和排洪渠河口（江口水闸下游500米）共2.4公里的河段，两岸防洪堤迎水坡坡顶之间的广州市境内的水域。</w:t>
            </w:r>
          </w:p>
          <w:p w14:paraId="17FC4D5D">
            <w:pPr>
              <w:autoSpaceDE w:val="0"/>
              <w:autoSpaceDN w:val="0"/>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东江北干流新塘水厂下游二级保护区下界至下游广深高速高架桥以东1000米处共2.8公里的河段，两岸防洪堤迎水坡坡顶之间的广州市境内的水域。</w:t>
            </w:r>
          </w:p>
        </w:tc>
        <w:tc>
          <w:tcPr>
            <w:tcW w:w="2951" w:type="dxa"/>
            <w:noWrap/>
            <w:vAlign w:val="center"/>
          </w:tcPr>
          <w:p w14:paraId="057B6D8C">
            <w:pPr>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东江北干流相应的准保护区水域边界线向两岸纵深至防洪堤外延约500米的广州市境内的陆域。</w:t>
            </w:r>
          </w:p>
          <w:p w14:paraId="5A701C8D">
            <w:pPr>
              <w:autoSpaceDE w:val="0"/>
              <w:autoSpaceDN w:val="0"/>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东江北干流甘涌口沿东江北干流和仙村运河至仙村运河口的河段，相应的一、二级保护区水域边界线至北岸四望冈、石吓及广深铁路之间的区域（一、二级保护区除外）。</w:t>
            </w:r>
          </w:p>
          <w:p w14:paraId="72B14A93">
            <w:pPr>
              <w:autoSpaceDE w:val="0"/>
              <w:autoSpaceDN w:val="0"/>
              <w:adjustRightInd w:val="0"/>
              <w:snapToGrid w:val="0"/>
              <w:ind w:firstLine="360" w:firstLineChars="200"/>
              <w:jc w:val="left"/>
              <w:rPr>
                <w:rFonts w:ascii="Times New Roman" w:hAnsi="Times New Roman"/>
                <w:sz w:val="18"/>
                <w:szCs w:val="18"/>
              </w:rPr>
            </w:pPr>
            <w:r>
              <w:rPr>
                <w:rFonts w:ascii="Times New Roman" w:hAnsi="Times New Roman"/>
                <w:sz w:val="18"/>
                <w:szCs w:val="18"/>
              </w:rPr>
              <w:t>东江北干流增江口至西福河口的河段，相应的二级保护区边界线至广深铁路之间的陆域。</w:t>
            </w:r>
          </w:p>
        </w:tc>
        <w:tc>
          <w:tcPr>
            <w:tcW w:w="757" w:type="dxa"/>
            <w:noWrap/>
            <w:vAlign w:val="center"/>
          </w:tcPr>
          <w:p w14:paraId="2FD5A9F6">
            <w:pPr>
              <w:widowControl/>
              <w:adjustRightInd w:val="0"/>
              <w:snapToGrid w:val="0"/>
              <w:jc w:val="center"/>
              <w:rPr>
                <w:rFonts w:ascii="Times New Roman" w:hAnsi="Times New Roman"/>
                <w:sz w:val="18"/>
                <w:szCs w:val="18"/>
              </w:rPr>
            </w:pPr>
            <w:r>
              <w:rPr>
                <w:rFonts w:ascii="Times New Roman" w:hAnsi="Times New Roman"/>
                <w:kern w:val="0"/>
                <w:sz w:val="18"/>
                <w:szCs w:val="18"/>
              </w:rPr>
              <w:t>35.24</w:t>
            </w:r>
          </w:p>
        </w:tc>
        <w:tc>
          <w:tcPr>
            <w:tcW w:w="458" w:type="dxa"/>
            <w:vMerge w:val="continue"/>
            <w:noWrap/>
            <w:vAlign w:val="center"/>
          </w:tcPr>
          <w:p w14:paraId="49DEDC48">
            <w:pPr>
              <w:widowControl/>
              <w:snapToGrid w:val="0"/>
              <w:jc w:val="center"/>
              <w:rPr>
                <w:rFonts w:ascii="Times New Roman" w:hAnsi="Times New Roman"/>
                <w:sz w:val="18"/>
                <w:szCs w:val="18"/>
              </w:rPr>
            </w:pPr>
          </w:p>
        </w:tc>
      </w:tr>
      <w:tr w14:paraId="218D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465" w:type="dxa"/>
            <w:vMerge w:val="restart"/>
            <w:noWrap/>
            <w:vAlign w:val="center"/>
          </w:tcPr>
          <w:p w14:paraId="68593320">
            <w:pPr>
              <w:widowControl/>
              <w:snapToGrid w:val="0"/>
              <w:jc w:val="left"/>
              <w:rPr>
                <w:rFonts w:ascii="Times New Roman" w:hAnsi="Times New Roman"/>
                <w:sz w:val="18"/>
                <w:szCs w:val="18"/>
              </w:rPr>
            </w:pPr>
            <w:r>
              <w:rPr>
                <w:rFonts w:hint="eastAsia" w:ascii="Times New Roman" w:hAnsi="Times New Roman"/>
                <w:sz w:val="18"/>
                <w:szCs w:val="18"/>
              </w:rPr>
              <w:t>6</w:t>
            </w:r>
          </w:p>
        </w:tc>
        <w:tc>
          <w:tcPr>
            <w:tcW w:w="811" w:type="dxa"/>
            <w:vMerge w:val="restart"/>
            <w:noWrap/>
            <w:vAlign w:val="center"/>
          </w:tcPr>
          <w:p w14:paraId="218B1097">
            <w:pPr>
              <w:widowControl/>
              <w:snapToGrid w:val="0"/>
              <w:jc w:val="left"/>
              <w:rPr>
                <w:rFonts w:ascii="Times New Roman" w:hAnsi="Times New Roman"/>
                <w:sz w:val="18"/>
                <w:szCs w:val="18"/>
              </w:rPr>
            </w:pPr>
            <w:r>
              <w:rPr>
                <w:rFonts w:ascii="Times New Roman" w:hAnsi="Times New Roman"/>
                <w:sz w:val="18"/>
                <w:szCs w:val="18"/>
              </w:rPr>
              <w:t>大封门水库饮用水水源保护区</w:t>
            </w:r>
          </w:p>
        </w:tc>
        <w:tc>
          <w:tcPr>
            <w:tcW w:w="780" w:type="dxa"/>
            <w:noWrap/>
            <w:vAlign w:val="center"/>
          </w:tcPr>
          <w:p w14:paraId="3C449DD2">
            <w:pPr>
              <w:autoSpaceDE w:val="0"/>
              <w:autoSpaceDN w:val="0"/>
              <w:snapToGrid w:val="0"/>
              <w:jc w:val="center"/>
              <w:rPr>
                <w:rFonts w:ascii="Times New Roman" w:hAnsi="Times New Roman"/>
                <w:sz w:val="18"/>
                <w:szCs w:val="18"/>
              </w:rPr>
            </w:pPr>
            <w:r>
              <w:rPr>
                <w:rFonts w:ascii="Times New Roman" w:hAnsi="Times New Roman"/>
                <w:sz w:val="18"/>
                <w:szCs w:val="18"/>
              </w:rPr>
              <w:t>一级保护区</w:t>
            </w:r>
          </w:p>
        </w:tc>
        <w:tc>
          <w:tcPr>
            <w:tcW w:w="2183" w:type="dxa"/>
            <w:noWrap/>
            <w:vAlign w:val="center"/>
          </w:tcPr>
          <w:p w14:paraId="02AC3A54">
            <w:pPr>
              <w:autoSpaceDE w:val="0"/>
              <w:autoSpaceDN w:val="0"/>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632" w:type="dxa"/>
            <w:noWrap/>
            <w:vAlign w:val="center"/>
          </w:tcPr>
          <w:p w14:paraId="03C16AEE">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20" w:type="dxa"/>
            <w:noWrap/>
            <w:vAlign w:val="center"/>
          </w:tcPr>
          <w:p w14:paraId="6A8CE686">
            <w:pPr>
              <w:adjustRightInd w:val="0"/>
              <w:snapToGrid w:val="0"/>
              <w:jc w:val="center"/>
              <w:rPr>
                <w:rFonts w:ascii="Times New Roman" w:hAnsi="Times New Roman"/>
                <w:kern w:val="0"/>
                <w:sz w:val="18"/>
                <w:szCs w:val="18"/>
              </w:rPr>
            </w:pPr>
            <w:r>
              <w:rPr>
                <w:rFonts w:ascii="Times New Roman" w:hAnsi="Times New Roman"/>
                <w:sz w:val="18"/>
                <w:szCs w:val="18"/>
              </w:rPr>
              <w:t>0</w:t>
            </w:r>
          </w:p>
        </w:tc>
        <w:tc>
          <w:tcPr>
            <w:tcW w:w="814" w:type="dxa"/>
            <w:vMerge w:val="restart"/>
            <w:noWrap/>
            <w:vAlign w:val="center"/>
          </w:tcPr>
          <w:p w14:paraId="2877E0FC">
            <w:pPr>
              <w:widowControl/>
              <w:adjustRightInd w:val="0"/>
              <w:snapToGrid w:val="0"/>
              <w:rPr>
                <w:rFonts w:ascii="Times New Roman" w:hAnsi="Times New Roman"/>
                <w:sz w:val="18"/>
                <w:szCs w:val="18"/>
              </w:rPr>
            </w:pPr>
            <w:r>
              <w:rPr>
                <w:rFonts w:ascii="Times New Roman" w:hAnsi="Times New Roman"/>
                <w:sz w:val="18"/>
                <w:szCs w:val="18"/>
              </w:rPr>
              <w:t>大封门水库饮用水水源保护区</w:t>
            </w:r>
          </w:p>
        </w:tc>
        <w:tc>
          <w:tcPr>
            <w:tcW w:w="825" w:type="dxa"/>
            <w:noWrap/>
            <w:vAlign w:val="center"/>
          </w:tcPr>
          <w:p w14:paraId="7B80DBA9">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一级保护区</w:t>
            </w:r>
          </w:p>
        </w:tc>
        <w:tc>
          <w:tcPr>
            <w:tcW w:w="1984" w:type="dxa"/>
            <w:noWrap/>
            <w:vAlign w:val="center"/>
          </w:tcPr>
          <w:p w14:paraId="61EB2860">
            <w:pPr>
              <w:adjustRightInd w:val="0"/>
              <w:snapToGrid w:val="0"/>
              <w:ind w:firstLine="360" w:firstLineChars="200"/>
              <w:rPr>
                <w:rFonts w:ascii="Times New Roman" w:hAnsi="Times New Roman"/>
                <w:sz w:val="18"/>
                <w:szCs w:val="18"/>
              </w:rPr>
            </w:pPr>
            <w:r>
              <w:rPr>
                <w:rFonts w:ascii="Times New Roman" w:hAnsi="Times New Roman"/>
                <w:kern w:val="0"/>
                <w:sz w:val="18"/>
                <w:szCs w:val="18"/>
              </w:rPr>
              <w:t>水库多年平均水位对应的高程线内的区域。</w:t>
            </w:r>
          </w:p>
        </w:tc>
        <w:tc>
          <w:tcPr>
            <w:tcW w:w="2951" w:type="dxa"/>
            <w:noWrap/>
            <w:vAlign w:val="center"/>
          </w:tcPr>
          <w:p w14:paraId="65A60050">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757" w:type="dxa"/>
            <w:noWrap/>
            <w:vAlign w:val="center"/>
          </w:tcPr>
          <w:p w14:paraId="1D94F3D3">
            <w:pPr>
              <w:adjustRightInd w:val="0"/>
              <w:snapToGrid w:val="0"/>
              <w:jc w:val="center"/>
              <w:rPr>
                <w:rFonts w:ascii="Times New Roman" w:hAnsi="Times New Roman"/>
                <w:kern w:val="0"/>
                <w:sz w:val="18"/>
                <w:szCs w:val="18"/>
              </w:rPr>
            </w:pPr>
            <w:r>
              <w:rPr>
                <w:rFonts w:ascii="Times New Roman" w:hAnsi="Times New Roman"/>
                <w:sz w:val="18"/>
                <w:szCs w:val="18"/>
              </w:rPr>
              <w:t>0.30</w:t>
            </w:r>
          </w:p>
        </w:tc>
        <w:tc>
          <w:tcPr>
            <w:tcW w:w="458" w:type="dxa"/>
            <w:vMerge w:val="restart"/>
            <w:noWrap/>
            <w:vAlign w:val="center"/>
          </w:tcPr>
          <w:p w14:paraId="2C092AB0">
            <w:pPr>
              <w:widowControl/>
              <w:snapToGrid w:val="0"/>
              <w:jc w:val="center"/>
              <w:rPr>
                <w:rFonts w:ascii="Times New Roman" w:hAnsi="Times New Roman"/>
                <w:sz w:val="18"/>
                <w:szCs w:val="18"/>
              </w:rPr>
            </w:pPr>
            <w:r>
              <w:rPr>
                <w:rFonts w:ascii="Times New Roman" w:hAnsi="Times New Roman"/>
                <w:sz w:val="18"/>
                <w:szCs w:val="18"/>
              </w:rPr>
              <w:t>调整</w:t>
            </w:r>
          </w:p>
        </w:tc>
      </w:tr>
      <w:tr w14:paraId="1AF5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465" w:type="dxa"/>
            <w:vMerge w:val="continue"/>
            <w:noWrap/>
            <w:vAlign w:val="center"/>
          </w:tcPr>
          <w:p w14:paraId="0CC49C1E">
            <w:pPr>
              <w:widowControl/>
              <w:snapToGrid w:val="0"/>
              <w:jc w:val="left"/>
              <w:rPr>
                <w:rFonts w:ascii="Times New Roman" w:hAnsi="Times New Roman"/>
                <w:sz w:val="18"/>
                <w:szCs w:val="18"/>
              </w:rPr>
            </w:pPr>
          </w:p>
        </w:tc>
        <w:tc>
          <w:tcPr>
            <w:tcW w:w="811" w:type="dxa"/>
            <w:vMerge w:val="continue"/>
            <w:noWrap/>
            <w:vAlign w:val="center"/>
          </w:tcPr>
          <w:p w14:paraId="1758C353">
            <w:pPr>
              <w:rPr>
                <w:rFonts w:ascii="Times New Roman" w:hAnsi="Times New Roman"/>
                <w:sz w:val="18"/>
                <w:szCs w:val="18"/>
              </w:rPr>
            </w:pPr>
          </w:p>
        </w:tc>
        <w:tc>
          <w:tcPr>
            <w:tcW w:w="780" w:type="dxa"/>
            <w:noWrap/>
            <w:vAlign w:val="center"/>
          </w:tcPr>
          <w:p w14:paraId="09E3FEB5">
            <w:pPr>
              <w:adjustRightInd w:val="0"/>
              <w:snapToGrid w:val="0"/>
              <w:jc w:val="center"/>
              <w:rPr>
                <w:rFonts w:ascii="Times New Roman" w:hAnsi="Times New Roman"/>
                <w:sz w:val="18"/>
                <w:szCs w:val="18"/>
              </w:rPr>
            </w:pPr>
            <w:r>
              <w:rPr>
                <w:rFonts w:ascii="Times New Roman" w:hAnsi="Times New Roman"/>
                <w:sz w:val="18"/>
                <w:szCs w:val="18"/>
              </w:rPr>
              <w:t>二级保护区</w:t>
            </w:r>
          </w:p>
        </w:tc>
        <w:tc>
          <w:tcPr>
            <w:tcW w:w="2183" w:type="dxa"/>
            <w:noWrap/>
            <w:vAlign w:val="center"/>
          </w:tcPr>
          <w:p w14:paraId="22700DEB">
            <w:pPr>
              <w:adjustRightInd w:val="0"/>
              <w:snapToGrid w:val="0"/>
              <w:ind w:firstLine="360" w:firstLineChars="200"/>
              <w:jc w:val="left"/>
              <w:rPr>
                <w:rFonts w:ascii="Times New Roman" w:hAnsi="Times New Roman"/>
                <w:sz w:val="18"/>
                <w:szCs w:val="18"/>
              </w:rPr>
            </w:pPr>
            <w:r>
              <w:rPr>
                <w:rFonts w:ascii="Times New Roman" w:hAnsi="Times New Roman"/>
                <w:sz w:val="18"/>
                <w:szCs w:val="18"/>
              </w:rPr>
              <w:t>水库多年平均水位对应的高程线内的区域。</w:t>
            </w:r>
          </w:p>
        </w:tc>
        <w:tc>
          <w:tcPr>
            <w:tcW w:w="2632" w:type="dxa"/>
            <w:noWrap/>
            <w:vAlign w:val="center"/>
          </w:tcPr>
          <w:p w14:paraId="43307916">
            <w:pPr>
              <w:adjustRightInd w:val="0"/>
              <w:snapToGrid w:val="0"/>
              <w:ind w:firstLine="360" w:firstLineChars="200"/>
              <w:jc w:val="left"/>
              <w:rPr>
                <w:rFonts w:ascii="Times New Roman" w:hAnsi="Times New Roman"/>
                <w:sz w:val="18"/>
                <w:szCs w:val="18"/>
              </w:rPr>
            </w:pPr>
            <w:r>
              <w:rPr>
                <w:rFonts w:ascii="Times New Roman" w:hAnsi="Times New Roman"/>
                <w:sz w:val="18"/>
                <w:szCs w:val="18"/>
              </w:rPr>
              <w:t>水库流域分水岭范围内的区域</w:t>
            </w:r>
            <w:r>
              <w:rPr>
                <w:rFonts w:ascii="Times New Roman" w:hAnsi="Times New Roman"/>
                <w:kern w:val="0"/>
                <w:sz w:val="18"/>
                <w:szCs w:val="18"/>
              </w:rPr>
              <w:t>。</w:t>
            </w:r>
          </w:p>
        </w:tc>
        <w:tc>
          <w:tcPr>
            <w:tcW w:w="720" w:type="dxa"/>
            <w:noWrap/>
            <w:vAlign w:val="center"/>
          </w:tcPr>
          <w:p w14:paraId="2567BEDB">
            <w:pPr>
              <w:adjustRightInd w:val="0"/>
              <w:snapToGrid w:val="0"/>
              <w:jc w:val="center"/>
              <w:rPr>
                <w:rFonts w:ascii="Times New Roman" w:hAnsi="Times New Roman"/>
                <w:kern w:val="0"/>
                <w:sz w:val="18"/>
                <w:szCs w:val="18"/>
              </w:rPr>
            </w:pPr>
            <w:r>
              <w:rPr>
                <w:rFonts w:ascii="Times New Roman" w:hAnsi="Times New Roman"/>
                <w:sz w:val="18"/>
                <w:szCs w:val="18"/>
              </w:rPr>
              <w:t>35.31</w:t>
            </w:r>
          </w:p>
        </w:tc>
        <w:tc>
          <w:tcPr>
            <w:tcW w:w="814" w:type="dxa"/>
            <w:vMerge w:val="continue"/>
            <w:noWrap/>
            <w:vAlign w:val="center"/>
          </w:tcPr>
          <w:p w14:paraId="799FDD94">
            <w:pPr>
              <w:widowControl/>
              <w:adjustRightInd w:val="0"/>
              <w:snapToGrid w:val="0"/>
              <w:rPr>
                <w:rFonts w:ascii="Times New Roman" w:hAnsi="Times New Roman"/>
                <w:sz w:val="18"/>
                <w:szCs w:val="18"/>
              </w:rPr>
            </w:pPr>
          </w:p>
        </w:tc>
        <w:tc>
          <w:tcPr>
            <w:tcW w:w="825" w:type="dxa"/>
            <w:noWrap/>
            <w:vAlign w:val="center"/>
          </w:tcPr>
          <w:p w14:paraId="2B6C2663">
            <w:pPr>
              <w:adjustRightInd w:val="0"/>
              <w:snapToGrid w:val="0"/>
              <w:jc w:val="center"/>
              <w:rPr>
                <w:rFonts w:ascii="Times New Roman" w:hAnsi="Times New Roman"/>
                <w:sz w:val="18"/>
                <w:szCs w:val="18"/>
              </w:rPr>
            </w:pPr>
            <w:r>
              <w:rPr>
                <w:rFonts w:ascii="Times New Roman" w:hAnsi="Times New Roman"/>
                <w:sz w:val="18"/>
                <w:szCs w:val="18"/>
              </w:rPr>
              <w:t>二级保护区</w:t>
            </w:r>
          </w:p>
        </w:tc>
        <w:tc>
          <w:tcPr>
            <w:tcW w:w="1984" w:type="dxa"/>
            <w:noWrap/>
            <w:vAlign w:val="center"/>
          </w:tcPr>
          <w:p w14:paraId="47117A94">
            <w:pPr>
              <w:adjustRightInd w:val="0"/>
              <w:snapToGrid w:val="0"/>
              <w:ind w:firstLine="360" w:firstLineChars="200"/>
              <w:jc w:val="center"/>
              <w:rPr>
                <w:rFonts w:ascii="Times New Roman" w:hAnsi="Times New Roman"/>
                <w:sz w:val="18"/>
                <w:szCs w:val="18"/>
              </w:rPr>
            </w:pPr>
            <w:r>
              <w:rPr>
                <w:rFonts w:hint="eastAsia" w:ascii="Times New Roman" w:hAnsi="Times New Roman"/>
                <w:sz w:val="18"/>
                <w:szCs w:val="18"/>
              </w:rPr>
              <w:t>/</w:t>
            </w:r>
          </w:p>
        </w:tc>
        <w:tc>
          <w:tcPr>
            <w:tcW w:w="2951" w:type="dxa"/>
            <w:noWrap/>
            <w:vAlign w:val="center"/>
          </w:tcPr>
          <w:p w14:paraId="2105E875">
            <w:pPr>
              <w:adjustRightInd w:val="0"/>
              <w:snapToGrid w:val="0"/>
              <w:ind w:firstLine="360" w:firstLineChars="200"/>
              <w:rPr>
                <w:rFonts w:ascii="Times New Roman" w:hAnsi="Times New Roman"/>
                <w:kern w:val="0"/>
                <w:sz w:val="18"/>
                <w:szCs w:val="18"/>
              </w:rPr>
            </w:pPr>
            <w:r>
              <w:rPr>
                <w:rFonts w:ascii="Times New Roman" w:hAnsi="Times New Roman"/>
                <w:kern w:val="0"/>
                <w:sz w:val="18"/>
                <w:szCs w:val="18"/>
              </w:rPr>
              <w:t>水库流域分水岭范围内的区域。</w:t>
            </w:r>
          </w:p>
          <w:p w14:paraId="6E7CC0B7">
            <w:pPr>
              <w:adjustRightInd w:val="0"/>
              <w:snapToGrid w:val="0"/>
              <w:ind w:firstLine="360" w:firstLineChars="200"/>
              <w:rPr>
                <w:rFonts w:ascii="Times New Roman" w:hAnsi="Times New Roman"/>
                <w:kern w:val="0"/>
                <w:sz w:val="18"/>
                <w:szCs w:val="18"/>
              </w:rPr>
            </w:pPr>
            <w:r>
              <w:rPr>
                <w:rFonts w:ascii="Times New Roman" w:hAnsi="Times New Roman"/>
                <w:kern w:val="0"/>
                <w:sz w:val="18"/>
                <w:szCs w:val="18"/>
              </w:rPr>
              <w:t>牛牯嶂水库流域分水岭范围内的区域。</w:t>
            </w:r>
          </w:p>
          <w:p w14:paraId="27E038BB">
            <w:pPr>
              <w:adjustRightInd w:val="0"/>
              <w:snapToGrid w:val="0"/>
              <w:ind w:firstLine="360" w:firstLineChars="200"/>
              <w:rPr>
                <w:rFonts w:ascii="Times New Roman" w:hAnsi="Times New Roman"/>
                <w:sz w:val="18"/>
                <w:szCs w:val="18"/>
              </w:rPr>
            </w:pPr>
            <w:r>
              <w:rPr>
                <w:rFonts w:ascii="Times New Roman" w:hAnsi="Times New Roman"/>
                <w:kern w:val="0"/>
                <w:sz w:val="18"/>
                <w:szCs w:val="18"/>
              </w:rPr>
              <w:t>派潭河与长坑河之间的区域。</w:t>
            </w:r>
          </w:p>
        </w:tc>
        <w:tc>
          <w:tcPr>
            <w:tcW w:w="757" w:type="dxa"/>
            <w:noWrap/>
            <w:vAlign w:val="center"/>
          </w:tcPr>
          <w:p w14:paraId="2FB6139C">
            <w:pPr>
              <w:adjustRightInd w:val="0"/>
              <w:snapToGrid w:val="0"/>
              <w:jc w:val="center"/>
              <w:rPr>
                <w:rFonts w:ascii="Times New Roman" w:hAnsi="Times New Roman"/>
                <w:kern w:val="0"/>
                <w:sz w:val="18"/>
                <w:szCs w:val="18"/>
              </w:rPr>
            </w:pPr>
            <w:r>
              <w:rPr>
                <w:rFonts w:ascii="Times New Roman" w:hAnsi="Times New Roman"/>
                <w:sz w:val="18"/>
                <w:szCs w:val="18"/>
              </w:rPr>
              <w:t>56.26</w:t>
            </w:r>
          </w:p>
        </w:tc>
        <w:tc>
          <w:tcPr>
            <w:tcW w:w="458" w:type="dxa"/>
            <w:vMerge w:val="continue"/>
            <w:noWrap/>
            <w:vAlign w:val="center"/>
          </w:tcPr>
          <w:p w14:paraId="02F43950">
            <w:pPr>
              <w:widowControl/>
              <w:snapToGrid w:val="0"/>
              <w:jc w:val="center"/>
              <w:rPr>
                <w:rFonts w:ascii="Times New Roman" w:hAnsi="Times New Roman"/>
                <w:sz w:val="18"/>
                <w:szCs w:val="18"/>
              </w:rPr>
            </w:pPr>
          </w:p>
        </w:tc>
      </w:tr>
      <w:tr w14:paraId="12E6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465" w:type="dxa"/>
            <w:vMerge w:val="restart"/>
            <w:noWrap/>
            <w:vAlign w:val="center"/>
          </w:tcPr>
          <w:p w14:paraId="253B980E">
            <w:pPr>
              <w:widowControl/>
              <w:snapToGrid w:val="0"/>
              <w:jc w:val="left"/>
              <w:rPr>
                <w:rFonts w:ascii="Times New Roman" w:hAnsi="Times New Roman"/>
                <w:sz w:val="18"/>
                <w:szCs w:val="18"/>
              </w:rPr>
            </w:pPr>
            <w:r>
              <w:rPr>
                <w:rFonts w:hint="eastAsia" w:ascii="Times New Roman" w:hAnsi="Times New Roman"/>
                <w:sz w:val="18"/>
                <w:szCs w:val="18"/>
              </w:rPr>
              <w:t>7</w:t>
            </w:r>
          </w:p>
        </w:tc>
        <w:tc>
          <w:tcPr>
            <w:tcW w:w="811" w:type="dxa"/>
            <w:vMerge w:val="restart"/>
            <w:noWrap/>
            <w:vAlign w:val="center"/>
          </w:tcPr>
          <w:p w14:paraId="0D52B408">
            <w:pPr>
              <w:widowControl/>
              <w:snapToGrid w:val="0"/>
              <w:jc w:val="left"/>
              <w:rPr>
                <w:rFonts w:ascii="Times New Roman" w:hAnsi="Times New Roman"/>
                <w:sz w:val="18"/>
                <w:szCs w:val="18"/>
              </w:rPr>
            </w:pPr>
            <w:r>
              <w:rPr>
                <w:rFonts w:ascii="Times New Roman" w:hAnsi="Times New Roman"/>
                <w:sz w:val="18"/>
                <w:szCs w:val="18"/>
              </w:rPr>
              <w:t>增江荔城段饮用水水源保护区</w:t>
            </w:r>
          </w:p>
        </w:tc>
        <w:tc>
          <w:tcPr>
            <w:tcW w:w="780" w:type="dxa"/>
            <w:noWrap/>
            <w:vAlign w:val="center"/>
          </w:tcPr>
          <w:p w14:paraId="5950A468">
            <w:pPr>
              <w:autoSpaceDE w:val="0"/>
              <w:autoSpaceDN w:val="0"/>
              <w:snapToGrid w:val="0"/>
              <w:jc w:val="center"/>
              <w:rPr>
                <w:rFonts w:ascii="Times New Roman" w:hAnsi="Times New Roman"/>
                <w:sz w:val="18"/>
                <w:szCs w:val="18"/>
              </w:rPr>
            </w:pPr>
            <w:r>
              <w:rPr>
                <w:rFonts w:ascii="Times New Roman" w:hAnsi="Times New Roman"/>
                <w:sz w:val="18"/>
                <w:szCs w:val="18"/>
              </w:rPr>
              <w:t>一级保护区</w:t>
            </w:r>
          </w:p>
        </w:tc>
        <w:tc>
          <w:tcPr>
            <w:tcW w:w="2183" w:type="dxa"/>
            <w:noWrap/>
            <w:vAlign w:val="center"/>
          </w:tcPr>
          <w:p w14:paraId="54263A59">
            <w:pPr>
              <w:adjustRightInd w:val="0"/>
              <w:snapToGrid w:val="0"/>
              <w:ind w:firstLine="360" w:firstLineChars="200"/>
              <w:jc w:val="left"/>
              <w:rPr>
                <w:rFonts w:ascii="Times New Roman" w:hAnsi="Times New Roman"/>
                <w:sz w:val="18"/>
                <w:szCs w:val="18"/>
              </w:rPr>
            </w:pPr>
            <w:r>
              <w:rPr>
                <w:rFonts w:ascii="Times New Roman" w:hAnsi="Times New Roman"/>
                <w:sz w:val="18"/>
                <w:szCs w:val="18"/>
              </w:rPr>
              <w:t>荔城水厂取水口上游1000米至取水口下游500米的河段，两岸防洪堤迎水坡坡顶之间的水域。</w:t>
            </w:r>
          </w:p>
        </w:tc>
        <w:tc>
          <w:tcPr>
            <w:tcW w:w="2632" w:type="dxa"/>
            <w:noWrap/>
            <w:vAlign w:val="center"/>
          </w:tcPr>
          <w:p w14:paraId="2FCBBD8B">
            <w:pPr>
              <w:adjustRightInd w:val="0"/>
              <w:snapToGrid w:val="0"/>
              <w:ind w:firstLine="360" w:firstLineChars="200"/>
              <w:jc w:val="left"/>
              <w:rPr>
                <w:rFonts w:ascii="Times New Roman" w:hAnsi="Times New Roman"/>
                <w:sz w:val="18"/>
                <w:szCs w:val="18"/>
              </w:rPr>
            </w:pPr>
            <w:r>
              <w:rPr>
                <w:rFonts w:ascii="Times New Roman" w:hAnsi="Times New Roman"/>
                <w:sz w:val="18"/>
                <w:szCs w:val="18"/>
              </w:rPr>
              <w:t>相应的一级保护区水域边界线至两岸防洪堤迎水坡坡顶之间的陆域。</w:t>
            </w:r>
          </w:p>
        </w:tc>
        <w:tc>
          <w:tcPr>
            <w:tcW w:w="720" w:type="dxa"/>
            <w:noWrap/>
            <w:vAlign w:val="center"/>
          </w:tcPr>
          <w:p w14:paraId="6C3767EC">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0.52</w:t>
            </w:r>
          </w:p>
        </w:tc>
        <w:tc>
          <w:tcPr>
            <w:tcW w:w="814" w:type="dxa"/>
            <w:vMerge w:val="restart"/>
            <w:noWrap/>
            <w:vAlign w:val="center"/>
          </w:tcPr>
          <w:p w14:paraId="1D63110F">
            <w:pPr>
              <w:widowControl/>
              <w:adjustRightInd w:val="0"/>
              <w:snapToGrid w:val="0"/>
              <w:rPr>
                <w:rFonts w:ascii="Times New Roman" w:hAnsi="Times New Roman"/>
                <w:sz w:val="18"/>
                <w:szCs w:val="18"/>
              </w:rPr>
            </w:pPr>
            <w:r>
              <w:rPr>
                <w:rFonts w:ascii="Times New Roman" w:hAnsi="Times New Roman"/>
                <w:sz w:val="18"/>
                <w:szCs w:val="18"/>
              </w:rPr>
              <w:t>增江荔城段饮用水水源保护区</w:t>
            </w:r>
          </w:p>
        </w:tc>
        <w:tc>
          <w:tcPr>
            <w:tcW w:w="825" w:type="dxa"/>
            <w:noWrap/>
            <w:vAlign w:val="center"/>
          </w:tcPr>
          <w:p w14:paraId="7AC09CF6">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一级保护区</w:t>
            </w:r>
          </w:p>
        </w:tc>
        <w:tc>
          <w:tcPr>
            <w:tcW w:w="1984" w:type="dxa"/>
            <w:noWrap/>
            <w:vAlign w:val="center"/>
          </w:tcPr>
          <w:p w14:paraId="7A45DBB8">
            <w:pPr>
              <w:adjustRightInd w:val="0"/>
              <w:snapToGrid w:val="0"/>
              <w:ind w:firstLine="360" w:firstLineChars="200"/>
              <w:jc w:val="left"/>
              <w:rPr>
                <w:rFonts w:ascii="Times New Roman" w:hAnsi="Times New Roman"/>
                <w:sz w:val="18"/>
                <w:szCs w:val="18"/>
              </w:rPr>
            </w:pPr>
            <w:r>
              <w:rPr>
                <w:rFonts w:ascii="Times New Roman" w:hAnsi="Times New Roman"/>
                <w:sz w:val="18"/>
                <w:szCs w:val="18"/>
              </w:rPr>
              <w:t>荔城水厂取水口上游1000米至取水口下游500米的河段，两岸防洪堤迎水坡坡顶之间的水域。</w:t>
            </w:r>
          </w:p>
        </w:tc>
        <w:tc>
          <w:tcPr>
            <w:tcW w:w="2951" w:type="dxa"/>
            <w:noWrap/>
            <w:vAlign w:val="center"/>
          </w:tcPr>
          <w:p w14:paraId="30DDCD4F">
            <w:pPr>
              <w:adjustRightInd w:val="0"/>
              <w:snapToGrid w:val="0"/>
              <w:ind w:firstLine="360" w:firstLineChars="200"/>
              <w:jc w:val="left"/>
              <w:rPr>
                <w:rFonts w:ascii="Times New Roman" w:hAnsi="Times New Roman"/>
                <w:sz w:val="18"/>
                <w:szCs w:val="18"/>
              </w:rPr>
            </w:pPr>
            <w:r>
              <w:rPr>
                <w:rFonts w:ascii="Times New Roman" w:hAnsi="Times New Roman"/>
                <w:sz w:val="18"/>
                <w:szCs w:val="18"/>
              </w:rPr>
              <w:t>相应的一级保护区水域边界线至两岸防洪堤迎水坡坡顶之间的陆域。</w:t>
            </w:r>
          </w:p>
        </w:tc>
        <w:tc>
          <w:tcPr>
            <w:tcW w:w="757" w:type="dxa"/>
            <w:noWrap/>
            <w:vAlign w:val="center"/>
          </w:tcPr>
          <w:p w14:paraId="2FC4C593">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0.52</w:t>
            </w:r>
          </w:p>
        </w:tc>
        <w:tc>
          <w:tcPr>
            <w:tcW w:w="458" w:type="dxa"/>
            <w:vMerge w:val="restart"/>
            <w:noWrap/>
            <w:vAlign w:val="center"/>
          </w:tcPr>
          <w:p w14:paraId="277A573E">
            <w:pPr>
              <w:widowControl/>
              <w:snapToGrid w:val="0"/>
              <w:jc w:val="center"/>
              <w:rPr>
                <w:rFonts w:ascii="Times New Roman" w:hAnsi="Times New Roman"/>
                <w:sz w:val="18"/>
                <w:szCs w:val="18"/>
              </w:rPr>
            </w:pPr>
            <w:r>
              <w:rPr>
                <w:rFonts w:hint="eastAsia" w:ascii="Times New Roman" w:hAnsi="Times New Roman"/>
                <w:sz w:val="18"/>
                <w:szCs w:val="18"/>
              </w:rPr>
              <w:t>调整</w:t>
            </w:r>
          </w:p>
        </w:tc>
      </w:tr>
      <w:tr w14:paraId="3EFA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465" w:type="dxa"/>
            <w:vMerge w:val="continue"/>
            <w:noWrap/>
            <w:vAlign w:val="center"/>
          </w:tcPr>
          <w:p w14:paraId="4A9E466A">
            <w:pPr>
              <w:widowControl/>
              <w:snapToGrid w:val="0"/>
              <w:jc w:val="left"/>
              <w:rPr>
                <w:rFonts w:ascii="Times New Roman" w:hAnsi="Times New Roman"/>
                <w:sz w:val="18"/>
                <w:szCs w:val="18"/>
              </w:rPr>
            </w:pPr>
          </w:p>
        </w:tc>
        <w:tc>
          <w:tcPr>
            <w:tcW w:w="811" w:type="dxa"/>
            <w:vMerge w:val="continue"/>
            <w:noWrap/>
            <w:vAlign w:val="center"/>
          </w:tcPr>
          <w:p w14:paraId="60347A5B">
            <w:pPr>
              <w:rPr>
                <w:rFonts w:ascii="Times New Roman" w:hAnsi="Times New Roman"/>
                <w:sz w:val="18"/>
                <w:szCs w:val="18"/>
              </w:rPr>
            </w:pPr>
          </w:p>
        </w:tc>
        <w:tc>
          <w:tcPr>
            <w:tcW w:w="780" w:type="dxa"/>
            <w:noWrap/>
            <w:vAlign w:val="center"/>
          </w:tcPr>
          <w:p w14:paraId="4FAE48B9">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二级保护区</w:t>
            </w:r>
          </w:p>
        </w:tc>
        <w:tc>
          <w:tcPr>
            <w:tcW w:w="2183" w:type="dxa"/>
            <w:noWrap/>
            <w:vAlign w:val="center"/>
          </w:tcPr>
          <w:p w14:paraId="5BA4B2CA">
            <w:pPr>
              <w:adjustRightInd w:val="0"/>
              <w:snapToGrid w:val="0"/>
              <w:ind w:firstLine="360" w:firstLineChars="200"/>
              <w:jc w:val="left"/>
              <w:rPr>
                <w:rFonts w:ascii="Times New Roman" w:hAnsi="Times New Roman"/>
                <w:sz w:val="18"/>
                <w:szCs w:val="18"/>
              </w:rPr>
            </w:pPr>
            <w:r>
              <w:rPr>
                <w:rFonts w:ascii="Times New Roman" w:hAnsi="Times New Roman"/>
                <w:sz w:val="18"/>
                <w:szCs w:val="18"/>
              </w:rPr>
              <w:t>增江小楼水厂二级保护区下边界（小楼水厂取水口下游300米处）至初溪水利大坝的河段，两岸防洪堤迎水坡坡顶之间的水域（一级保护区除外）。</w:t>
            </w:r>
          </w:p>
        </w:tc>
        <w:tc>
          <w:tcPr>
            <w:tcW w:w="2632" w:type="dxa"/>
            <w:noWrap/>
            <w:vAlign w:val="center"/>
          </w:tcPr>
          <w:p w14:paraId="6ECDF571">
            <w:pPr>
              <w:adjustRightInd w:val="0"/>
              <w:snapToGrid w:val="0"/>
              <w:ind w:firstLine="360" w:firstLineChars="200"/>
              <w:jc w:val="left"/>
              <w:rPr>
                <w:rFonts w:ascii="Times New Roman" w:hAnsi="Times New Roman"/>
                <w:sz w:val="18"/>
                <w:szCs w:val="18"/>
              </w:rPr>
            </w:pPr>
            <w:r>
              <w:rPr>
                <w:rFonts w:ascii="Times New Roman" w:hAnsi="Times New Roman"/>
                <w:sz w:val="18"/>
                <w:szCs w:val="18"/>
              </w:rPr>
              <w:t>相应的一、二级保护区水域边界线至两岸防洪堤背水坡坡脚外延约30米的陆域（一级保护区除外）。</w:t>
            </w:r>
          </w:p>
        </w:tc>
        <w:tc>
          <w:tcPr>
            <w:tcW w:w="720" w:type="dxa"/>
            <w:noWrap/>
            <w:vAlign w:val="center"/>
          </w:tcPr>
          <w:p w14:paraId="55E32E0B">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10.68</w:t>
            </w:r>
          </w:p>
        </w:tc>
        <w:tc>
          <w:tcPr>
            <w:tcW w:w="814" w:type="dxa"/>
            <w:vMerge w:val="continue"/>
            <w:noWrap/>
            <w:vAlign w:val="center"/>
          </w:tcPr>
          <w:p w14:paraId="38023DEA">
            <w:pPr>
              <w:widowControl/>
              <w:adjustRightInd w:val="0"/>
              <w:snapToGrid w:val="0"/>
              <w:rPr>
                <w:rFonts w:ascii="Times New Roman" w:hAnsi="Times New Roman"/>
                <w:sz w:val="18"/>
                <w:szCs w:val="18"/>
              </w:rPr>
            </w:pPr>
          </w:p>
        </w:tc>
        <w:tc>
          <w:tcPr>
            <w:tcW w:w="825" w:type="dxa"/>
            <w:noWrap/>
            <w:vAlign w:val="center"/>
          </w:tcPr>
          <w:p w14:paraId="3D86D9E4">
            <w:pPr>
              <w:autoSpaceDE w:val="0"/>
              <w:autoSpaceDN w:val="0"/>
              <w:adjustRightInd w:val="0"/>
              <w:snapToGrid w:val="0"/>
              <w:jc w:val="center"/>
              <w:rPr>
                <w:rFonts w:ascii="Times New Roman" w:hAnsi="Times New Roman"/>
                <w:sz w:val="18"/>
                <w:szCs w:val="18"/>
              </w:rPr>
            </w:pPr>
            <w:r>
              <w:rPr>
                <w:rFonts w:ascii="Times New Roman" w:hAnsi="Times New Roman"/>
                <w:sz w:val="18"/>
                <w:szCs w:val="18"/>
              </w:rPr>
              <w:t>二级保护区</w:t>
            </w:r>
          </w:p>
        </w:tc>
        <w:tc>
          <w:tcPr>
            <w:tcW w:w="1984" w:type="dxa"/>
            <w:noWrap/>
            <w:vAlign w:val="center"/>
          </w:tcPr>
          <w:p w14:paraId="104878D0">
            <w:pPr>
              <w:adjustRightInd w:val="0"/>
              <w:snapToGrid w:val="0"/>
              <w:ind w:firstLine="360" w:firstLineChars="200"/>
              <w:jc w:val="left"/>
              <w:rPr>
                <w:rFonts w:ascii="Times New Roman" w:hAnsi="Times New Roman"/>
                <w:sz w:val="18"/>
                <w:szCs w:val="18"/>
              </w:rPr>
            </w:pPr>
            <w:r>
              <w:rPr>
                <w:rFonts w:ascii="Times New Roman" w:hAnsi="Times New Roman"/>
                <w:sz w:val="18"/>
                <w:szCs w:val="18"/>
              </w:rPr>
              <w:t>增江小楼段准保护区下边界（原小楼水厂取水口下游620米处）至初溪水利大坝的河段，两岸防洪堤迎水坡坡顶之间的水域（一级保护区除外）。</w:t>
            </w:r>
          </w:p>
        </w:tc>
        <w:tc>
          <w:tcPr>
            <w:tcW w:w="2951" w:type="dxa"/>
            <w:noWrap/>
            <w:vAlign w:val="center"/>
          </w:tcPr>
          <w:p w14:paraId="1F30284A">
            <w:pPr>
              <w:adjustRightInd w:val="0"/>
              <w:snapToGrid w:val="0"/>
              <w:ind w:firstLine="360" w:firstLineChars="200"/>
              <w:jc w:val="left"/>
              <w:rPr>
                <w:rFonts w:ascii="Times New Roman" w:hAnsi="Times New Roman"/>
                <w:sz w:val="18"/>
                <w:szCs w:val="18"/>
              </w:rPr>
            </w:pPr>
            <w:r>
              <w:rPr>
                <w:rFonts w:ascii="Times New Roman" w:hAnsi="Times New Roman"/>
                <w:sz w:val="18"/>
                <w:szCs w:val="18"/>
              </w:rPr>
              <w:t>相应的一、二级保护区水域边界线至两岸防洪堤背水坡坡脚外延约30米的陆域（一级保护区除外）。</w:t>
            </w:r>
          </w:p>
        </w:tc>
        <w:tc>
          <w:tcPr>
            <w:tcW w:w="757" w:type="dxa"/>
            <w:noWrap/>
            <w:vAlign w:val="center"/>
          </w:tcPr>
          <w:p w14:paraId="78A53459">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10.53</w:t>
            </w:r>
          </w:p>
        </w:tc>
        <w:tc>
          <w:tcPr>
            <w:tcW w:w="458" w:type="dxa"/>
            <w:vMerge w:val="continue"/>
            <w:noWrap/>
            <w:vAlign w:val="center"/>
          </w:tcPr>
          <w:p w14:paraId="7AD229CC">
            <w:pPr>
              <w:widowControl/>
              <w:snapToGrid w:val="0"/>
              <w:rPr>
                <w:rFonts w:ascii="Times New Roman" w:hAnsi="Times New Roman"/>
                <w:sz w:val="18"/>
                <w:szCs w:val="18"/>
              </w:rPr>
            </w:pPr>
          </w:p>
        </w:tc>
      </w:tr>
      <w:tr w14:paraId="533C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3" w:hRule="atLeast"/>
          <w:jc w:val="center"/>
        </w:trPr>
        <w:tc>
          <w:tcPr>
            <w:tcW w:w="465" w:type="dxa"/>
            <w:vMerge w:val="continue"/>
            <w:noWrap/>
            <w:vAlign w:val="center"/>
          </w:tcPr>
          <w:p w14:paraId="176B355D">
            <w:pPr>
              <w:widowControl/>
              <w:snapToGrid w:val="0"/>
              <w:jc w:val="left"/>
              <w:rPr>
                <w:rFonts w:ascii="Times New Roman" w:hAnsi="Times New Roman"/>
                <w:sz w:val="18"/>
                <w:szCs w:val="18"/>
              </w:rPr>
            </w:pPr>
          </w:p>
        </w:tc>
        <w:tc>
          <w:tcPr>
            <w:tcW w:w="811" w:type="dxa"/>
            <w:vMerge w:val="continue"/>
            <w:noWrap/>
            <w:vAlign w:val="center"/>
          </w:tcPr>
          <w:p w14:paraId="4135D31C">
            <w:pPr>
              <w:rPr>
                <w:rFonts w:ascii="Times New Roman" w:hAnsi="Times New Roman"/>
                <w:sz w:val="18"/>
                <w:szCs w:val="18"/>
              </w:rPr>
            </w:pPr>
          </w:p>
        </w:tc>
        <w:tc>
          <w:tcPr>
            <w:tcW w:w="780" w:type="dxa"/>
            <w:noWrap/>
            <w:vAlign w:val="center"/>
          </w:tcPr>
          <w:p w14:paraId="11A1B13A">
            <w:pPr>
              <w:adjustRightInd w:val="0"/>
              <w:snapToGrid w:val="0"/>
              <w:jc w:val="center"/>
              <w:rPr>
                <w:rFonts w:ascii="Times New Roman" w:hAnsi="Times New Roman"/>
                <w:sz w:val="18"/>
                <w:szCs w:val="18"/>
              </w:rPr>
            </w:pPr>
            <w:r>
              <w:rPr>
                <w:rFonts w:ascii="Times New Roman" w:hAnsi="Times New Roman"/>
                <w:sz w:val="18"/>
                <w:szCs w:val="18"/>
              </w:rPr>
              <w:t>准保</w:t>
            </w:r>
          </w:p>
          <w:p w14:paraId="38F51C87">
            <w:pPr>
              <w:adjustRightInd w:val="0"/>
              <w:snapToGrid w:val="0"/>
              <w:jc w:val="center"/>
              <w:rPr>
                <w:rFonts w:ascii="Times New Roman" w:hAnsi="Times New Roman"/>
                <w:sz w:val="18"/>
                <w:szCs w:val="18"/>
              </w:rPr>
            </w:pPr>
            <w:r>
              <w:rPr>
                <w:rFonts w:ascii="Times New Roman" w:hAnsi="Times New Roman"/>
                <w:sz w:val="18"/>
                <w:szCs w:val="18"/>
              </w:rPr>
              <w:t>护区</w:t>
            </w:r>
          </w:p>
        </w:tc>
        <w:tc>
          <w:tcPr>
            <w:tcW w:w="2183" w:type="dxa"/>
            <w:noWrap/>
            <w:vAlign w:val="center"/>
          </w:tcPr>
          <w:p w14:paraId="2B4781CC">
            <w:pPr>
              <w:adjustRightInd w:val="0"/>
              <w:snapToGrid w:val="0"/>
              <w:ind w:firstLine="360" w:firstLineChars="200"/>
              <w:jc w:val="left"/>
              <w:rPr>
                <w:rFonts w:ascii="Times New Roman" w:hAnsi="Times New Roman"/>
                <w:sz w:val="18"/>
                <w:szCs w:val="18"/>
              </w:rPr>
            </w:pPr>
            <w:r>
              <w:rPr>
                <w:rFonts w:ascii="Times New Roman" w:hAnsi="Times New Roman"/>
                <w:sz w:val="18"/>
                <w:szCs w:val="18"/>
              </w:rPr>
              <w:t>增江从正果至大楼的河段，两岸防洪堤迎水坡坡顶之间的水域（二级保护区除外）。</w:t>
            </w:r>
          </w:p>
          <w:p w14:paraId="6FD11C86">
            <w:pPr>
              <w:adjustRightInd w:val="0"/>
              <w:snapToGrid w:val="0"/>
              <w:ind w:firstLine="360" w:firstLineChars="200"/>
              <w:jc w:val="left"/>
              <w:rPr>
                <w:rFonts w:ascii="Times New Roman" w:hAnsi="Times New Roman"/>
                <w:sz w:val="18"/>
                <w:szCs w:val="18"/>
              </w:rPr>
            </w:pPr>
            <w:r>
              <w:rPr>
                <w:rFonts w:ascii="Times New Roman" w:hAnsi="Times New Roman"/>
                <w:sz w:val="18"/>
                <w:szCs w:val="18"/>
              </w:rPr>
              <w:t>派潭河从大封门至大楼的河段，两岸防洪堤迎水坡坡顶之间的水域。</w:t>
            </w:r>
          </w:p>
          <w:p w14:paraId="3253EFD0">
            <w:pPr>
              <w:adjustRightInd w:val="0"/>
              <w:snapToGrid w:val="0"/>
              <w:ind w:firstLine="360" w:firstLineChars="200"/>
              <w:jc w:val="left"/>
              <w:rPr>
                <w:rFonts w:ascii="Times New Roman" w:hAnsi="Times New Roman"/>
                <w:sz w:val="18"/>
                <w:szCs w:val="18"/>
              </w:rPr>
            </w:pPr>
            <w:r>
              <w:rPr>
                <w:rFonts w:ascii="Times New Roman" w:hAnsi="Times New Roman"/>
                <w:sz w:val="18"/>
                <w:szCs w:val="18"/>
              </w:rPr>
              <w:t>二龙河从亚记山至大楼的河段，两岸防洪堤迎水坡坡顶之间的水域。</w:t>
            </w:r>
          </w:p>
          <w:p w14:paraId="5386C69F">
            <w:pPr>
              <w:adjustRightInd w:val="0"/>
              <w:snapToGrid w:val="0"/>
              <w:ind w:firstLine="360" w:firstLineChars="200"/>
              <w:jc w:val="left"/>
              <w:rPr>
                <w:rFonts w:ascii="Times New Roman" w:hAnsi="Times New Roman"/>
                <w:sz w:val="18"/>
                <w:szCs w:val="18"/>
              </w:rPr>
            </w:pPr>
            <w:r>
              <w:rPr>
                <w:rFonts w:ascii="Times New Roman" w:hAnsi="Times New Roman"/>
                <w:sz w:val="18"/>
                <w:szCs w:val="18"/>
              </w:rPr>
              <w:t>灵山河从牛牯嶂至布格的河段，两岸防洪堤迎水坡坡顶之间的水域。</w:t>
            </w:r>
          </w:p>
          <w:p w14:paraId="4292BAF1">
            <w:pPr>
              <w:adjustRightInd w:val="0"/>
              <w:snapToGrid w:val="0"/>
              <w:ind w:firstLine="360" w:firstLineChars="200"/>
              <w:jc w:val="left"/>
              <w:rPr>
                <w:rFonts w:ascii="Times New Roman" w:hAnsi="Times New Roman"/>
                <w:sz w:val="18"/>
                <w:szCs w:val="18"/>
              </w:rPr>
            </w:pPr>
            <w:r>
              <w:rPr>
                <w:rFonts w:ascii="Times New Roman" w:hAnsi="Times New Roman"/>
                <w:sz w:val="18"/>
                <w:szCs w:val="18"/>
              </w:rPr>
              <w:t>拖罗河从小径凹至莲塘径的河段，两岸防洪堤迎水坡坡顶之间的水域。</w:t>
            </w:r>
          </w:p>
        </w:tc>
        <w:tc>
          <w:tcPr>
            <w:tcW w:w="2632" w:type="dxa"/>
            <w:noWrap/>
            <w:vAlign w:val="center"/>
          </w:tcPr>
          <w:p w14:paraId="1C681B17">
            <w:pPr>
              <w:adjustRightInd w:val="0"/>
              <w:snapToGrid w:val="0"/>
              <w:ind w:firstLine="360" w:firstLineChars="200"/>
              <w:jc w:val="left"/>
              <w:rPr>
                <w:rFonts w:ascii="Times New Roman" w:hAnsi="Times New Roman"/>
                <w:sz w:val="18"/>
                <w:szCs w:val="18"/>
              </w:rPr>
            </w:pPr>
            <w:r>
              <w:rPr>
                <w:rFonts w:ascii="Times New Roman" w:hAnsi="Times New Roman"/>
                <w:sz w:val="18"/>
                <w:szCs w:val="18"/>
              </w:rPr>
              <w:t>派潭河、二龙河、灵山河、拖罗河和增江（杏铺至大楼段）准保护区水域边界线向两岸纵深至防洪堤外延约1000 米的集水范围内的陆域（二级保护区除外）。</w:t>
            </w:r>
          </w:p>
          <w:p w14:paraId="075B8362">
            <w:pPr>
              <w:adjustRightInd w:val="0"/>
              <w:snapToGrid w:val="0"/>
              <w:ind w:firstLine="360" w:firstLineChars="200"/>
              <w:jc w:val="left"/>
              <w:rPr>
                <w:rFonts w:ascii="Times New Roman" w:hAnsi="Times New Roman"/>
                <w:sz w:val="18"/>
                <w:szCs w:val="18"/>
              </w:rPr>
            </w:pPr>
            <w:r>
              <w:rPr>
                <w:rFonts w:ascii="Times New Roman" w:hAnsi="Times New Roman"/>
                <w:sz w:val="18"/>
                <w:szCs w:val="18"/>
              </w:rPr>
              <w:t>从莞深高速至荔城水厂一级保护区水域下边界下游约200 米处的河段，相应的一、二级保护区水域边界线向两岸纵深至防洪堤外延约1000 米的陆域（一、二级保护区除外）。</w:t>
            </w:r>
          </w:p>
          <w:p w14:paraId="302C3482">
            <w:pPr>
              <w:adjustRightInd w:val="0"/>
              <w:snapToGrid w:val="0"/>
              <w:ind w:firstLine="360" w:firstLineChars="200"/>
              <w:jc w:val="left"/>
              <w:rPr>
                <w:rFonts w:ascii="Times New Roman" w:hAnsi="Times New Roman"/>
                <w:sz w:val="18"/>
                <w:szCs w:val="18"/>
              </w:rPr>
            </w:pPr>
            <w:r>
              <w:rPr>
                <w:rFonts w:ascii="Times New Roman" w:hAnsi="Times New Roman"/>
                <w:sz w:val="18"/>
                <w:szCs w:val="18"/>
              </w:rPr>
              <w:t>荔城水厂一级保护区水域下边界下游约200 米处至初溪水利大坝的河段，相应的二级保护区水域边界线向两岸纵深至防洪堤外延约500 米的陆域（二级保护区除外）。</w:t>
            </w:r>
          </w:p>
        </w:tc>
        <w:tc>
          <w:tcPr>
            <w:tcW w:w="720" w:type="dxa"/>
            <w:noWrap/>
            <w:vAlign w:val="center"/>
          </w:tcPr>
          <w:p w14:paraId="5C38057E">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167.22</w:t>
            </w:r>
          </w:p>
        </w:tc>
        <w:tc>
          <w:tcPr>
            <w:tcW w:w="814" w:type="dxa"/>
            <w:vMerge w:val="continue"/>
            <w:noWrap/>
            <w:vAlign w:val="center"/>
          </w:tcPr>
          <w:p w14:paraId="5E743E36">
            <w:pPr>
              <w:widowControl/>
              <w:adjustRightInd w:val="0"/>
              <w:snapToGrid w:val="0"/>
              <w:rPr>
                <w:rFonts w:ascii="Times New Roman" w:hAnsi="Times New Roman"/>
                <w:sz w:val="18"/>
                <w:szCs w:val="18"/>
              </w:rPr>
            </w:pPr>
          </w:p>
        </w:tc>
        <w:tc>
          <w:tcPr>
            <w:tcW w:w="825" w:type="dxa"/>
            <w:noWrap/>
            <w:vAlign w:val="center"/>
          </w:tcPr>
          <w:p w14:paraId="7B05CB83">
            <w:pPr>
              <w:adjustRightInd w:val="0"/>
              <w:snapToGrid w:val="0"/>
              <w:jc w:val="center"/>
              <w:rPr>
                <w:rFonts w:ascii="Times New Roman" w:hAnsi="Times New Roman"/>
                <w:sz w:val="18"/>
                <w:szCs w:val="18"/>
              </w:rPr>
            </w:pPr>
            <w:r>
              <w:rPr>
                <w:rFonts w:ascii="Times New Roman" w:hAnsi="Times New Roman"/>
                <w:sz w:val="18"/>
                <w:szCs w:val="18"/>
              </w:rPr>
              <w:t>准保护区</w:t>
            </w:r>
          </w:p>
        </w:tc>
        <w:tc>
          <w:tcPr>
            <w:tcW w:w="1984" w:type="dxa"/>
            <w:noWrap/>
            <w:vAlign w:val="center"/>
          </w:tcPr>
          <w:p w14:paraId="379F63C8">
            <w:pPr>
              <w:adjustRightInd w:val="0"/>
              <w:snapToGrid w:val="0"/>
              <w:ind w:firstLine="360" w:firstLineChars="200"/>
              <w:jc w:val="left"/>
              <w:rPr>
                <w:rFonts w:ascii="Times New Roman" w:hAnsi="Times New Roman"/>
                <w:sz w:val="18"/>
                <w:szCs w:val="18"/>
              </w:rPr>
            </w:pPr>
            <w:r>
              <w:rPr>
                <w:rFonts w:ascii="Times New Roman" w:hAnsi="Times New Roman"/>
                <w:sz w:val="18"/>
                <w:szCs w:val="18"/>
              </w:rPr>
              <w:t>增江从正果至大楼的河段，两岸防洪堤迎水坡坡顶之间的水域（二级保护区除外）。</w:t>
            </w:r>
          </w:p>
          <w:p w14:paraId="3F7818FB">
            <w:pPr>
              <w:adjustRightInd w:val="0"/>
              <w:snapToGrid w:val="0"/>
              <w:ind w:firstLine="360" w:firstLineChars="200"/>
              <w:jc w:val="left"/>
              <w:rPr>
                <w:rFonts w:ascii="Times New Roman" w:hAnsi="Times New Roman"/>
                <w:sz w:val="18"/>
                <w:szCs w:val="18"/>
              </w:rPr>
            </w:pPr>
            <w:r>
              <w:rPr>
                <w:rFonts w:ascii="Times New Roman" w:hAnsi="Times New Roman"/>
                <w:sz w:val="18"/>
                <w:szCs w:val="18"/>
              </w:rPr>
              <w:t>派潭河从大封门水库二级电站大楼的河段，两岸防洪堤迎水坡坡顶之间的水域。</w:t>
            </w:r>
          </w:p>
          <w:p w14:paraId="39E7BE62">
            <w:pPr>
              <w:adjustRightInd w:val="0"/>
              <w:snapToGrid w:val="0"/>
              <w:ind w:firstLine="360" w:firstLineChars="200"/>
              <w:jc w:val="left"/>
              <w:rPr>
                <w:rFonts w:ascii="Times New Roman" w:hAnsi="Times New Roman"/>
                <w:sz w:val="18"/>
                <w:szCs w:val="18"/>
              </w:rPr>
            </w:pPr>
            <w:r>
              <w:rPr>
                <w:rFonts w:ascii="Times New Roman" w:hAnsi="Times New Roman"/>
                <w:sz w:val="18"/>
                <w:szCs w:val="18"/>
              </w:rPr>
              <w:t>二龙河从亚记山至大楼的河段，两岸防洪堤迎水坡坡顶之间的水域。</w:t>
            </w:r>
          </w:p>
          <w:p w14:paraId="2960D303">
            <w:pPr>
              <w:adjustRightInd w:val="0"/>
              <w:snapToGrid w:val="0"/>
              <w:ind w:firstLine="360" w:firstLineChars="200"/>
              <w:jc w:val="left"/>
              <w:rPr>
                <w:rFonts w:ascii="Times New Roman" w:hAnsi="Times New Roman"/>
                <w:sz w:val="18"/>
                <w:szCs w:val="18"/>
              </w:rPr>
            </w:pPr>
            <w:r>
              <w:rPr>
                <w:rFonts w:ascii="Times New Roman" w:hAnsi="Times New Roman"/>
                <w:sz w:val="18"/>
                <w:szCs w:val="18"/>
              </w:rPr>
              <w:t>灵山河从横岭至布格的河段，两岸防洪堤迎水坡坡顶之间的水域。</w:t>
            </w:r>
          </w:p>
          <w:p w14:paraId="29FFFE58">
            <w:pPr>
              <w:adjustRightInd w:val="0"/>
              <w:snapToGrid w:val="0"/>
              <w:ind w:firstLine="360" w:firstLineChars="200"/>
              <w:jc w:val="left"/>
              <w:rPr>
                <w:rFonts w:ascii="Times New Roman" w:hAnsi="Times New Roman"/>
                <w:sz w:val="18"/>
                <w:szCs w:val="18"/>
              </w:rPr>
            </w:pPr>
            <w:r>
              <w:rPr>
                <w:rFonts w:ascii="Times New Roman" w:hAnsi="Times New Roman"/>
                <w:sz w:val="18"/>
                <w:szCs w:val="18"/>
              </w:rPr>
              <w:t>拖罗河从小径凹至莲塘径的河段，两岸防洪堤迎水坡坡顶之间的水域。</w:t>
            </w:r>
          </w:p>
        </w:tc>
        <w:tc>
          <w:tcPr>
            <w:tcW w:w="2951" w:type="dxa"/>
            <w:noWrap/>
            <w:vAlign w:val="center"/>
          </w:tcPr>
          <w:p w14:paraId="170F5E74">
            <w:pPr>
              <w:adjustRightInd w:val="0"/>
              <w:snapToGrid w:val="0"/>
              <w:ind w:firstLine="360" w:firstLineChars="200"/>
              <w:jc w:val="left"/>
              <w:rPr>
                <w:rFonts w:ascii="Times New Roman" w:hAnsi="Times New Roman"/>
                <w:sz w:val="18"/>
                <w:szCs w:val="18"/>
              </w:rPr>
            </w:pPr>
            <w:r>
              <w:rPr>
                <w:rFonts w:ascii="Times New Roman" w:hAnsi="Times New Roman"/>
                <w:sz w:val="18"/>
                <w:szCs w:val="18"/>
              </w:rPr>
              <w:t>派潭河、二龙河、灵山河、拖罗河和增江（杏铺至大楼段）准保护区水域边界线向两岸纵深至防洪堤外延约1000 米的集水范围内的陆域（二级保护区除外）。</w:t>
            </w:r>
          </w:p>
          <w:p w14:paraId="3B936BC1">
            <w:pPr>
              <w:adjustRightInd w:val="0"/>
              <w:snapToGrid w:val="0"/>
              <w:ind w:firstLine="360" w:firstLineChars="200"/>
              <w:jc w:val="left"/>
              <w:rPr>
                <w:rFonts w:ascii="Times New Roman" w:hAnsi="Times New Roman"/>
                <w:sz w:val="18"/>
                <w:szCs w:val="18"/>
              </w:rPr>
            </w:pPr>
            <w:r>
              <w:rPr>
                <w:rFonts w:ascii="Times New Roman" w:hAnsi="Times New Roman"/>
                <w:sz w:val="18"/>
                <w:szCs w:val="18"/>
              </w:rPr>
              <w:t>从莞深高速至荔城水厂一级保护区水域下边界下游约200 米处的河段，相应的一、二级保护区水域边界线向两岸纵深至防洪堤外延约1000 米的陆域（一、二级保护区除外）。</w:t>
            </w:r>
          </w:p>
          <w:p w14:paraId="691AC48D">
            <w:pPr>
              <w:adjustRightInd w:val="0"/>
              <w:snapToGrid w:val="0"/>
              <w:ind w:firstLine="360" w:firstLineChars="200"/>
              <w:jc w:val="left"/>
              <w:rPr>
                <w:rFonts w:ascii="Times New Roman" w:hAnsi="Times New Roman"/>
                <w:sz w:val="18"/>
                <w:szCs w:val="18"/>
              </w:rPr>
            </w:pPr>
            <w:r>
              <w:rPr>
                <w:rFonts w:ascii="Times New Roman" w:hAnsi="Times New Roman"/>
                <w:sz w:val="18"/>
                <w:szCs w:val="18"/>
              </w:rPr>
              <w:t>荔城水厂一级保护区水域下边界下游约200 米处至初溪水利大坝的河段，相应的二级保护区水域边界线向两岸纵深至防洪堤外延约500 米的陆域（二级保护区除外）。</w:t>
            </w:r>
          </w:p>
        </w:tc>
        <w:tc>
          <w:tcPr>
            <w:tcW w:w="757" w:type="dxa"/>
            <w:noWrap/>
            <w:vAlign w:val="center"/>
          </w:tcPr>
          <w:p w14:paraId="0FBE3C01">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153.73</w:t>
            </w:r>
          </w:p>
        </w:tc>
        <w:tc>
          <w:tcPr>
            <w:tcW w:w="458" w:type="dxa"/>
            <w:vMerge w:val="continue"/>
            <w:noWrap/>
            <w:vAlign w:val="center"/>
          </w:tcPr>
          <w:p w14:paraId="52E47528">
            <w:pPr>
              <w:widowControl/>
              <w:snapToGrid w:val="0"/>
              <w:rPr>
                <w:rFonts w:ascii="Times New Roman" w:hAnsi="Times New Roman"/>
                <w:sz w:val="18"/>
                <w:szCs w:val="18"/>
              </w:rPr>
            </w:pPr>
          </w:p>
        </w:tc>
      </w:tr>
    </w:tbl>
    <w:p w14:paraId="2C56649D">
      <w:pPr>
        <w:keepNext w:val="0"/>
        <w:keepLines w:val="0"/>
        <w:pageBreakBefore w:val="0"/>
        <w:widowControl w:val="0"/>
        <w:kinsoku/>
        <w:wordWrap/>
        <w:overflowPunct/>
        <w:topLinePunct w:val="0"/>
        <w:autoSpaceDE/>
        <w:autoSpaceDN/>
        <w:bidi w:val="0"/>
        <w:adjustRightInd/>
        <w:snapToGrid/>
        <w:spacing w:line="20" w:lineRule="exact"/>
        <w:jc w:val="center"/>
        <w:textAlignment w:val="auto"/>
        <w:rPr>
          <w:rFonts w:ascii="Times New Roman" w:hAnsi="Times New Roman" w:eastAsia="方正小标宋简体"/>
          <w:sz w:val="28"/>
          <w:szCs w:val="28"/>
        </w:rPr>
        <w:sectPr>
          <w:footerReference r:id="rId3" w:type="default"/>
          <w:footerReference r:id="rId4" w:type="even"/>
          <w:pgSz w:w="16838" w:h="11906" w:orient="landscape"/>
          <w:pgMar w:top="1134" w:right="1134" w:bottom="1134" w:left="1134" w:header="1134" w:footer="850" w:gutter="0"/>
          <w:pgNumType w:fmt="decimal"/>
          <w:cols w:space="0" w:num="1"/>
          <w:rtlGutter w:val="0"/>
          <w:docGrid w:type="lines" w:linePitch="322" w:charSpace="0"/>
        </w:sectPr>
      </w:pPr>
    </w:p>
    <w:p w14:paraId="28DCC773">
      <w:pPr>
        <w:jc w:val="center"/>
        <w:rPr>
          <w:rFonts w:ascii="Times New Roman" w:hAnsi="Times New Roman" w:eastAsia="黑体"/>
          <w:sz w:val="24"/>
        </w:rPr>
      </w:pPr>
      <w:r>
        <w:rPr>
          <w:rFonts w:ascii="Times New Roman" w:hAnsi="Times New Roman" w:eastAsia="黑体"/>
          <w:sz w:val="24"/>
        </w:rPr>
        <w:drawing>
          <wp:inline distT="0" distB="0" distL="114300" distR="114300">
            <wp:extent cx="5717540" cy="7785100"/>
            <wp:effectExtent l="0" t="0" r="16510" b="6350"/>
            <wp:docPr id="3" name="图片 1" descr="增江小楼段饮用水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增江小楼段饮用水源保护区"/>
                    <pic:cNvPicPr>
                      <a:picLocks noChangeAspect="1"/>
                    </pic:cNvPicPr>
                  </pic:nvPicPr>
                  <pic:blipFill>
                    <a:blip r:embed="rId19"/>
                    <a:stretch>
                      <a:fillRect/>
                    </a:stretch>
                  </pic:blipFill>
                  <pic:spPr>
                    <a:xfrm>
                      <a:off x="0" y="0"/>
                      <a:ext cx="5717540" cy="7785100"/>
                    </a:xfrm>
                    <a:prstGeom prst="rect">
                      <a:avLst/>
                    </a:prstGeom>
                    <a:noFill/>
                    <a:ln>
                      <a:noFill/>
                    </a:ln>
                  </pic:spPr>
                </pic:pic>
              </a:graphicData>
            </a:graphic>
          </wp:inline>
        </w:drawing>
      </w:r>
    </w:p>
    <w:p w14:paraId="2B7BBD62">
      <w:pPr>
        <w:jc w:val="center"/>
        <w:rPr>
          <w:rFonts w:ascii="Times New Roman" w:hAnsi="Times New Roman" w:eastAsia="黑体"/>
          <w:sz w:val="24"/>
        </w:rPr>
      </w:pPr>
      <w:r>
        <w:rPr>
          <w:rFonts w:ascii="Times New Roman" w:hAnsi="Times New Roman" w:eastAsia="黑体"/>
          <w:sz w:val="24"/>
        </w:rPr>
        <w:t>附图1 增江小楼段饮用水水源保护区主要拐点分布图</w:t>
      </w:r>
    </w:p>
    <w:p w14:paraId="5FC3DE30">
      <w:pPr>
        <w:spacing w:line="590" w:lineRule="exact"/>
        <w:rPr>
          <w:rFonts w:ascii="Times New Roman" w:hAnsi="Times New Roman" w:eastAsia="黑体"/>
          <w:sz w:val="24"/>
        </w:rPr>
        <w:sectPr>
          <w:footerReference r:id="rId5" w:type="default"/>
          <w:footerReference r:id="rId6" w:type="even"/>
          <w:pgSz w:w="11906" w:h="16838"/>
          <w:pgMar w:top="2098" w:right="1247" w:bottom="1758" w:left="1588" w:header="1134" w:footer="1503" w:gutter="0"/>
          <w:pgNumType w:fmt="decimal"/>
          <w:cols w:space="720" w:num="1"/>
          <w:docGrid w:type="lines" w:linePitch="312" w:charSpace="0"/>
        </w:sectPr>
      </w:pPr>
    </w:p>
    <w:p w14:paraId="1651F4E6">
      <w:pPr>
        <w:jc w:val="center"/>
        <w:rPr>
          <w:rFonts w:ascii="Times New Roman" w:hAnsi="Times New Roman" w:eastAsia="黑体"/>
          <w:sz w:val="24"/>
        </w:rPr>
      </w:pPr>
      <w:r>
        <w:rPr>
          <w:rFonts w:ascii="Times New Roman" w:hAnsi="Times New Roman" w:eastAsia="黑体"/>
          <w:sz w:val="24"/>
        </w:rPr>
        <w:drawing>
          <wp:inline distT="0" distB="0" distL="114300" distR="114300">
            <wp:extent cx="8860155" cy="5582920"/>
            <wp:effectExtent l="0" t="0" r="17145" b="17780"/>
            <wp:docPr id="6" name="图片 2" descr="联安水库饮用水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联安水库饮用水源保护区"/>
                    <pic:cNvPicPr>
                      <a:picLocks noChangeAspect="1"/>
                    </pic:cNvPicPr>
                  </pic:nvPicPr>
                  <pic:blipFill>
                    <a:blip r:embed="rId20"/>
                    <a:stretch>
                      <a:fillRect/>
                    </a:stretch>
                  </pic:blipFill>
                  <pic:spPr>
                    <a:xfrm>
                      <a:off x="0" y="0"/>
                      <a:ext cx="8860155" cy="5582920"/>
                    </a:xfrm>
                    <a:prstGeom prst="rect">
                      <a:avLst/>
                    </a:prstGeom>
                    <a:noFill/>
                    <a:ln>
                      <a:noFill/>
                    </a:ln>
                  </pic:spPr>
                </pic:pic>
              </a:graphicData>
            </a:graphic>
          </wp:inline>
        </w:drawing>
      </w:r>
    </w:p>
    <w:p w14:paraId="75E512CC">
      <w:pPr>
        <w:jc w:val="center"/>
        <w:rPr>
          <w:rFonts w:ascii="Times New Roman" w:hAnsi="Times New Roman" w:eastAsia="黑体"/>
          <w:sz w:val="24"/>
        </w:rPr>
        <w:sectPr>
          <w:footerReference r:id="rId7" w:type="default"/>
          <w:footerReference r:id="rId8" w:type="even"/>
          <w:pgSz w:w="16838" w:h="11905" w:orient="landscape"/>
          <w:pgMar w:top="1134" w:right="1134" w:bottom="1134" w:left="1134" w:header="1134" w:footer="850" w:gutter="0"/>
          <w:pgNumType w:fmt="decimal"/>
          <w:cols w:space="0" w:num="1"/>
          <w:rtlGutter w:val="0"/>
          <w:docGrid w:type="lines" w:linePitch="322" w:charSpace="0"/>
        </w:sectPr>
      </w:pPr>
      <w:r>
        <w:rPr>
          <w:rFonts w:ascii="Times New Roman" w:hAnsi="Times New Roman" w:eastAsia="黑体"/>
          <w:sz w:val="24"/>
        </w:rPr>
        <w:t>附图</w:t>
      </w:r>
      <w:r>
        <w:rPr>
          <w:rFonts w:hint="eastAsia" w:ascii="Times New Roman" w:hAnsi="Times New Roman" w:eastAsia="黑体"/>
          <w:sz w:val="24"/>
        </w:rPr>
        <w:t>2</w:t>
      </w:r>
      <w:r>
        <w:rPr>
          <w:rFonts w:ascii="Times New Roman" w:hAnsi="Times New Roman" w:eastAsia="黑体"/>
          <w:sz w:val="24"/>
        </w:rPr>
        <w:t xml:space="preserve"> 联安水库饮用水水源保护区主要拐点分布图</w:t>
      </w:r>
    </w:p>
    <w:p w14:paraId="135C5351">
      <w:pPr>
        <w:jc w:val="center"/>
        <w:rPr>
          <w:rFonts w:ascii="Times New Roman" w:hAnsi="Times New Roman" w:eastAsia="黑体"/>
          <w:sz w:val="24"/>
        </w:rPr>
      </w:pPr>
      <w:r>
        <w:rPr>
          <w:rFonts w:ascii="Times New Roman" w:hAnsi="Times New Roman" w:eastAsia="黑体"/>
          <w:sz w:val="24"/>
        </w:rPr>
        <w:drawing>
          <wp:anchor distT="0" distB="0" distL="114300" distR="114300" simplePos="0" relativeHeight="251659264" behindDoc="1" locked="0" layoutInCell="1" allowOverlap="1">
            <wp:simplePos x="0" y="0"/>
            <wp:positionH relativeFrom="column">
              <wp:posOffset>244475</wp:posOffset>
            </wp:positionH>
            <wp:positionV relativeFrom="paragraph">
              <wp:posOffset>-16510</wp:posOffset>
            </wp:positionV>
            <wp:extent cx="8911590" cy="5382260"/>
            <wp:effectExtent l="0" t="0" r="3810" b="8890"/>
            <wp:wrapNone/>
            <wp:docPr id="2" name="图片 3" descr="白洞水库饮用水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白洞水库饮用水源保护区"/>
                    <pic:cNvPicPr>
                      <a:picLocks noChangeAspect="1"/>
                    </pic:cNvPicPr>
                  </pic:nvPicPr>
                  <pic:blipFill>
                    <a:blip r:embed="rId21"/>
                    <a:stretch>
                      <a:fillRect/>
                    </a:stretch>
                  </pic:blipFill>
                  <pic:spPr>
                    <a:xfrm>
                      <a:off x="0" y="0"/>
                      <a:ext cx="8911590" cy="5382260"/>
                    </a:xfrm>
                    <a:prstGeom prst="rect">
                      <a:avLst/>
                    </a:prstGeom>
                    <a:noFill/>
                    <a:ln>
                      <a:noFill/>
                    </a:ln>
                  </pic:spPr>
                </pic:pic>
              </a:graphicData>
            </a:graphic>
          </wp:anchor>
        </w:drawing>
      </w:r>
    </w:p>
    <w:p w14:paraId="37D46D2A">
      <w:pPr>
        <w:jc w:val="center"/>
        <w:rPr>
          <w:rFonts w:ascii="Times New Roman" w:hAnsi="Times New Roman" w:eastAsia="黑体"/>
          <w:sz w:val="24"/>
        </w:rPr>
      </w:pPr>
    </w:p>
    <w:p w14:paraId="1FC61C77">
      <w:pPr>
        <w:jc w:val="center"/>
        <w:rPr>
          <w:rFonts w:ascii="Times New Roman" w:hAnsi="Times New Roman" w:eastAsia="黑体"/>
          <w:sz w:val="24"/>
        </w:rPr>
      </w:pPr>
    </w:p>
    <w:p w14:paraId="6E4BCF4D">
      <w:pPr>
        <w:jc w:val="center"/>
        <w:rPr>
          <w:rFonts w:ascii="Times New Roman" w:hAnsi="Times New Roman" w:eastAsia="黑体"/>
          <w:sz w:val="24"/>
        </w:rPr>
      </w:pPr>
    </w:p>
    <w:p w14:paraId="7AC98F4E">
      <w:pPr>
        <w:jc w:val="center"/>
        <w:rPr>
          <w:rFonts w:ascii="Times New Roman" w:hAnsi="Times New Roman" w:eastAsia="黑体"/>
          <w:sz w:val="24"/>
        </w:rPr>
      </w:pPr>
    </w:p>
    <w:p w14:paraId="4B6A6815">
      <w:pPr>
        <w:jc w:val="center"/>
        <w:rPr>
          <w:rFonts w:ascii="Times New Roman" w:hAnsi="Times New Roman" w:eastAsia="黑体"/>
          <w:sz w:val="24"/>
        </w:rPr>
      </w:pPr>
    </w:p>
    <w:p w14:paraId="50D6165B">
      <w:pPr>
        <w:jc w:val="center"/>
        <w:rPr>
          <w:rFonts w:ascii="Times New Roman" w:hAnsi="Times New Roman" w:eastAsia="黑体"/>
          <w:sz w:val="24"/>
        </w:rPr>
      </w:pPr>
    </w:p>
    <w:p w14:paraId="12445FAB">
      <w:pPr>
        <w:jc w:val="center"/>
        <w:rPr>
          <w:rFonts w:ascii="Times New Roman" w:hAnsi="Times New Roman" w:eastAsia="黑体"/>
          <w:sz w:val="24"/>
        </w:rPr>
      </w:pPr>
    </w:p>
    <w:p w14:paraId="14AACA81">
      <w:pPr>
        <w:jc w:val="center"/>
        <w:rPr>
          <w:rFonts w:ascii="Times New Roman" w:hAnsi="Times New Roman" w:eastAsia="黑体"/>
          <w:sz w:val="24"/>
        </w:rPr>
      </w:pPr>
    </w:p>
    <w:p w14:paraId="06BA6DF6">
      <w:pPr>
        <w:jc w:val="center"/>
        <w:rPr>
          <w:rFonts w:ascii="Times New Roman" w:hAnsi="Times New Roman" w:eastAsia="黑体"/>
          <w:sz w:val="24"/>
        </w:rPr>
      </w:pPr>
    </w:p>
    <w:p w14:paraId="08E438D1">
      <w:pPr>
        <w:jc w:val="center"/>
        <w:rPr>
          <w:rFonts w:ascii="Times New Roman" w:hAnsi="Times New Roman" w:eastAsia="黑体"/>
          <w:sz w:val="24"/>
        </w:rPr>
      </w:pPr>
    </w:p>
    <w:p w14:paraId="49685B19">
      <w:pPr>
        <w:jc w:val="center"/>
        <w:rPr>
          <w:rFonts w:ascii="Times New Roman" w:hAnsi="Times New Roman" w:eastAsia="黑体"/>
          <w:sz w:val="24"/>
        </w:rPr>
      </w:pPr>
    </w:p>
    <w:p w14:paraId="4ABB37FA">
      <w:pPr>
        <w:jc w:val="center"/>
        <w:rPr>
          <w:rFonts w:ascii="Times New Roman" w:hAnsi="Times New Roman" w:eastAsia="黑体"/>
          <w:sz w:val="24"/>
        </w:rPr>
      </w:pPr>
    </w:p>
    <w:p w14:paraId="7E9D8D6A">
      <w:pPr>
        <w:jc w:val="center"/>
        <w:rPr>
          <w:rFonts w:ascii="Times New Roman" w:hAnsi="Times New Roman" w:eastAsia="黑体"/>
          <w:sz w:val="24"/>
        </w:rPr>
      </w:pPr>
    </w:p>
    <w:p w14:paraId="341D7EF6">
      <w:pPr>
        <w:jc w:val="center"/>
        <w:rPr>
          <w:rFonts w:ascii="Times New Roman" w:hAnsi="Times New Roman" w:eastAsia="黑体"/>
          <w:sz w:val="24"/>
        </w:rPr>
      </w:pPr>
    </w:p>
    <w:p w14:paraId="1494CF4C">
      <w:pPr>
        <w:jc w:val="center"/>
        <w:rPr>
          <w:rFonts w:ascii="Times New Roman" w:hAnsi="Times New Roman" w:eastAsia="黑体"/>
          <w:sz w:val="24"/>
        </w:rPr>
      </w:pPr>
    </w:p>
    <w:p w14:paraId="30D0593A">
      <w:pPr>
        <w:jc w:val="center"/>
        <w:rPr>
          <w:rFonts w:ascii="Times New Roman" w:hAnsi="Times New Roman" w:eastAsia="黑体"/>
          <w:sz w:val="24"/>
        </w:rPr>
      </w:pPr>
    </w:p>
    <w:p w14:paraId="1209D7D7">
      <w:pPr>
        <w:jc w:val="center"/>
        <w:rPr>
          <w:rFonts w:ascii="Times New Roman" w:hAnsi="Times New Roman" w:eastAsia="黑体"/>
          <w:sz w:val="24"/>
        </w:rPr>
      </w:pPr>
    </w:p>
    <w:p w14:paraId="5DC7862B">
      <w:pPr>
        <w:jc w:val="center"/>
        <w:rPr>
          <w:rFonts w:ascii="Times New Roman" w:hAnsi="Times New Roman" w:eastAsia="黑体"/>
          <w:sz w:val="24"/>
        </w:rPr>
      </w:pPr>
    </w:p>
    <w:p w14:paraId="31CD5654">
      <w:pPr>
        <w:jc w:val="center"/>
        <w:rPr>
          <w:rFonts w:ascii="Times New Roman" w:hAnsi="Times New Roman" w:eastAsia="黑体"/>
          <w:sz w:val="24"/>
        </w:rPr>
      </w:pPr>
    </w:p>
    <w:p w14:paraId="13487041">
      <w:pPr>
        <w:jc w:val="center"/>
        <w:rPr>
          <w:rFonts w:ascii="Times New Roman" w:hAnsi="Times New Roman" w:eastAsia="黑体"/>
          <w:sz w:val="24"/>
        </w:rPr>
      </w:pPr>
    </w:p>
    <w:p w14:paraId="06203B77">
      <w:pPr>
        <w:jc w:val="center"/>
        <w:rPr>
          <w:rFonts w:ascii="Times New Roman" w:hAnsi="Times New Roman" w:eastAsia="黑体"/>
          <w:sz w:val="24"/>
        </w:rPr>
      </w:pPr>
    </w:p>
    <w:p w14:paraId="2E6A2660">
      <w:pPr>
        <w:jc w:val="center"/>
        <w:rPr>
          <w:rFonts w:ascii="Times New Roman" w:hAnsi="Times New Roman" w:eastAsia="黑体"/>
          <w:sz w:val="24"/>
        </w:rPr>
      </w:pPr>
    </w:p>
    <w:p w14:paraId="6C028C7C">
      <w:pPr>
        <w:jc w:val="center"/>
        <w:rPr>
          <w:rFonts w:ascii="Times New Roman" w:hAnsi="Times New Roman" w:eastAsia="黑体"/>
          <w:sz w:val="24"/>
        </w:rPr>
      </w:pPr>
    </w:p>
    <w:p w14:paraId="3AD7456C">
      <w:pPr>
        <w:jc w:val="center"/>
        <w:rPr>
          <w:rFonts w:ascii="Times New Roman" w:hAnsi="Times New Roman" w:eastAsia="黑体"/>
          <w:sz w:val="24"/>
        </w:rPr>
      </w:pPr>
    </w:p>
    <w:p w14:paraId="7C6DE360">
      <w:pPr>
        <w:jc w:val="center"/>
        <w:rPr>
          <w:rFonts w:ascii="Times New Roman" w:hAnsi="Times New Roman" w:eastAsia="黑体"/>
          <w:sz w:val="24"/>
        </w:rPr>
      </w:pPr>
    </w:p>
    <w:p w14:paraId="171637FF">
      <w:pPr>
        <w:jc w:val="center"/>
        <w:rPr>
          <w:rFonts w:ascii="Times New Roman" w:hAnsi="Times New Roman" w:eastAsia="黑体"/>
          <w:sz w:val="24"/>
        </w:rPr>
      </w:pPr>
    </w:p>
    <w:p w14:paraId="406625AC">
      <w:pPr>
        <w:jc w:val="center"/>
        <w:rPr>
          <w:rFonts w:ascii="Times New Roman" w:hAnsi="Times New Roman" w:eastAsia="黑体"/>
          <w:sz w:val="24"/>
        </w:rPr>
        <w:sectPr>
          <w:footerReference r:id="rId9" w:type="default"/>
          <w:footerReference r:id="rId10" w:type="even"/>
          <w:pgSz w:w="16838" w:h="11905" w:orient="landscape"/>
          <w:pgMar w:top="1417" w:right="1134" w:bottom="1134" w:left="1134" w:header="1134" w:footer="1134" w:gutter="0"/>
          <w:pgNumType w:fmt="decimal"/>
          <w:cols w:space="720" w:num="1"/>
          <w:docGrid w:type="lines" w:linePitch="322" w:charSpace="0"/>
        </w:sectPr>
      </w:pPr>
      <w:r>
        <w:rPr>
          <w:rFonts w:ascii="Times New Roman" w:hAnsi="Times New Roman" w:eastAsia="黑体"/>
          <w:sz w:val="24"/>
        </w:rPr>
        <w:t>附图</w:t>
      </w:r>
      <w:r>
        <w:rPr>
          <w:rFonts w:hint="eastAsia" w:ascii="Times New Roman" w:hAnsi="Times New Roman" w:eastAsia="黑体"/>
          <w:sz w:val="24"/>
        </w:rPr>
        <w:t>3白洞</w:t>
      </w:r>
      <w:r>
        <w:rPr>
          <w:rFonts w:ascii="Times New Roman" w:hAnsi="Times New Roman" w:eastAsia="黑体"/>
          <w:sz w:val="24"/>
        </w:rPr>
        <w:t>水库饮用水水源保护区主要拐点分布图</w:t>
      </w:r>
    </w:p>
    <w:p w14:paraId="6BE6F6A6">
      <w:pPr>
        <w:jc w:val="center"/>
        <w:rPr>
          <w:rFonts w:ascii="黑体" w:hAnsi="黑体" w:eastAsia="黑体"/>
          <w:sz w:val="32"/>
          <w:szCs w:val="32"/>
        </w:rPr>
      </w:pPr>
      <w:r>
        <w:rPr>
          <w:rFonts w:ascii="黑体" w:hAnsi="黑体" w:eastAsia="黑体"/>
          <w:sz w:val="32"/>
          <w:szCs w:val="32"/>
        </w:rPr>
        <w:drawing>
          <wp:inline distT="0" distB="0" distL="114300" distR="114300">
            <wp:extent cx="8994775" cy="5377180"/>
            <wp:effectExtent l="0" t="0" r="15875" b="13970"/>
            <wp:docPr id="5" name="图片 4" descr="东江北干流饮用水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东江北干流饮用水源保护区"/>
                    <pic:cNvPicPr>
                      <a:picLocks noChangeAspect="1"/>
                    </pic:cNvPicPr>
                  </pic:nvPicPr>
                  <pic:blipFill>
                    <a:blip r:embed="rId22"/>
                    <a:stretch>
                      <a:fillRect/>
                    </a:stretch>
                  </pic:blipFill>
                  <pic:spPr>
                    <a:xfrm>
                      <a:off x="0" y="0"/>
                      <a:ext cx="8994775" cy="5377180"/>
                    </a:xfrm>
                    <a:prstGeom prst="rect">
                      <a:avLst/>
                    </a:prstGeom>
                    <a:noFill/>
                    <a:ln>
                      <a:noFill/>
                    </a:ln>
                  </pic:spPr>
                </pic:pic>
              </a:graphicData>
            </a:graphic>
          </wp:inline>
        </w:drawing>
      </w:r>
    </w:p>
    <w:p w14:paraId="78B94273">
      <w:pPr>
        <w:jc w:val="center"/>
        <w:rPr>
          <w:rFonts w:ascii="Times New Roman" w:hAnsi="Times New Roman" w:eastAsia="黑体"/>
          <w:sz w:val="24"/>
        </w:rPr>
        <w:sectPr>
          <w:footerReference r:id="rId11" w:type="default"/>
          <w:footerReference r:id="rId12" w:type="even"/>
          <w:pgSz w:w="16838" w:h="11905" w:orient="landscape"/>
          <w:pgMar w:top="1417" w:right="1134" w:bottom="1134" w:left="1134" w:header="1134" w:footer="1134" w:gutter="0"/>
          <w:pgNumType w:fmt="decimal"/>
          <w:cols w:space="720" w:num="1"/>
          <w:docGrid w:type="lines" w:linePitch="322" w:charSpace="0"/>
        </w:sectPr>
      </w:pPr>
      <w:r>
        <w:rPr>
          <w:rFonts w:ascii="Times New Roman" w:hAnsi="Times New Roman" w:eastAsia="黑体"/>
          <w:sz w:val="24"/>
        </w:rPr>
        <w:t>附图</w:t>
      </w:r>
      <w:r>
        <w:rPr>
          <w:rFonts w:hint="eastAsia" w:ascii="Times New Roman" w:hAnsi="Times New Roman" w:eastAsia="黑体"/>
          <w:sz w:val="24"/>
        </w:rPr>
        <w:t>4东江北干流</w:t>
      </w:r>
      <w:r>
        <w:rPr>
          <w:rFonts w:ascii="Times New Roman" w:hAnsi="Times New Roman" w:eastAsia="黑体"/>
          <w:sz w:val="24"/>
        </w:rPr>
        <w:t>饮用水水源保护区主要拐点分布图</w:t>
      </w:r>
    </w:p>
    <w:p w14:paraId="2D145189">
      <w:pPr>
        <w:jc w:val="center"/>
        <w:rPr>
          <w:rFonts w:ascii="黑体" w:hAnsi="黑体" w:eastAsia="黑体"/>
          <w:sz w:val="32"/>
          <w:szCs w:val="32"/>
        </w:rPr>
      </w:pPr>
      <w:r>
        <w:rPr>
          <w:rFonts w:ascii="黑体" w:hAnsi="黑体" w:eastAsia="黑体"/>
          <w:sz w:val="32"/>
          <w:szCs w:val="32"/>
        </w:rPr>
        <w:drawing>
          <wp:inline distT="0" distB="0" distL="114300" distR="114300">
            <wp:extent cx="8898890" cy="5503545"/>
            <wp:effectExtent l="0" t="0" r="16510" b="1905"/>
            <wp:docPr id="7" name="图片 5" descr="大封门水库饮用水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大封门水库饮用水源保护区"/>
                    <pic:cNvPicPr>
                      <a:picLocks noChangeAspect="1"/>
                    </pic:cNvPicPr>
                  </pic:nvPicPr>
                  <pic:blipFill>
                    <a:blip r:embed="rId23"/>
                    <a:stretch>
                      <a:fillRect/>
                    </a:stretch>
                  </pic:blipFill>
                  <pic:spPr>
                    <a:xfrm>
                      <a:off x="0" y="0"/>
                      <a:ext cx="8898890" cy="5503545"/>
                    </a:xfrm>
                    <a:prstGeom prst="rect">
                      <a:avLst/>
                    </a:prstGeom>
                    <a:noFill/>
                    <a:ln>
                      <a:noFill/>
                    </a:ln>
                  </pic:spPr>
                </pic:pic>
              </a:graphicData>
            </a:graphic>
          </wp:inline>
        </w:drawing>
      </w:r>
    </w:p>
    <w:p w14:paraId="11670568">
      <w:pPr>
        <w:jc w:val="center"/>
        <w:rPr>
          <w:rFonts w:ascii="Times New Roman" w:hAnsi="Times New Roman" w:eastAsia="黑体"/>
          <w:sz w:val="24"/>
        </w:rPr>
      </w:pPr>
      <w:r>
        <w:rPr>
          <w:rFonts w:ascii="Times New Roman" w:hAnsi="Times New Roman" w:eastAsia="黑体"/>
          <w:sz w:val="24"/>
        </w:rPr>
        <w:t>附图</w:t>
      </w:r>
      <w:r>
        <w:rPr>
          <w:rFonts w:hint="eastAsia" w:ascii="Times New Roman" w:hAnsi="Times New Roman" w:eastAsia="黑体"/>
          <w:sz w:val="24"/>
        </w:rPr>
        <w:t>5大封门水库</w:t>
      </w:r>
      <w:r>
        <w:rPr>
          <w:rFonts w:ascii="Times New Roman" w:hAnsi="Times New Roman" w:eastAsia="黑体"/>
          <w:sz w:val="24"/>
        </w:rPr>
        <w:t>饮用水水源保护区主要拐点分布图</w:t>
      </w:r>
    </w:p>
    <w:p w14:paraId="32ECEF4B">
      <w:pPr>
        <w:rPr>
          <w:rFonts w:ascii="Times New Roman" w:hAnsi="Times New Roman" w:eastAsia="黑体"/>
          <w:sz w:val="24"/>
        </w:rPr>
        <w:sectPr>
          <w:footerReference r:id="rId13" w:type="default"/>
          <w:footerReference r:id="rId14" w:type="even"/>
          <w:pgSz w:w="16838" w:h="11905" w:orient="landscape"/>
          <w:pgMar w:top="1417" w:right="1134" w:bottom="1134" w:left="1134" w:header="1134" w:footer="1134" w:gutter="0"/>
          <w:pgNumType w:fmt="decimal"/>
          <w:cols w:space="720" w:num="1"/>
          <w:docGrid w:type="lines" w:linePitch="322" w:charSpace="0"/>
        </w:sectPr>
      </w:pPr>
    </w:p>
    <w:p w14:paraId="790966CB">
      <w:pPr>
        <w:jc w:val="center"/>
        <w:rPr>
          <w:rFonts w:ascii="黑体" w:hAnsi="黑体" w:eastAsia="黑体"/>
          <w:sz w:val="32"/>
          <w:szCs w:val="32"/>
        </w:rPr>
      </w:pPr>
      <w:r>
        <w:rPr>
          <w:rFonts w:ascii="黑体" w:hAnsi="黑体" w:eastAsia="黑体"/>
          <w:sz w:val="32"/>
          <w:szCs w:val="32"/>
        </w:rPr>
        <w:drawing>
          <wp:inline distT="0" distB="0" distL="114300" distR="114300">
            <wp:extent cx="5594350" cy="7914005"/>
            <wp:effectExtent l="0" t="0" r="6350" b="10795"/>
            <wp:docPr id="4" name="图片 6" descr="增江荔城段饮用水源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增江荔城段饮用水源保护区"/>
                    <pic:cNvPicPr>
                      <a:picLocks noChangeAspect="1"/>
                    </pic:cNvPicPr>
                  </pic:nvPicPr>
                  <pic:blipFill>
                    <a:blip r:embed="rId24"/>
                    <a:stretch>
                      <a:fillRect/>
                    </a:stretch>
                  </pic:blipFill>
                  <pic:spPr>
                    <a:xfrm>
                      <a:off x="0" y="0"/>
                      <a:ext cx="5594350" cy="7914005"/>
                    </a:xfrm>
                    <a:prstGeom prst="rect">
                      <a:avLst/>
                    </a:prstGeom>
                    <a:noFill/>
                    <a:ln>
                      <a:noFill/>
                    </a:ln>
                  </pic:spPr>
                </pic:pic>
              </a:graphicData>
            </a:graphic>
          </wp:inline>
        </w:drawing>
      </w:r>
    </w:p>
    <w:p w14:paraId="66718787">
      <w:pPr>
        <w:jc w:val="center"/>
        <w:rPr>
          <w:rFonts w:eastAsia="仿宋_GB2312"/>
          <w:sz w:val="28"/>
          <w:szCs w:val="28"/>
        </w:rPr>
      </w:pPr>
      <w:r>
        <w:rPr>
          <w:rFonts w:ascii="Times New Roman" w:hAnsi="Times New Roman" w:eastAsia="黑体"/>
          <w:sz w:val="24"/>
        </w:rPr>
        <w:t>附图</w:t>
      </w:r>
      <w:r>
        <w:rPr>
          <w:rFonts w:hint="eastAsia" w:ascii="Times New Roman" w:hAnsi="Times New Roman" w:eastAsia="黑体"/>
          <w:sz w:val="24"/>
        </w:rPr>
        <w:t>6增江荔城段</w:t>
      </w:r>
      <w:r>
        <w:rPr>
          <w:rFonts w:ascii="Times New Roman" w:hAnsi="Times New Roman" w:eastAsia="黑体"/>
          <w:sz w:val="24"/>
        </w:rPr>
        <w:t>饮用水水源保护区主要拐点分布图</w:t>
      </w:r>
      <w:bookmarkEnd w:id="0"/>
    </w:p>
    <w:p w14:paraId="781E0920">
      <w:pPr>
        <w:spacing w:line="560" w:lineRule="exact"/>
        <w:sectPr>
          <w:footerReference r:id="rId15" w:type="default"/>
          <w:pgSz w:w="11907" w:h="16840"/>
          <w:pgMar w:top="2098" w:right="1474" w:bottom="1758" w:left="1588" w:header="851" w:footer="992" w:gutter="0"/>
          <w:pgNumType w:fmt="decimal"/>
          <w:cols w:space="720" w:num="1"/>
          <w:docGrid w:type="lines" w:linePitch="312" w:charSpace="0"/>
        </w:sectPr>
      </w:pPr>
    </w:p>
    <w:p w14:paraId="2EF2A0B4">
      <w:pPr>
        <w:spacing w:line="240" w:lineRule="auto"/>
        <w:rPr>
          <w:rFonts w:hint="default" w:ascii="Times New Roman" w:hAnsi="Times New Roman" w:eastAsia="仿宋_GB2312" w:cs="Times New Roman"/>
          <w:sz w:val="28"/>
          <w:szCs w:val="28"/>
        </w:rPr>
      </w:pPr>
      <w:bookmarkStart w:id="1" w:name="_GoBack"/>
      <w:bookmarkEnd w:id="1"/>
    </w:p>
    <w:sectPr>
      <w:footerReference r:id="rId16" w:type="default"/>
      <w:footerReference r:id="rId17" w:type="even"/>
      <w:pgSz w:w="11907" w:h="16840"/>
      <w:pgMar w:top="2098" w:right="1474" w:bottom="1984" w:left="1588" w:header="851" w:footer="1757"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913DC">
    <w:pPr>
      <w:pStyle w:val="5"/>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9A2489">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uYdY5AgAAc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Ks3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L21jW7&#10;un+AObQs3OqN5TFNlMrb5T5A2qR4FKhXBZ2KB0xi6tl5a+Ko/3lOUQ//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HuYdY5AgAAcQQAAA4AAAAAAAAAAQAgAAAAHwEAAGRycy9lMm9Eb2Mu&#10;eG1sUEsFBgAAAAAGAAYAWQEAAMoFAAAAAA==&#10;">
              <v:fill on="f" focussize="0,0"/>
              <v:stroke on="f" weight="0.5pt"/>
              <v:imagedata o:title=""/>
              <o:lock v:ext="edit" aspectratio="f"/>
              <v:textbox inset="0mm,0mm,0mm,0mm" style="mso-fit-shape-to-text:t;">
                <w:txbxContent>
                  <w:p w14:paraId="069A2489">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18</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8DBCA">
    <w:pPr>
      <w:pStyle w:val="5"/>
      <w:ind w:right="360" w:firstLine="36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1E774">
                          <w:pPr>
                            <w:pStyle w:val="5"/>
                            <w:rPr>
                              <w:rStyle w:val="9"/>
                              <w:rFonts w:hint="eastAsia" w:ascii="Times New Roman" w:hAnsi="Times New Roman" w:eastAsia="宋体" w:cs="Times New Roman"/>
                              <w:sz w:val="28"/>
                              <w:szCs w:val="28"/>
                              <w:lang w:val="en-US" w:eastAsia="zh-CN"/>
                            </w:rPr>
                          </w:pPr>
                          <w:r>
                            <w:rPr>
                              <w:rStyle w:val="9"/>
                              <w:rFonts w:hint="eastAsia" w:ascii="Times New Roman" w:hAnsi="Times New Roman" w:cs="Times New Roman"/>
                              <w:sz w:val="28"/>
                              <w:szCs w:val="28"/>
                              <w:lang w:eastAsia="zh-CN"/>
                            </w:rPr>
                            <w:t>—</w:t>
                          </w:r>
                          <w:r>
                            <w:rPr>
                              <w:rStyle w:val="9"/>
                              <w:rFonts w:hint="eastAsia" w:ascii="Times New Roman" w:hAnsi="Times New Roman" w:cs="Times New Roman"/>
                              <w:sz w:val="28"/>
                              <w:szCs w:val="28"/>
                              <w:lang w:val="en-US" w:eastAsia="zh-CN"/>
                            </w:rPr>
                            <w:t xml:space="preserve"> </w:t>
                          </w:r>
                          <w:r>
                            <w:rPr>
                              <w:rStyle w:val="9"/>
                              <w:rFonts w:hint="default" w:ascii="Times New Roman" w:hAnsi="Times New Roman" w:cs="Times New Roman"/>
                              <w:sz w:val="28"/>
                              <w:szCs w:val="28"/>
                            </w:rPr>
                            <w:fldChar w:fldCharType="begin"/>
                          </w:r>
                          <w:r>
                            <w:rPr>
                              <w:rStyle w:val="9"/>
                              <w:rFonts w:hint="default" w:ascii="Times New Roman" w:hAnsi="Times New Roman" w:cs="Times New Roman"/>
                              <w:sz w:val="28"/>
                              <w:szCs w:val="28"/>
                            </w:rPr>
                            <w:instrText xml:space="preserve">PAGE  </w:instrText>
                          </w:r>
                          <w:r>
                            <w:rPr>
                              <w:rStyle w:val="9"/>
                              <w:rFonts w:hint="default" w:ascii="Times New Roman" w:hAnsi="Times New Roman" w:cs="Times New Roman"/>
                              <w:sz w:val="28"/>
                              <w:szCs w:val="28"/>
                            </w:rPr>
                            <w:fldChar w:fldCharType="end"/>
                          </w:r>
                          <w:r>
                            <w:rPr>
                              <w:rStyle w:val="9"/>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AE1E774">
                    <w:pPr>
                      <w:pStyle w:val="5"/>
                      <w:rPr>
                        <w:rStyle w:val="9"/>
                        <w:rFonts w:hint="eastAsia" w:ascii="Times New Roman" w:hAnsi="Times New Roman" w:eastAsia="宋体" w:cs="Times New Roman"/>
                        <w:sz w:val="28"/>
                        <w:szCs w:val="28"/>
                        <w:lang w:val="en-US" w:eastAsia="zh-CN"/>
                      </w:rPr>
                    </w:pPr>
                    <w:r>
                      <w:rPr>
                        <w:rStyle w:val="9"/>
                        <w:rFonts w:hint="eastAsia" w:ascii="Times New Roman" w:hAnsi="Times New Roman" w:cs="Times New Roman"/>
                        <w:sz w:val="28"/>
                        <w:szCs w:val="28"/>
                        <w:lang w:eastAsia="zh-CN"/>
                      </w:rPr>
                      <w:t>—</w:t>
                    </w:r>
                    <w:r>
                      <w:rPr>
                        <w:rStyle w:val="9"/>
                        <w:rFonts w:hint="eastAsia" w:ascii="Times New Roman" w:hAnsi="Times New Roman" w:cs="Times New Roman"/>
                        <w:sz w:val="28"/>
                        <w:szCs w:val="28"/>
                        <w:lang w:val="en-US" w:eastAsia="zh-CN"/>
                      </w:rPr>
                      <w:t xml:space="preserve"> </w:t>
                    </w:r>
                    <w:r>
                      <w:rPr>
                        <w:rStyle w:val="9"/>
                        <w:rFonts w:hint="default" w:ascii="Times New Roman" w:hAnsi="Times New Roman" w:cs="Times New Roman"/>
                        <w:sz w:val="28"/>
                        <w:szCs w:val="28"/>
                      </w:rPr>
                      <w:fldChar w:fldCharType="begin"/>
                    </w:r>
                    <w:r>
                      <w:rPr>
                        <w:rStyle w:val="9"/>
                        <w:rFonts w:hint="default" w:ascii="Times New Roman" w:hAnsi="Times New Roman" w:cs="Times New Roman"/>
                        <w:sz w:val="28"/>
                        <w:szCs w:val="28"/>
                      </w:rPr>
                      <w:instrText xml:space="preserve">PAGE  </w:instrText>
                    </w:r>
                    <w:r>
                      <w:rPr>
                        <w:rStyle w:val="9"/>
                        <w:rFonts w:hint="default" w:ascii="Times New Roman" w:hAnsi="Times New Roman" w:cs="Times New Roman"/>
                        <w:sz w:val="28"/>
                        <w:szCs w:val="28"/>
                      </w:rPr>
                      <w:fldChar w:fldCharType="end"/>
                    </w:r>
                    <w:r>
                      <w:rPr>
                        <w:rStyle w:val="9"/>
                        <w:rFonts w:hint="eastAsia" w:ascii="Times New Roman" w:hAnsi="Times New Roman" w:cs="Times New Roman"/>
                        <w:sz w:val="28"/>
                        <w:szCs w:val="28"/>
                        <w:lang w:val="en-US" w:eastAsia="zh-CN"/>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0C5BB">
    <w:pPr>
      <w:pStyle w:val="5"/>
      <w:ind w:right="360"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332151">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IXBE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pyFwROgIAAHEEAAAOAAAAAAAAAAEAIAAAAB8BAABkcnMvZTJvRG9j&#10;LnhtbFBLBQYAAAAABgAGAFkBAADLBQAAAAA=&#10;">
              <v:fill on="f" focussize="0,0"/>
              <v:stroke on="f" weight="0.5pt"/>
              <v:imagedata o:title=""/>
              <o:lock v:ext="edit" aspectratio="f"/>
              <v:textbox inset="0mm,0mm,0mm,0mm" style="mso-fit-shape-to-text:t;">
                <w:txbxContent>
                  <w:p w14:paraId="52332151">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D9A22">
    <w:pPr>
      <w:pStyle w:val="5"/>
      <w:ind w:right="360" w:firstLine="360"/>
    </w:pPr>
    <w:r>
      <w:rPr>
        <w:sz w:val="18"/>
      </w:rPr>
      <mc:AlternateContent>
        <mc:Choice Requires="wps">
          <w:drawing>
            <wp:anchor distT="0" distB="0" distL="114300" distR="114300" simplePos="0" relativeHeight="251669504" behindDoc="0" locked="0" layoutInCell="1" allowOverlap="1">
              <wp:simplePos x="0" y="0"/>
              <wp:positionH relativeFrom="margin">
                <wp:posOffset>199390</wp:posOffset>
              </wp:positionH>
              <wp:positionV relativeFrom="paragraph">
                <wp:posOffset>-345440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11C19">
                          <w:pPr>
                            <w:pStyle w:val="5"/>
                            <w:rPr>
                              <w:rStyle w:val="9"/>
                              <w:rFonts w:hint="eastAsia" w:asciiTheme="minorEastAsia" w:hAnsiTheme="minorEastAsia" w:eastAsiaTheme="minorEastAsia" w:cstheme="minorEastAsia"/>
                              <w:sz w:val="28"/>
                              <w:szCs w:val="28"/>
                              <w:lang w:val="en-US" w:eastAsia="zh-CN"/>
                            </w:rPr>
                          </w:pPr>
                          <w:r>
                            <w:rPr>
                              <w:rStyle w:val="9"/>
                              <w:rFonts w:hint="eastAsia" w:asciiTheme="minorEastAsia" w:hAnsiTheme="minorEastAsia" w:eastAsiaTheme="minorEastAsia" w:cstheme="minorEastAsia"/>
                              <w:sz w:val="28"/>
                              <w:szCs w:val="28"/>
                              <w:lang w:eastAsia="zh-CN"/>
                            </w:rPr>
                            <w:t>—</w:t>
                          </w:r>
                          <w:r>
                            <w:rPr>
                              <w:rStyle w:val="9"/>
                              <w:rFonts w:hint="eastAsia" w:asciiTheme="minorEastAsia" w:hAnsiTheme="minorEastAsia" w:eastAsiaTheme="minorEastAsia" w:cstheme="minorEastAsia"/>
                              <w:sz w:val="28"/>
                              <w:szCs w:val="28"/>
                              <w:lang w:val="en-US" w:eastAsia="zh-CN"/>
                            </w:rPr>
                            <w:t xml:space="preserve"> </w:t>
                          </w:r>
                          <w:r>
                            <w:rPr>
                              <w:rStyle w:val="9"/>
                              <w:rFonts w:hint="default" w:ascii="Times New Roman" w:hAnsi="Times New Roman" w:cs="Times New Roman" w:eastAsiaTheme="minorEastAsia"/>
                              <w:sz w:val="28"/>
                              <w:szCs w:val="28"/>
                            </w:rPr>
                            <w:fldChar w:fldCharType="begin"/>
                          </w:r>
                          <w:r>
                            <w:rPr>
                              <w:rStyle w:val="9"/>
                              <w:rFonts w:hint="default" w:ascii="Times New Roman" w:hAnsi="Times New Roman" w:cs="Times New Roman" w:eastAsiaTheme="minorEastAsia"/>
                              <w:sz w:val="28"/>
                              <w:szCs w:val="28"/>
                            </w:rPr>
                            <w:instrText xml:space="preserve">PAGE  </w:instrText>
                          </w:r>
                          <w:r>
                            <w:rPr>
                              <w:rStyle w:val="9"/>
                              <w:rFonts w:hint="default" w:ascii="Times New Roman" w:hAnsi="Times New Roman" w:cs="Times New Roman" w:eastAsiaTheme="minorEastAsia"/>
                              <w:sz w:val="28"/>
                              <w:szCs w:val="28"/>
                            </w:rPr>
                            <w:fldChar w:fldCharType="end"/>
                          </w:r>
                          <w:r>
                            <w:rPr>
                              <w:rStyle w:val="9"/>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pt;margin-top:-27.2pt;height:144pt;width:144pt;mso-position-horizontal-relative:margin;mso-wrap-style:none;z-index:251669504;mso-width-relative:page;mso-height-relative:page;" filled="f" stroked="f" coordsize="21600,21600" o:gfxdata="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w/Lt3XAAAACgEAAA8AAAAAAAAAAQAgAAAAIgAAAGRycy9kb3ducmV2Lnht&#10;bFBLAQIUABQAAAAIAIdO4kBhrYRyMwIAAGMEAAAOAAAAAAAAAAEAIAAAACYBAABkcnMvZTJvRG9j&#10;LnhtbFBLBQYAAAAABgAGAFkBAADLBQAAAAA=&#10;">
              <v:fill on="f" focussize="0,0"/>
              <v:stroke on="f" weight="0.5pt"/>
              <v:imagedata o:title=""/>
              <o:lock v:ext="edit" aspectratio="f"/>
              <v:textbox inset="0mm,0mm,0mm,0mm" style="mso-fit-shape-to-text:t;">
                <w:txbxContent>
                  <w:p w14:paraId="14711C19">
                    <w:pPr>
                      <w:pStyle w:val="5"/>
                      <w:rPr>
                        <w:rStyle w:val="9"/>
                        <w:rFonts w:hint="eastAsia" w:asciiTheme="minorEastAsia" w:hAnsiTheme="minorEastAsia" w:eastAsiaTheme="minorEastAsia" w:cstheme="minorEastAsia"/>
                        <w:sz w:val="28"/>
                        <w:szCs w:val="28"/>
                        <w:lang w:val="en-US" w:eastAsia="zh-CN"/>
                      </w:rPr>
                    </w:pPr>
                    <w:r>
                      <w:rPr>
                        <w:rStyle w:val="9"/>
                        <w:rFonts w:hint="eastAsia" w:asciiTheme="minorEastAsia" w:hAnsiTheme="minorEastAsia" w:eastAsiaTheme="minorEastAsia" w:cstheme="minorEastAsia"/>
                        <w:sz w:val="28"/>
                        <w:szCs w:val="28"/>
                        <w:lang w:eastAsia="zh-CN"/>
                      </w:rPr>
                      <w:t>—</w:t>
                    </w:r>
                    <w:r>
                      <w:rPr>
                        <w:rStyle w:val="9"/>
                        <w:rFonts w:hint="eastAsia" w:asciiTheme="minorEastAsia" w:hAnsiTheme="minorEastAsia" w:eastAsiaTheme="minorEastAsia" w:cstheme="minorEastAsia"/>
                        <w:sz w:val="28"/>
                        <w:szCs w:val="28"/>
                        <w:lang w:val="en-US" w:eastAsia="zh-CN"/>
                      </w:rPr>
                      <w:t xml:space="preserve"> </w:t>
                    </w:r>
                    <w:r>
                      <w:rPr>
                        <w:rStyle w:val="9"/>
                        <w:rFonts w:hint="default" w:ascii="Times New Roman" w:hAnsi="Times New Roman" w:cs="Times New Roman" w:eastAsiaTheme="minorEastAsia"/>
                        <w:sz w:val="28"/>
                        <w:szCs w:val="28"/>
                      </w:rPr>
                      <w:fldChar w:fldCharType="begin"/>
                    </w:r>
                    <w:r>
                      <w:rPr>
                        <w:rStyle w:val="9"/>
                        <w:rFonts w:hint="default" w:ascii="Times New Roman" w:hAnsi="Times New Roman" w:cs="Times New Roman" w:eastAsiaTheme="minorEastAsia"/>
                        <w:sz w:val="28"/>
                        <w:szCs w:val="28"/>
                      </w:rPr>
                      <w:instrText xml:space="preserve">PAGE  </w:instrText>
                    </w:r>
                    <w:r>
                      <w:rPr>
                        <w:rStyle w:val="9"/>
                        <w:rFonts w:hint="default" w:ascii="Times New Roman" w:hAnsi="Times New Roman" w:cs="Times New Roman" w:eastAsiaTheme="minorEastAsia"/>
                        <w:sz w:val="28"/>
                        <w:szCs w:val="28"/>
                      </w:rPr>
                      <w:fldChar w:fldCharType="end"/>
                    </w:r>
                    <w:r>
                      <w:rPr>
                        <w:rStyle w:val="9"/>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3C32F">
    <w:pPr>
      <w:pStyle w:val="5"/>
      <w:jc w:val="right"/>
      <w:rPr>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F46BEF">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29</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FF46BEF">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29</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23422">
    <w:pPr>
      <w:pStyle w:val="5"/>
      <w:rPr>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0BD5C">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385AB">
    <w:pPr>
      <w:pStyle w:val="5"/>
    </w:pPr>
    <w:r>
      <w:rPr>
        <w:sz w:val="18"/>
      </w:rPr>
      <mc:AlternateContent>
        <mc:Choice Requires="wps">
          <w:drawing>
            <wp:anchor distT="0" distB="0" distL="114300" distR="114300" simplePos="0" relativeHeight="251671552" behindDoc="0" locked="0" layoutInCell="1" allowOverlap="1">
              <wp:simplePos x="0" y="0"/>
              <wp:positionH relativeFrom="margin">
                <wp:posOffset>4330700</wp:posOffset>
              </wp:positionH>
              <wp:positionV relativeFrom="paragraph">
                <wp:posOffset>7620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3684B">
                          <w:pPr>
                            <w:pStyle w:val="5"/>
                            <w:rPr>
                              <w:rFonts w:hint="default" w:eastAsia="宋体"/>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41pt;margin-top:0.6pt;height:144pt;width:144pt;mso-position-horizontal-relative:margin;mso-wrap-style:none;z-index:251671552;mso-width-relative:page;mso-height-relative:page;" filled="f" stroked="f" coordsize="21600,21600" o:gfxdata="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xuy/zVAAAACQEAAA8AAAAAAAAAAQAgAAAAIgAAAGRycy9kb3ducmV2LnhtbFBL&#10;AQIUABQAAAAIAIdO4kD/W0FrMgIAAGMEAAAOAAAAAAAAAAEAIAAAACQBAABkcnMvZTJvRG9jLnht&#10;bFBLBQYAAAAABgAGAFkBAADIBQAAAAA=&#10;">
              <v:fill on="f" focussize="0,0"/>
              <v:stroke on="f" weight="0.5pt"/>
              <v:imagedata o:title=""/>
              <o:lock v:ext="edit" aspectratio="f"/>
              <v:textbox inset="0mm,0mm,0mm,0mm" style="mso-fit-shape-to-text:t;">
                <w:txbxContent>
                  <w:p w14:paraId="4093684B">
                    <w:pPr>
                      <w:pStyle w:val="5"/>
                      <w:rPr>
                        <w:rFonts w:hint="default" w:eastAsia="宋体"/>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3269C">
    <w:pPr>
      <w:pStyle w:val="5"/>
      <w:ind w:right="360" w:firstLine="360"/>
    </w:pPr>
    <w:r>
      <mc:AlternateContent>
        <mc:Choice Requires="wps">
          <w:drawing>
            <wp:anchor distT="0" distB="0" distL="114300" distR="114300" simplePos="0" relativeHeight="251660288" behindDoc="0" locked="0" layoutInCell="1" allowOverlap="1">
              <wp:simplePos x="0" y="0"/>
              <wp:positionH relativeFrom="margin">
                <wp:posOffset>4838700</wp:posOffset>
              </wp:positionH>
              <wp:positionV relativeFrom="paragraph">
                <wp:posOffset>-15875</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7BE3D1">
                          <w:pPr>
                            <w:pStyle w:val="5"/>
                            <w:rPr>
                              <w:sz w:val="24"/>
                              <w:szCs w:val="24"/>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81pt;margin-top:-1.25pt;height:144pt;width:144pt;mso-position-horizontal-relative:margin;mso-wrap-style:none;z-index:251660288;mso-width-relative:page;mso-height-relative:page;" filled="f" stroked="f" coordsize="21600,21600" o:gfxdata="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9Grx2AAAAAsBAAAPAAAAAAAAAAEAIAAAACIAAABkcnMvZG93&#10;bnJldi54bWxQSwECFAAUAAAACACHTuJAjG0jkDkCAABxBAAADgAAAAAAAAABACAAAAAnAQAAZHJz&#10;L2Uyb0RvYy54bWxQSwUGAAAAAAYABgBZAQAA0gUAAAAA&#10;">
              <v:fill on="f" focussize="0,0"/>
              <v:stroke on="f" weight="0.5pt"/>
              <v:imagedata o:title=""/>
              <o:lock v:ext="edit" aspectratio="f"/>
              <v:textbox inset="0mm,0mm,0mm,0mm" style="mso-fit-shape-to-text:t;">
                <w:txbxContent>
                  <w:p w14:paraId="637BE3D1">
                    <w:pPr>
                      <w:pStyle w:val="5"/>
                      <w:rPr>
                        <w:sz w:val="24"/>
                        <w:szCs w:val="24"/>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2617E">
    <w:pPr>
      <w:pStyle w:val="5"/>
      <w:ind w:right="360"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D1BAC">
                          <w:pPr>
                            <w:pStyle w:val="5"/>
                            <w:rPr>
                              <w:rStyle w:val="9"/>
                            </w:rPr>
                          </w:pPr>
                          <w:r>
                            <w:rPr>
                              <w:rStyle w:val="9"/>
                            </w:rPr>
                            <w:fldChar w:fldCharType="begin"/>
                          </w:r>
                          <w:r>
                            <w:rPr>
                              <w:rStyle w:val="9"/>
                            </w:rPr>
                            <w:instrText xml:space="preserve">PAGE  </w:instrText>
                          </w:r>
                          <w:r>
                            <w:rPr>
                              <w:rStyle w:val="9"/>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5AD1BAC">
                    <w:pPr>
                      <w:pStyle w:val="5"/>
                      <w:rPr>
                        <w:rStyle w:val="9"/>
                      </w:rPr>
                    </w:pPr>
                    <w:r>
                      <w:rPr>
                        <w:rStyle w:val="9"/>
                      </w:rPr>
                      <w:fldChar w:fldCharType="begin"/>
                    </w:r>
                    <w:r>
                      <w:rPr>
                        <w:rStyle w:val="9"/>
                      </w:rPr>
                      <w:instrText xml:space="preserve">PAGE  </w:instrText>
                    </w:r>
                    <w:r>
                      <w:rPr>
                        <w:rStyle w:val="9"/>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0C20A">
    <w:pPr>
      <w:pStyle w:val="5"/>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94015D">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3fadU5AgAAcQ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Ks3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L21jW7&#10;un+AObQs3OqN5TFNlMrb5T5A2qR4FKhXBZ2KB0xi6tl5a+Ko/3lOUQ//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3fadU5AgAAcQQAAA4AAAAAAAAAAQAgAAAAHwEAAGRycy9lMm9Eb2Mu&#10;eG1sUEsFBgAAAAAGAAYAWQEAAMoFAAAAAA==&#10;">
              <v:fill on="f" focussize="0,0"/>
              <v:stroke on="f" weight="0.5pt"/>
              <v:imagedata o:title=""/>
              <o:lock v:ext="edit" aspectratio="f"/>
              <v:textbox inset="0mm,0mm,0mm,0mm" style="mso-fit-shape-to-text:t;">
                <w:txbxContent>
                  <w:p w14:paraId="7E94015D">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F357F">
    <w:pPr>
      <w:pStyle w:val="5"/>
      <w:ind w:right="360" w:firstLine="36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8BBC2">
                          <w:pPr>
                            <w:pStyle w:val="5"/>
                            <w:rPr>
                              <w:rStyle w:val="9"/>
                              <w:rFonts w:hint="eastAsia" w:eastAsia="宋体"/>
                              <w:lang w:val="en-US" w:eastAsia="zh-CN"/>
                            </w:rPr>
                          </w:pPr>
                          <w:r>
                            <w:rPr>
                              <w:rStyle w:val="9"/>
                              <w:rFonts w:hint="eastAsia" w:ascii="Times New Roman" w:hAnsi="Times New Roman" w:cs="Times New Roman"/>
                              <w:sz w:val="28"/>
                              <w:szCs w:val="28"/>
                              <w:lang w:eastAsia="zh-CN"/>
                            </w:rPr>
                            <w:t>—</w:t>
                          </w:r>
                          <w:r>
                            <w:rPr>
                              <w:rStyle w:val="9"/>
                              <w:rFonts w:hint="eastAsia" w:ascii="Times New Roman" w:hAnsi="Times New Roman" w:cs="Times New Roman"/>
                              <w:sz w:val="28"/>
                              <w:szCs w:val="28"/>
                              <w:lang w:val="en-US" w:eastAsia="zh-CN"/>
                            </w:rPr>
                            <w:t xml:space="preserve"> </w:t>
                          </w:r>
                          <w:r>
                            <w:rPr>
                              <w:rStyle w:val="9"/>
                              <w:rFonts w:hint="default" w:ascii="Times New Roman" w:hAnsi="Times New Roman" w:cs="Times New Roman"/>
                              <w:sz w:val="28"/>
                              <w:szCs w:val="28"/>
                            </w:rPr>
                            <w:fldChar w:fldCharType="begin"/>
                          </w:r>
                          <w:r>
                            <w:rPr>
                              <w:rStyle w:val="9"/>
                              <w:rFonts w:hint="default" w:ascii="Times New Roman" w:hAnsi="Times New Roman" w:cs="Times New Roman"/>
                              <w:sz w:val="28"/>
                              <w:szCs w:val="28"/>
                            </w:rPr>
                            <w:instrText xml:space="preserve">PAGE  </w:instrText>
                          </w:r>
                          <w:r>
                            <w:rPr>
                              <w:rStyle w:val="9"/>
                              <w:rFonts w:hint="default" w:ascii="Times New Roman" w:hAnsi="Times New Roman" w:cs="Times New Roman"/>
                              <w:sz w:val="28"/>
                              <w:szCs w:val="28"/>
                            </w:rPr>
                            <w:fldChar w:fldCharType="end"/>
                          </w:r>
                          <w:r>
                            <w:rPr>
                              <w:rStyle w:val="9"/>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AA8BBC2">
                    <w:pPr>
                      <w:pStyle w:val="5"/>
                      <w:rPr>
                        <w:rStyle w:val="9"/>
                        <w:rFonts w:hint="eastAsia" w:eastAsia="宋体"/>
                        <w:lang w:val="en-US" w:eastAsia="zh-CN"/>
                      </w:rPr>
                    </w:pPr>
                    <w:r>
                      <w:rPr>
                        <w:rStyle w:val="9"/>
                        <w:rFonts w:hint="eastAsia" w:ascii="Times New Roman" w:hAnsi="Times New Roman" w:cs="Times New Roman"/>
                        <w:sz w:val="28"/>
                        <w:szCs w:val="28"/>
                        <w:lang w:eastAsia="zh-CN"/>
                      </w:rPr>
                      <w:t>—</w:t>
                    </w:r>
                    <w:r>
                      <w:rPr>
                        <w:rStyle w:val="9"/>
                        <w:rFonts w:hint="eastAsia" w:ascii="Times New Roman" w:hAnsi="Times New Roman" w:cs="Times New Roman"/>
                        <w:sz w:val="28"/>
                        <w:szCs w:val="28"/>
                        <w:lang w:val="en-US" w:eastAsia="zh-CN"/>
                      </w:rPr>
                      <w:t xml:space="preserve"> </w:t>
                    </w:r>
                    <w:r>
                      <w:rPr>
                        <w:rStyle w:val="9"/>
                        <w:rFonts w:hint="default" w:ascii="Times New Roman" w:hAnsi="Times New Roman" w:cs="Times New Roman"/>
                        <w:sz w:val="28"/>
                        <w:szCs w:val="28"/>
                      </w:rPr>
                      <w:fldChar w:fldCharType="begin"/>
                    </w:r>
                    <w:r>
                      <w:rPr>
                        <w:rStyle w:val="9"/>
                        <w:rFonts w:hint="default" w:ascii="Times New Roman" w:hAnsi="Times New Roman" w:cs="Times New Roman"/>
                        <w:sz w:val="28"/>
                        <w:szCs w:val="28"/>
                      </w:rPr>
                      <w:instrText xml:space="preserve">PAGE  </w:instrText>
                    </w:r>
                    <w:r>
                      <w:rPr>
                        <w:rStyle w:val="9"/>
                        <w:rFonts w:hint="default" w:ascii="Times New Roman" w:hAnsi="Times New Roman" w:cs="Times New Roman"/>
                        <w:sz w:val="28"/>
                        <w:szCs w:val="28"/>
                      </w:rPr>
                      <w:fldChar w:fldCharType="end"/>
                    </w:r>
                    <w:r>
                      <w:rPr>
                        <w:rStyle w:val="9"/>
                        <w:rFonts w:hint="eastAsia" w:ascii="Times New Roman" w:hAnsi="Times New Roman" w:cs="Times New Roman"/>
                        <w:sz w:val="28"/>
                        <w:szCs w:val="28"/>
                        <w:lang w:val="en-US"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6EAC7">
    <w:pPr>
      <w:pStyle w:val="5"/>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064CF0">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rMmbNwIAAHEEAAAOAAAAAAAAAAEAIAAAAB8BAABkcnMvZTJvRG9jLnht&#10;bFBLBQYAAAAABgAGAFkBAADIBQAAAAA=&#10;">
              <v:fill on="f" focussize="0,0"/>
              <v:stroke on="f" weight="0.5pt"/>
              <v:imagedata o:title=""/>
              <o:lock v:ext="edit" aspectratio="f"/>
              <v:textbox inset="0mm,0mm,0mm,0mm" style="mso-fit-shape-to-text:t;">
                <w:txbxContent>
                  <w:p w14:paraId="52064CF0">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CF5E">
    <w:pPr>
      <w:pStyle w:val="5"/>
      <w:ind w:right="360"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C5E0E">
                          <w:pPr>
                            <w:pStyle w:val="5"/>
                            <w:rPr>
                              <w:rStyle w:val="9"/>
                            </w:rPr>
                          </w:pPr>
                          <w:r>
                            <w:rPr>
                              <w:rStyle w:val="9"/>
                            </w:rPr>
                            <w:fldChar w:fldCharType="begin"/>
                          </w:r>
                          <w:r>
                            <w:rPr>
                              <w:rStyle w:val="9"/>
                            </w:rPr>
                            <w:instrText xml:space="preserve">PAGE  </w:instrText>
                          </w:r>
                          <w:r>
                            <w:rPr>
                              <w:rStyle w:val="9"/>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32C5E0E">
                    <w:pPr>
                      <w:pStyle w:val="5"/>
                      <w:rPr>
                        <w:rStyle w:val="9"/>
                      </w:rPr>
                    </w:pPr>
                    <w:r>
                      <w:rPr>
                        <w:rStyle w:val="9"/>
                      </w:rPr>
                      <w:fldChar w:fldCharType="begin"/>
                    </w:r>
                    <w:r>
                      <w:rPr>
                        <w:rStyle w:val="9"/>
                      </w:rPr>
                      <w:instrText xml:space="preserve">PAGE  </w:instrText>
                    </w:r>
                    <w:r>
                      <w:rPr>
                        <w:rStyle w:val="9"/>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79C1F">
    <w:pPr>
      <w:pStyle w:val="5"/>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B5B797">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eg945AgAAc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oeg945AgAAcQQAAA4AAAAAAAAAAQAgAAAAHwEAAGRycy9lMm9Eb2Mu&#10;eG1sUEsFBgAAAAAGAAYAWQEAAMoFAAAAAA==&#10;">
              <v:fill on="f" focussize="0,0"/>
              <v:stroke on="f" weight="0.5pt"/>
              <v:imagedata o:title=""/>
              <o:lock v:ext="edit" aspectratio="f"/>
              <v:textbox inset="0mm,0mm,0mm,0mm" style="mso-fit-shape-to-text:t;">
                <w:txbxContent>
                  <w:p w14:paraId="21B5B797">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evenAndOddHeaders w:val="1"/>
  <w:drawingGridHorizontalSpacing w:val="158"/>
  <w:drawingGridVerticalSpacing w:val="290"/>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1209C0"/>
    <w:rsid w:val="052377B6"/>
    <w:rsid w:val="0C1209C0"/>
    <w:rsid w:val="1A3A307A"/>
    <w:rsid w:val="1A9054E9"/>
    <w:rsid w:val="1CEF5839"/>
    <w:rsid w:val="2248467C"/>
    <w:rsid w:val="23C7754E"/>
    <w:rsid w:val="2446057F"/>
    <w:rsid w:val="33D029EC"/>
    <w:rsid w:val="358D192B"/>
    <w:rsid w:val="37AA7BE2"/>
    <w:rsid w:val="3EA91B8B"/>
    <w:rsid w:val="3F1178EB"/>
    <w:rsid w:val="429D0056"/>
    <w:rsid w:val="438400A7"/>
    <w:rsid w:val="43A06218"/>
    <w:rsid w:val="48D232F9"/>
    <w:rsid w:val="4DA0266A"/>
    <w:rsid w:val="4E0F33BD"/>
    <w:rsid w:val="4E176FC9"/>
    <w:rsid w:val="50225D92"/>
    <w:rsid w:val="50595D18"/>
    <w:rsid w:val="56CB4D53"/>
    <w:rsid w:val="5C4F542B"/>
    <w:rsid w:val="5DB7588F"/>
    <w:rsid w:val="63A52797"/>
    <w:rsid w:val="684D01F5"/>
    <w:rsid w:val="68882673"/>
    <w:rsid w:val="68B27C9D"/>
    <w:rsid w:val="68B66B18"/>
    <w:rsid w:val="692073C4"/>
    <w:rsid w:val="6B512EAC"/>
    <w:rsid w:val="6FF435E7"/>
    <w:rsid w:val="7471756E"/>
    <w:rsid w:val="7D330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32"/>
      <w:szCs w:val="24"/>
      <w:lang w:val="en-US" w:eastAsia="zh-CN" w:bidi="ar-SA"/>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ind w:left="420"/>
    </w:pPr>
  </w:style>
  <w:style w:type="paragraph" w:styleId="3">
    <w:name w:val="Normal Indent"/>
    <w:basedOn w:val="1"/>
    <w:next w:val="4"/>
    <w:qFormat/>
    <w:uiPriority w:val="0"/>
    <w:pPr>
      <w:ind w:firstLine="420" w:firstLineChars="200"/>
    </w:pPr>
    <w:rPr>
      <w:rFonts w:ascii="Calibri" w:hAnsi="Calibri" w:eastAsia="宋体" w:cs="Times New Roman"/>
    </w:rPr>
  </w:style>
  <w:style w:type="paragraph" w:styleId="4">
    <w:name w:val="toc 4"/>
    <w:basedOn w:val="1"/>
    <w:next w:val="1"/>
    <w:qFormat/>
    <w:uiPriority w:val="0"/>
    <w:pPr>
      <w:ind w:left="1260" w:leftChars="6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page number"/>
    <w:basedOn w:val="8"/>
    <w:qFormat/>
    <w:uiPriority w:val="0"/>
  </w:style>
  <w:style w:type="paragraph" w:customStyle="1" w:styleId="10">
    <w:name w:val="Normal Indent1"/>
    <w:basedOn w:val="1"/>
    <w:qFormat/>
    <w:uiPriority w:val="0"/>
    <w:pPr>
      <w:ind w:firstLine="420" w:firstLineChars="200"/>
    </w:pPr>
    <w:rPr>
      <w:rFonts w:hint="eastAsia" w:ascii="Times New Roman" w:hAnsi="Times New Roman"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5421</Words>
  <Characters>5712</Characters>
  <Lines>0</Lines>
  <Paragraphs>0</Paragraphs>
  <TotalTime>16</TotalTime>
  <ScaleCrop>false</ScaleCrop>
  <LinksUpToDate>false</LinksUpToDate>
  <CharactersWithSpaces>5733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2025-05-14T07:12:00Z</dcterms:created>
  <dc:creator>Administrator</dc:creator>
  <cp:lastModifiedBy>y</cp:lastModifiedBy>
  <cp:lastPrinted>2025-05-30T08:02:00Z</cp:lastPrinted>
  <dcterms:modified xsi:type="dcterms:W3CDTF">2025-05-30T08:53:44Z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6CF9A0BFCD43422BB3ECE9FE2D2D6303_13</vt:lpwstr>
  </property>
  <property fmtid="{D5CDD505-2E9C-101B-9397-08002B2CF9AE}" pid="4" name="KSOTemplateDocerSaveRecord">
    <vt:lpwstr>eyJoZGlkIjoiNzhlYTg3ODE0Zjc1MTI5YjUxODFlZDNiNTU0ZDllODciLCJ1c2VySWQiOiI0MjQwMDQ4MTMifQ==</vt:lpwstr>
  </property>
</Properties>
</file>