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26"/>
        <w:pBdr/>
        <w:spacing/>
        <w:ind/>
        <w:jc w:val="left"/>
        <w:rPr>
          <w:rFonts w:hint="eastAsia" w:ascii="仿宋_GB2312" w:hAnsi="宋体" w:eastAsia="仿宋_GB2312" w:cs="宋体"/>
          <w:sz w:val="28"/>
          <w:szCs w:val="36"/>
        </w:rPr>
      </w:pPr>
      <w:r>
        <w:rPr>
          <w:rFonts w:hint="eastAsia" w:ascii="仿宋_GB2312" w:hAnsi="宋体" w:eastAsia="仿宋_GB2312" w:cs="宋体"/>
          <w:sz w:val="28"/>
          <w:szCs w:val="36"/>
        </w:rPr>
        <w:t xml:space="preserve">附件2</w:t>
      </w:r>
      <w:r>
        <w:rPr>
          <w:rFonts w:hint="eastAsia" w:ascii="仿宋_GB2312" w:hAnsi="宋体" w:eastAsia="仿宋_GB2312" w:cs="宋体"/>
          <w:sz w:val="28"/>
          <w:szCs w:val="36"/>
        </w:rPr>
      </w:r>
      <w:r>
        <w:rPr>
          <w:rFonts w:hint="eastAsia" w:ascii="仿宋_GB2312" w:hAnsi="宋体" w:eastAsia="仿宋_GB2312" w:cs="宋体"/>
          <w:sz w:val="28"/>
          <w:szCs w:val="36"/>
        </w:rPr>
      </w:r>
    </w:p>
    <w:p>
      <w:pPr>
        <w:pStyle w:val="626"/>
        <w:pBdr/>
        <w:spacing/>
        <w:ind/>
        <w:jc w:val="center"/>
        <w:rPr>
          <w:rFonts w:hint="eastAsia"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 xml:space="preserve">体检注意事项</w:t>
      </w:r>
      <w:r>
        <w:rPr>
          <w:rFonts w:hint="eastAsia" w:ascii="宋体" w:hAnsi="宋体" w:cs="宋体"/>
          <w:b/>
          <w:sz w:val="52"/>
          <w:szCs w:val="52"/>
        </w:rPr>
      </w:r>
      <w:r>
        <w:rPr>
          <w:rFonts w:hint="eastAsia" w:ascii="宋体" w:hAnsi="宋体" w:cs="宋体"/>
          <w:b/>
          <w:sz w:val="52"/>
          <w:szCs w:val="52"/>
        </w:rPr>
      </w:r>
    </w:p>
    <w:p>
      <w:pPr>
        <w:pStyle w:val="626"/>
        <w:pBdr/>
        <w:spacing/>
        <w:ind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</w:r>
      <w:r>
        <w:rPr>
          <w:rFonts w:eastAsia="方正小标宋简体"/>
          <w:bCs/>
          <w:sz w:val="44"/>
          <w:szCs w:val="44"/>
        </w:rPr>
      </w:r>
    </w:p>
    <w:p>
      <w:pPr>
        <w:pStyle w:val="626"/>
        <w:pBdr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为了更准确地反映您身体的真实情况，请您注意以下内容：</w:t>
      </w:r>
      <w:r>
        <w:rPr>
          <w:rFonts w:eastAsia="仿宋_GB2312"/>
          <w:sz w:val="32"/>
          <w:szCs w:val="32"/>
        </w:rPr>
      </w:r>
      <w:r>
        <w:rPr>
          <w:rFonts w:eastAsia="仿宋_GB2312"/>
          <w:sz w:val="32"/>
          <w:szCs w:val="32"/>
        </w:rPr>
      </w:r>
    </w:p>
    <w:p>
      <w:pPr>
        <w:pStyle w:val="626"/>
        <w:pBdr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 xml:space="preserve">一、饮食原则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</w:r>
      <w:r>
        <w:rPr>
          <w:rFonts w:eastAsia="仿宋_GB2312"/>
          <w:sz w:val="32"/>
          <w:szCs w:val="32"/>
        </w:rPr>
      </w:r>
    </w:p>
    <w:p>
      <w:pPr>
        <w:pStyle w:val="626"/>
        <w:pBdr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1.请于健康体检的前三天保持正常饮食。</w:t>
      </w:r>
      <w:r>
        <w:rPr>
          <w:rFonts w:eastAsia="仿宋_GB2312"/>
          <w:sz w:val="32"/>
          <w:szCs w:val="32"/>
        </w:rPr>
      </w:r>
      <w:r>
        <w:rPr>
          <w:rFonts w:eastAsia="仿宋_GB2312"/>
          <w:sz w:val="32"/>
          <w:szCs w:val="32"/>
        </w:rPr>
      </w:r>
    </w:p>
    <w:p>
      <w:pPr>
        <w:pStyle w:val="626"/>
        <w:pBdr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2.体检前一天应注意休息，勿饮酒及食用高脂肪、高蛋白类食物。</w:t>
      </w:r>
      <w:r>
        <w:rPr>
          <w:rFonts w:eastAsia="仿宋_GB2312"/>
          <w:sz w:val="32"/>
          <w:szCs w:val="32"/>
        </w:rPr>
      </w:r>
      <w:r>
        <w:rPr>
          <w:rFonts w:eastAsia="仿宋_GB2312"/>
          <w:sz w:val="32"/>
          <w:szCs w:val="32"/>
        </w:rPr>
      </w:r>
    </w:p>
    <w:p>
      <w:pPr>
        <w:pStyle w:val="626"/>
        <w:pBdr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3.于体检前一天晚餐后不再进食，保证空腹10-12小时抽血检验。</w:t>
      </w:r>
      <w:r>
        <w:rPr>
          <w:rFonts w:eastAsia="仿宋_GB2312"/>
          <w:sz w:val="32"/>
          <w:szCs w:val="32"/>
        </w:rPr>
      </w:r>
      <w:r>
        <w:rPr>
          <w:rFonts w:eastAsia="仿宋_GB2312"/>
          <w:sz w:val="32"/>
          <w:szCs w:val="32"/>
        </w:rPr>
      </w:r>
    </w:p>
    <w:p>
      <w:pPr>
        <w:pStyle w:val="626"/>
        <w:pBdr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4.体检的当日早晨禁食、水，做完空腹项目（抽血、腹部B（彩）超）后进餐。</w:t>
      </w:r>
      <w:r>
        <w:rPr>
          <w:rFonts w:eastAsia="仿宋_GB2312"/>
          <w:sz w:val="32"/>
          <w:szCs w:val="32"/>
        </w:rPr>
      </w:r>
      <w:r>
        <w:rPr>
          <w:rFonts w:eastAsia="仿宋_GB2312"/>
          <w:sz w:val="32"/>
          <w:szCs w:val="32"/>
        </w:rPr>
      </w:r>
    </w:p>
    <w:p>
      <w:pPr>
        <w:pStyle w:val="626"/>
        <w:pBdr/>
        <w:spacing w:line="56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</w:r>
      <w:r>
        <w:rPr>
          <w:rFonts w:eastAsia="黑体"/>
          <w:sz w:val="32"/>
          <w:szCs w:val="32"/>
        </w:rPr>
      </w:r>
    </w:p>
    <w:p>
      <w:pPr>
        <w:pStyle w:val="626"/>
        <w:pBdr/>
        <w:spacing w:line="56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二、一般注意事项</w:t>
      </w:r>
      <w:r>
        <w:rPr>
          <w:rFonts w:eastAsia="黑体"/>
          <w:sz w:val="32"/>
          <w:szCs w:val="32"/>
        </w:rPr>
      </w:r>
      <w:r>
        <w:rPr>
          <w:rFonts w:eastAsia="黑体"/>
          <w:sz w:val="32"/>
          <w:szCs w:val="32"/>
        </w:rPr>
      </w:r>
    </w:p>
    <w:p>
      <w:pPr>
        <w:pStyle w:val="626"/>
        <w:pBdr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1.请携带身份证及其他有效身份证以便核对。</w:t>
      </w:r>
      <w:r>
        <w:rPr>
          <w:rFonts w:eastAsia="仿宋_GB2312"/>
          <w:sz w:val="32"/>
          <w:szCs w:val="32"/>
        </w:rPr>
      </w:r>
      <w:r>
        <w:rPr>
          <w:rFonts w:eastAsia="仿宋_GB2312"/>
          <w:sz w:val="32"/>
          <w:szCs w:val="32"/>
        </w:rPr>
      </w:r>
    </w:p>
    <w:p>
      <w:pPr>
        <w:pStyle w:val="626"/>
        <w:pBdr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2.如有近视或者其他视力问题请带上您的眼镜。</w:t>
      </w:r>
      <w:r>
        <w:rPr>
          <w:rFonts w:eastAsia="仿宋_GB2312"/>
          <w:sz w:val="32"/>
          <w:szCs w:val="32"/>
        </w:rPr>
      </w:r>
      <w:r>
        <w:rPr>
          <w:rFonts w:eastAsia="仿宋_GB2312"/>
          <w:sz w:val="32"/>
          <w:szCs w:val="32"/>
        </w:rPr>
      </w:r>
    </w:p>
    <w:p>
      <w:pPr>
        <w:pStyle w:val="626"/>
        <w:pBdr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3.体检时不必紧张，以免影响血压或其他检查。如有发烧等急性病症，应先就诊，体检另行安排。</w:t>
      </w:r>
      <w:r>
        <w:rPr>
          <w:rFonts w:eastAsia="仿宋_GB2312"/>
          <w:sz w:val="32"/>
          <w:szCs w:val="32"/>
        </w:rPr>
      </w:r>
      <w:r>
        <w:rPr>
          <w:rFonts w:eastAsia="仿宋_GB2312"/>
          <w:sz w:val="32"/>
          <w:szCs w:val="32"/>
        </w:rPr>
      </w:r>
    </w:p>
    <w:p>
      <w:pPr>
        <w:pStyle w:val="626"/>
        <w:pBdr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4.需做胸部X光检查者，请您在检查时不要穿连衣裙，不要佩戴项链，不穿印字、印花或镶亮片的上衣，最好穿无扣的文化衫，以保证检查质量。</w:t>
      </w:r>
      <w:r>
        <w:rPr>
          <w:rFonts w:eastAsia="仿宋_GB2312"/>
          <w:sz w:val="32"/>
          <w:szCs w:val="32"/>
        </w:rPr>
      </w:r>
      <w:r>
        <w:rPr>
          <w:rFonts w:eastAsia="仿宋_GB2312"/>
          <w:sz w:val="32"/>
          <w:szCs w:val="32"/>
        </w:rPr>
      </w:r>
    </w:p>
    <w:p>
      <w:pPr>
        <w:pStyle w:val="626"/>
        <w:pBdr/>
        <w:spacing w:line="560" w:lineRule="exact"/>
        <w:ind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</w:r>
      <w:r>
        <w:rPr>
          <w:rFonts w:eastAsia="黑体"/>
          <w:sz w:val="32"/>
          <w:szCs w:val="32"/>
        </w:rPr>
      </w:r>
    </w:p>
    <w:p>
      <w:pPr>
        <w:pStyle w:val="626"/>
        <w:pBdr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三</w:t>
      </w:r>
      <w:r>
        <w:rPr>
          <w:rFonts w:eastAsia="黑体"/>
          <w:sz w:val="32"/>
          <w:szCs w:val="32"/>
        </w:rPr>
        <w:t xml:space="preserve">、特殊人群注意事项</w:t>
      </w:r>
      <w:r>
        <w:rPr>
          <w:rFonts w:eastAsia="仿宋_GB2312"/>
          <w:sz w:val="32"/>
          <w:szCs w:val="32"/>
        </w:rPr>
      </w:r>
      <w:r>
        <w:rPr>
          <w:rFonts w:eastAsia="仿宋_GB2312"/>
          <w:sz w:val="32"/>
          <w:szCs w:val="32"/>
        </w:rPr>
      </w:r>
    </w:p>
    <w:p>
      <w:pPr>
        <w:pStyle w:val="626"/>
        <w:pBdr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1.患有糖尿病、冠心病等慢性病患者，请随身携带常规（急救）药品。</w:t>
      </w:r>
      <w:r>
        <w:rPr>
          <w:rFonts w:eastAsia="仿宋_GB2312"/>
          <w:sz w:val="32"/>
          <w:szCs w:val="32"/>
        </w:rPr>
      </w:r>
      <w:r>
        <w:rPr>
          <w:rFonts w:eastAsia="仿宋_GB2312"/>
          <w:sz w:val="32"/>
          <w:szCs w:val="32"/>
        </w:rPr>
      </w:r>
    </w:p>
    <w:p>
      <w:pPr>
        <w:pStyle w:val="626"/>
        <w:pBdr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2.体检时请向医生告知您的不适和曾患疾病，以便注意重点检查、综合分析和评估。</w:t>
      </w:r>
      <w:r>
        <w:rPr>
          <w:rFonts w:eastAsia="仿宋_GB2312"/>
          <w:sz w:val="32"/>
          <w:szCs w:val="32"/>
        </w:rPr>
      </w:r>
      <w:r>
        <w:rPr>
          <w:rFonts w:eastAsia="仿宋_GB2312"/>
          <w:sz w:val="32"/>
          <w:szCs w:val="32"/>
        </w:rPr>
      </w:r>
    </w:p>
    <w:p>
      <w:pPr>
        <w:pStyle w:val="626"/>
        <w:pBdr/>
        <w:spacing w:line="560" w:lineRule="exact"/>
        <w:ind w:firstLine="43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eastAsia="仿宋_GB2312"/>
          <w:sz w:val="32"/>
          <w:szCs w:val="32"/>
        </w:rPr>
      </w:r>
    </w:p>
    <w:sectPr>
      <w:headerReference w:type="default" r:id="rId8"/>
      <w:footnotePr/>
      <w:endnotePr/>
      <w:type w:val="nextPage"/>
      <w:pgSz w:h="16838" w:orient="landscape" w:w="11906"/>
      <w:pgMar w:top="2098" w:right="1474" w:bottom="1984" w:left="1588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panose1 w:val="02010609060101010101"/>
  </w:font>
  <w:font w:name="方正小标宋简体">
    <w:panose1 w:val="03000509000000000000"/>
  </w:font>
  <w:font w:name="仿宋_GB2312">
    <w:panose1 w:val="02010609030101010101"/>
  </w:font>
  <w:font w:name="Arial">
    <w:panose1 w:val="020B0604020202020204"/>
  </w:font>
  <w:font w:name="等线">
    <w:panose1 w:val="020B0604020202020204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0"/>
      <w:pBdr>
        <w:bottom w:val="none" w:color="000000" w:sz="0" w:space="0"/>
      </w:pBdr>
      <w:tabs>
        <w:tab w:val="center" w:leader="none" w:pos="4153"/>
        <w:tab w:val="right" w:leader="none" w:pos="8306"/>
      </w:tabs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6"/>
    <w:next w:val="62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26"/>
    <w:next w:val="62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26"/>
    <w:next w:val="62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26"/>
    <w:next w:val="62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26"/>
    <w:next w:val="62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26"/>
    <w:next w:val="62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26"/>
    <w:next w:val="62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26"/>
    <w:next w:val="62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26"/>
    <w:next w:val="62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2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26"/>
    <w:next w:val="62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26"/>
    <w:next w:val="62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26"/>
    <w:next w:val="62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26"/>
    <w:next w:val="62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2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2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26"/>
    <w:next w:val="62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2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2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26"/>
    <w:next w:val="62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26"/>
    <w:next w:val="62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26"/>
    <w:next w:val="62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26"/>
    <w:next w:val="62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26"/>
    <w:next w:val="62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26"/>
    <w:next w:val="62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26"/>
    <w:next w:val="62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26"/>
    <w:next w:val="62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26"/>
    <w:next w:val="62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26"/>
    <w:next w:val="626"/>
    <w:uiPriority w:val="99"/>
    <w:unhideWhenUsed/>
    <w:pPr>
      <w:pBdr/>
      <w:spacing w:after="0" w:afterAutospacing="0"/>
      <w:ind/>
    </w:pPr>
  </w:style>
  <w:style w:type="paragraph" w:styleId="626" w:default="1">
    <w:name w:val="Normal"/>
    <w:next w:val="626"/>
    <w:link w:val="626"/>
    <w:qFormat/>
    <w:pPr>
      <w:widowControl w:val="false"/>
      <w:pBdr/>
      <w:spacing/>
      <w:ind/>
      <w:jc w:val="both"/>
    </w:pPr>
    <w:rPr>
      <w:sz w:val="21"/>
      <w:szCs w:val="24"/>
      <w:lang w:val="en-US" w:eastAsia="zh-CN" w:bidi="ar-SA"/>
    </w:rPr>
  </w:style>
  <w:style w:type="character" w:styleId="627">
    <w:name w:val="默认段落字体"/>
    <w:next w:val="627"/>
    <w:link w:val="626"/>
    <w:semiHidden/>
    <w:pPr>
      <w:pBdr/>
      <w:spacing/>
      <w:ind/>
    </w:pPr>
  </w:style>
  <w:style w:type="table" w:styleId="628">
    <w:name w:val="普通表格"/>
    <w:next w:val="628"/>
    <w:link w:val="62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9">
    <w:name w:val="页脚"/>
    <w:basedOn w:val="626"/>
    <w:next w:val="629"/>
    <w:link w:val="626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30">
    <w:name w:val="页眉"/>
    <w:basedOn w:val="626"/>
    <w:next w:val="630"/>
    <w:link w:val="626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table" w:styleId="631">
    <w:name w:val="网格型"/>
    <w:basedOn w:val="628"/>
    <w:next w:val="631"/>
    <w:link w:val="626"/>
    <w:pPr>
      <w:widowControl w:val="false"/>
      <w:pBdr/>
      <w:spacing/>
      <w:ind/>
      <w:jc w:val="both"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30" w:default="1">
    <w:name w:val="Default Paragraph Font"/>
    <w:uiPriority w:val="1"/>
    <w:semiHidden/>
    <w:unhideWhenUsed/>
    <w:pPr>
      <w:pBdr/>
      <w:spacing/>
      <w:ind/>
    </w:pPr>
  </w:style>
  <w:style w:type="numbering" w:styleId="731" w:default="1">
    <w:name w:val="No List"/>
    <w:uiPriority w:val="99"/>
    <w:semiHidden/>
    <w:unhideWhenUsed/>
    <w:pPr>
      <w:pBdr/>
      <w:spacing/>
      <w:ind/>
    </w:pPr>
  </w:style>
  <w:style w:type="table" w:styleId="732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博济</Company>
  <DocSecurity>0</DocSecurity>
  <ScaleCrop>false</ScaleCrop>
  <Template>Nor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 康 体 检 </dc:title>
  <dc:creator>微软</dc:creator>
  <cp:lastModifiedBy>匿名</cp:lastModifiedBy>
  <cp:revision>4</cp:revision>
  <dcterms:created xsi:type="dcterms:W3CDTF">2023-10-30T04:48:00Z</dcterms:created>
  <dcterms:modified xsi:type="dcterms:W3CDTF">2025-04-21T02:25:59Z</dcterms:modified>
</cp:coreProperties>
</file>