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875"/>
        <w:jc w:val="center"/>
        <w:rPr>
          <w:rFonts w:eastAsia="方正小标宋_GBK" w:cs="Times New Roman"/>
          <w:b/>
          <w:bCs/>
          <w:sz w:val="44"/>
          <w:szCs w:val="44"/>
        </w:rPr>
      </w:pPr>
    </w:p>
    <w:p>
      <w:pPr>
        <w:ind w:firstLine="875"/>
        <w:jc w:val="center"/>
        <w:rPr>
          <w:rFonts w:eastAsia="方正小标宋_GBK" w:cs="Times New Roman"/>
          <w:b/>
          <w:bCs/>
          <w:sz w:val="44"/>
          <w:szCs w:val="44"/>
        </w:rPr>
      </w:pPr>
    </w:p>
    <w:p>
      <w:pPr>
        <w:ind w:firstLine="875"/>
        <w:jc w:val="center"/>
        <w:rPr>
          <w:rFonts w:eastAsia="方正小标宋_GBK" w:cs="Times New Roman"/>
          <w:b/>
          <w:bCs/>
          <w:sz w:val="44"/>
          <w:szCs w:val="44"/>
        </w:rPr>
      </w:pPr>
    </w:p>
    <w:p>
      <w:pPr>
        <w:spacing w:line="800" w:lineRule="exact"/>
        <w:ind w:firstLine="0" w:firstLineChars="0"/>
        <w:jc w:val="center"/>
        <w:rPr>
          <w:rFonts w:eastAsia="方正小标宋_GBK" w:cs="Times New Roman"/>
          <w:b/>
          <w:bCs/>
          <w:sz w:val="52"/>
          <w:szCs w:val="52"/>
        </w:rPr>
      </w:pPr>
      <w:r>
        <w:rPr>
          <w:rFonts w:eastAsia="方正小标宋_GBK" w:cs="Times New Roman"/>
          <w:b/>
          <w:bCs/>
          <w:sz w:val="52"/>
          <w:szCs w:val="52"/>
        </w:rPr>
        <w:t>增城区应元学校高中部建设工程</w:t>
      </w:r>
    </w:p>
    <w:p>
      <w:pPr>
        <w:spacing w:line="800" w:lineRule="exact"/>
        <w:ind w:firstLine="0" w:firstLineChars="0"/>
        <w:jc w:val="center"/>
        <w:rPr>
          <w:rFonts w:eastAsia="方正小标宋_GBK" w:cs="Times New Roman"/>
          <w:b/>
          <w:bCs/>
          <w:sz w:val="52"/>
          <w:szCs w:val="52"/>
        </w:rPr>
      </w:pPr>
      <w:r>
        <w:rPr>
          <w:rFonts w:eastAsia="方正小标宋_GBK" w:cs="Times New Roman"/>
          <w:b/>
          <w:bCs/>
          <w:sz w:val="52"/>
          <w:szCs w:val="52"/>
        </w:rPr>
        <w:t>项目绩效评价报告</w:t>
      </w:r>
    </w:p>
    <w:p>
      <w:pPr>
        <w:ind w:firstLine="632"/>
        <w:rPr>
          <w:rFonts w:cs="Times New Roman"/>
          <w:szCs w:val="32"/>
        </w:rPr>
      </w:pPr>
    </w:p>
    <w:p>
      <w:pPr>
        <w:ind w:firstLine="632"/>
        <w:rPr>
          <w:rFonts w:cs="Times New Roman"/>
          <w:szCs w:val="32"/>
        </w:rPr>
      </w:pPr>
    </w:p>
    <w:p>
      <w:pPr>
        <w:ind w:firstLine="632"/>
        <w:rPr>
          <w:rFonts w:cs="Times New Roman"/>
          <w:szCs w:val="32"/>
        </w:rPr>
      </w:pPr>
    </w:p>
    <w:p>
      <w:pPr>
        <w:ind w:firstLine="632"/>
        <w:rPr>
          <w:rFonts w:cs="Times New Roman"/>
          <w:szCs w:val="32"/>
        </w:rPr>
      </w:pPr>
    </w:p>
    <w:p>
      <w:pPr>
        <w:ind w:firstLine="632"/>
        <w:rPr>
          <w:rFonts w:cs="Times New Roman"/>
          <w:szCs w:val="32"/>
        </w:rPr>
      </w:pPr>
    </w:p>
    <w:p>
      <w:pPr>
        <w:ind w:firstLine="632"/>
        <w:rPr>
          <w:rFonts w:cs="Times New Roman"/>
          <w:szCs w:val="32"/>
        </w:rPr>
      </w:pPr>
    </w:p>
    <w:p>
      <w:pPr>
        <w:ind w:firstLine="632"/>
        <w:rPr>
          <w:rFonts w:cs="Times New Roman"/>
          <w:szCs w:val="32"/>
        </w:rPr>
      </w:pPr>
    </w:p>
    <w:p>
      <w:pPr>
        <w:ind w:firstLine="632"/>
        <w:rPr>
          <w:rFonts w:cs="Times New Roman"/>
          <w:szCs w:val="32"/>
        </w:rPr>
      </w:pPr>
    </w:p>
    <w:p>
      <w:pPr>
        <w:ind w:firstLine="0" w:firstLineChars="0"/>
        <w:rPr>
          <w:rFonts w:cs="Times New Roman"/>
          <w:snapToGrid w:val="0"/>
          <w:kern w:val="0"/>
          <w:szCs w:val="32"/>
        </w:rPr>
      </w:pPr>
      <w:r>
        <w:rPr>
          <w:rFonts w:cs="Times New Roman"/>
          <w:snapToGrid w:val="0"/>
          <w:spacing w:val="53"/>
          <w:kern w:val="0"/>
          <w:szCs w:val="32"/>
          <w:fitText w:val="1600" w:id="-918745344"/>
        </w:rPr>
        <w:t>评价机</w:t>
      </w:r>
      <w:r>
        <w:rPr>
          <w:rFonts w:cs="Times New Roman"/>
          <w:snapToGrid w:val="0"/>
          <w:spacing w:val="1"/>
          <w:kern w:val="0"/>
          <w:szCs w:val="32"/>
          <w:fitText w:val="1600" w:id="-918745344"/>
        </w:rPr>
        <w:t>构</w:t>
      </w:r>
      <w:r>
        <w:rPr>
          <w:rFonts w:cs="Times New Roman"/>
          <w:snapToGrid w:val="0"/>
          <w:kern w:val="0"/>
          <w:szCs w:val="32"/>
        </w:rPr>
        <w:t>：广东国众联行资产评估土地房地产估价规划咨询</w:t>
      </w:r>
    </w:p>
    <w:p>
      <w:pPr>
        <w:ind w:firstLine="1896" w:firstLineChars="600"/>
        <w:rPr>
          <w:rFonts w:cs="Times New Roman"/>
          <w:snapToGrid w:val="0"/>
          <w:kern w:val="0"/>
          <w:szCs w:val="32"/>
        </w:rPr>
      </w:pPr>
      <w:r>
        <w:rPr>
          <w:rFonts w:cs="Times New Roman"/>
          <w:snapToGrid w:val="0"/>
          <w:kern w:val="0"/>
          <w:szCs w:val="32"/>
        </w:rPr>
        <w:t>有限公司</w:t>
      </w:r>
    </w:p>
    <w:p>
      <w:pPr>
        <w:ind w:firstLine="0" w:firstLineChars="0"/>
        <w:rPr>
          <w:rFonts w:cs="Times New Roman"/>
          <w:snapToGrid w:val="0"/>
          <w:kern w:val="0"/>
          <w:szCs w:val="32"/>
        </w:rPr>
      </w:pPr>
      <w:r>
        <w:rPr>
          <w:rFonts w:cs="Times New Roman"/>
          <w:snapToGrid w:val="0"/>
          <w:spacing w:val="0"/>
          <w:kern w:val="0"/>
          <w:szCs w:val="32"/>
          <w:fitText w:val="1600" w:id="-918745343"/>
        </w:rPr>
        <w:t>机构负责人</w:t>
      </w:r>
      <w:r>
        <w:rPr>
          <w:rFonts w:cs="Times New Roman"/>
          <w:snapToGrid w:val="0"/>
          <w:kern w:val="0"/>
          <w:szCs w:val="32"/>
        </w:rPr>
        <w:t>：</w:t>
      </w:r>
      <w:r>
        <w:rPr>
          <w:rFonts w:cs="Times New Roman"/>
          <w:snapToGrid w:val="0"/>
          <w:spacing w:val="0"/>
          <w:kern w:val="0"/>
          <w:szCs w:val="32"/>
          <w:fitText w:val="1280" w:id="-918745342"/>
        </w:rPr>
        <w:t>司徒荣轼</w:t>
      </w:r>
    </w:p>
    <w:p>
      <w:pPr>
        <w:ind w:firstLine="0" w:firstLineChars="0"/>
        <w:rPr>
          <w:rFonts w:cs="Times New Roman"/>
          <w:snapToGrid w:val="0"/>
          <w:kern w:val="0"/>
          <w:szCs w:val="32"/>
        </w:rPr>
      </w:pPr>
      <w:r>
        <w:rPr>
          <w:rFonts w:cs="Times New Roman"/>
          <w:snapToGrid w:val="0"/>
          <w:spacing w:val="0"/>
          <w:kern w:val="0"/>
          <w:szCs w:val="32"/>
          <w:fitText w:val="1600" w:id="-918745341"/>
        </w:rPr>
        <w:t>项目负责人</w:t>
      </w:r>
      <w:r>
        <w:rPr>
          <w:rFonts w:cs="Times New Roman"/>
          <w:snapToGrid w:val="0"/>
          <w:kern w:val="0"/>
          <w:szCs w:val="32"/>
        </w:rPr>
        <w:t>：</w:t>
      </w:r>
      <w:r>
        <w:rPr>
          <w:rFonts w:cs="Times New Roman"/>
          <w:snapToGrid w:val="0"/>
          <w:spacing w:val="0"/>
          <w:kern w:val="0"/>
          <w:szCs w:val="32"/>
          <w:fitText w:val="1280" w:id="-918745340"/>
        </w:rPr>
        <w:t>司徒荣轼</w:t>
      </w:r>
    </w:p>
    <w:p>
      <w:pPr>
        <w:ind w:firstLine="632"/>
        <w:rPr>
          <w:rFonts w:cs="Times New Roman"/>
          <w:szCs w:val="32"/>
        </w:rPr>
      </w:pPr>
    </w:p>
    <w:p>
      <w:pPr>
        <w:ind w:firstLine="632"/>
        <w:rPr>
          <w:rFonts w:cs="Times New Roman"/>
          <w:szCs w:val="32"/>
        </w:rPr>
      </w:pPr>
    </w:p>
    <w:p>
      <w:pPr>
        <w:ind w:firstLine="0" w:firstLineChars="0"/>
        <w:jc w:val="center"/>
        <w:rPr>
          <w:rFonts w:cs="Times New Roman"/>
          <w:szCs w:val="32"/>
        </w:rPr>
      </w:pPr>
      <w:r>
        <w:rPr>
          <w:rFonts w:cs="Times New Roman"/>
          <w:szCs w:val="32"/>
        </w:rPr>
        <w:t>2024年</w:t>
      </w:r>
      <w:r>
        <w:rPr>
          <w:rFonts w:hint="eastAsia" w:cs="Times New Roman"/>
          <w:szCs w:val="32"/>
        </w:rPr>
        <w:t>0</w:t>
      </w:r>
      <w:r>
        <w:rPr>
          <w:rFonts w:cs="Times New Roman"/>
          <w:szCs w:val="32"/>
        </w:rPr>
        <w:t>9月</w:t>
      </w:r>
    </w:p>
    <w:p>
      <w:pPr>
        <w:ind w:firstLine="632"/>
        <w:jc w:val="center"/>
        <w:rPr>
          <w:rFonts w:cs="Times New Roman"/>
          <w:szCs w:val="32"/>
        </w:rPr>
        <w:sectPr>
          <w:headerReference r:id="rId7" w:type="first"/>
          <w:footerReference r:id="rId10" w:type="first"/>
          <w:headerReference r:id="rId5" w:type="default"/>
          <w:footerReference r:id="rId8" w:type="default"/>
          <w:headerReference r:id="rId6" w:type="even"/>
          <w:footerReference r:id="rId9" w:type="even"/>
          <w:pgSz w:w="11906" w:h="16838"/>
          <w:pgMar w:top="2098" w:right="1474" w:bottom="1985" w:left="1588" w:header="851" w:footer="1758" w:gutter="0"/>
          <w:cols w:space="425" w:num="1"/>
          <w:docGrid w:type="linesAndChars" w:linePitch="579" w:charSpace="-849"/>
        </w:sectPr>
      </w:pPr>
    </w:p>
    <w:p>
      <w:pPr>
        <w:ind w:firstLine="0" w:firstLineChars="0"/>
        <w:jc w:val="center"/>
        <w:rPr>
          <w:rFonts w:eastAsia="方正小标宋简体" w:cs="Times New Roman"/>
          <w:sz w:val="44"/>
          <w:szCs w:val="44"/>
        </w:rPr>
      </w:pPr>
      <w:r>
        <w:rPr>
          <w:rFonts w:eastAsia="方正小标宋简体" w:cs="Times New Roman"/>
          <w:sz w:val="44"/>
          <w:szCs w:val="44"/>
        </w:rPr>
        <w:t>目  录</w:t>
      </w:r>
    </w:p>
    <w:p>
      <w:pPr>
        <w:ind w:firstLine="632"/>
        <w:rPr>
          <w:rFonts w:hint="eastAsia"/>
        </w:rPr>
      </w:pPr>
    </w:p>
    <w:p>
      <w:pPr>
        <w:pStyle w:val="12"/>
        <w:tabs>
          <w:tab w:val="right" w:leader="dot" w:pos="8834"/>
        </w:tabs>
        <w:rPr>
          <w:rFonts w:asciiTheme="minorHAnsi" w:hAnsiTheme="minorHAnsi" w:eastAsiaTheme="minorEastAsia"/>
          <w:sz w:val="22"/>
          <w:szCs w:val="24"/>
        </w:rPr>
      </w:pPr>
      <w:r>
        <w:rPr>
          <w:rFonts w:eastAsia="方正小标宋简体" w:cs="Times New Roman"/>
          <w:sz w:val="44"/>
          <w:szCs w:val="44"/>
        </w:rPr>
        <w:fldChar w:fldCharType="begin"/>
      </w:r>
      <w:r>
        <w:rPr>
          <w:rFonts w:eastAsia="方正小标宋简体" w:cs="Times New Roman"/>
          <w:sz w:val="44"/>
          <w:szCs w:val="44"/>
        </w:rPr>
        <w:instrText xml:space="preserve"> TOC \o "1-2" \h \z \u </w:instrText>
      </w:r>
      <w:r>
        <w:rPr>
          <w:rFonts w:eastAsia="方正小标宋简体" w:cs="Times New Roman"/>
          <w:sz w:val="44"/>
          <w:szCs w:val="44"/>
        </w:rPr>
        <w:fldChar w:fldCharType="separate"/>
      </w:r>
      <w:r>
        <w:fldChar w:fldCharType="begin"/>
      </w:r>
      <w:r>
        <w:instrText xml:space="preserve"> HYPERLINK \l "_Toc177204515" </w:instrText>
      </w:r>
      <w:r>
        <w:fldChar w:fldCharType="separate"/>
      </w:r>
      <w:r>
        <w:rPr>
          <w:rStyle w:val="18"/>
          <w:rFonts w:cs="Times New Roman"/>
        </w:rPr>
        <w:t>一、评价项目概述</w:t>
      </w:r>
      <w:r>
        <w:tab/>
      </w:r>
      <w:r>
        <w:fldChar w:fldCharType="begin"/>
      </w:r>
      <w:r>
        <w:instrText xml:space="preserve"> PAGEREF _Toc177204515 \h </w:instrText>
      </w:r>
      <w:r>
        <w:fldChar w:fldCharType="separate"/>
      </w:r>
      <w:r>
        <w:t>- 2 -</w:t>
      </w:r>
      <w:r>
        <w:fldChar w:fldCharType="end"/>
      </w:r>
      <w:r>
        <w:fldChar w:fldCharType="end"/>
      </w:r>
    </w:p>
    <w:p>
      <w:pPr>
        <w:pStyle w:val="13"/>
        <w:tabs>
          <w:tab w:val="right" w:leader="dot" w:pos="8834"/>
        </w:tabs>
        <w:ind w:firstLine="632"/>
        <w:rPr>
          <w:rFonts w:asciiTheme="minorHAnsi" w:hAnsiTheme="minorHAnsi" w:eastAsiaTheme="minorEastAsia" w:cstheme="minorBidi"/>
          <w:sz w:val="22"/>
          <w14:ligatures w14:val="standardContextual"/>
        </w:rPr>
      </w:pPr>
      <w:r>
        <w:fldChar w:fldCharType="begin"/>
      </w:r>
      <w:r>
        <w:instrText xml:space="preserve"> HYPERLINK \l "_Toc177204516" </w:instrText>
      </w:r>
      <w:r>
        <w:fldChar w:fldCharType="separate"/>
      </w:r>
      <w:r>
        <w:rPr>
          <w:rStyle w:val="18"/>
        </w:rPr>
        <w:t>（一）项目背景。</w:t>
      </w:r>
      <w:r>
        <w:tab/>
      </w:r>
      <w:r>
        <w:fldChar w:fldCharType="begin"/>
      </w:r>
      <w:r>
        <w:instrText xml:space="preserve"> PAGEREF _Toc177204516 \h </w:instrText>
      </w:r>
      <w:r>
        <w:fldChar w:fldCharType="separate"/>
      </w:r>
      <w:r>
        <w:t>- 2 -</w:t>
      </w:r>
      <w:r>
        <w:fldChar w:fldCharType="end"/>
      </w:r>
      <w:r>
        <w:fldChar w:fldCharType="end"/>
      </w:r>
    </w:p>
    <w:p>
      <w:pPr>
        <w:pStyle w:val="13"/>
        <w:tabs>
          <w:tab w:val="right" w:leader="dot" w:pos="8834"/>
        </w:tabs>
        <w:ind w:firstLine="632"/>
        <w:rPr>
          <w:rFonts w:asciiTheme="minorHAnsi" w:hAnsiTheme="minorHAnsi" w:eastAsiaTheme="minorEastAsia" w:cstheme="minorBidi"/>
          <w:sz w:val="22"/>
          <w14:ligatures w14:val="standardContextual"/>
        </w:rPr>
      </w:pPr>
      <w:r>
        <w:fldChar w:fldCharType="begin"/>
      </w:r>
      <w:r>
        <w:instrText xml:space="preserve"> HYPERLINK \l "_Toc177204517" </w:instrText>
      </w:r>
      <w:r>
        <w:fldChar w:fldCharType="separate"/>
      </w:r>
      <w:r>
        <w:rPr>
          <w:rStyle w:val="18"/>
        </w:rPr>
        <w:t>（二）项目立项依据。</w:t>
      </w:r>
      <w:r>
        <w:tab/>
      </w:r>
      <w:r>
        <w:fldChar w:fldCharType="begin"/>
      </w:r>
      <w:r>
        <w:instrText xml:space="preserve"> PAGEREF _Toc177204517 \h </w:instrText>
      </w:r>
      <w:r>
        <w:fldChar w:fldCharType="separate"/>
      </w:r>
      <w:r>
        <w:t>- 2 -</w:t>
      </w:r>
      <w:r>
        <w:fldChar w:fldCharType="end"/>
      </w:r>
      <w:r>
        <w:fldChar w:fldCharType="end"/>
      </w:r>
    </w:p>
    <w:p>
      <w:pPr>
        <w:pStyle w:val="13"/>
        <w:tabs>
          <w:tab w:val="right" w:leader="dot" w:pos="8834"/>
        </w:tabs>
        <w:ind w:firstLine="632"/>
        <w:rPr>
          <w:rFonts w:asciiTheme="minorHAnsi" w:hAnsiTheme="minorHAnsi" w:eastAsiaTheme="minorEastAsia" w:cstheme="minorBidi"/>
          <w:sz w:val="22"/>
          <w14:ligatures w14:val="standardContextual"/>
        </w:rPr>
      </w:pPr>
      <w:r>
        <w:fldChar w:fldCharType="begin"/>
      </w:r>
      <w:r>
        <w:instrText xml:space="preserve"> HYPERLINK \l "_Toc177204518" </w:instrText>
      </w:r>
      <w:r>
        <w:fldChar w:fldCharType="separate"/>
      </w:r>
      <w:r>
        <w:rPr>
          <w:rStyle w:val="18"/>
        </w:rPr>
        <w:t>（三）项目绩效目标。</w:t>
      </w:r>
      <w:r>
        <w:tab/>
      </w:r>
      <w:r>
        <w:fldChar w:fldCharType="begin"/>
      </w:r>
      <w:r>
        <w:instrText xml:space="preserve"> PAGEREF _Toc177204518 \h </w:instrText>
      </w:r>
      <w:r>
        <w:fldChar w:fldCharType="separate"/>
      </w:r>
      <w:r>
        <w:t>- 3 -</w:t>
      </w:r>
      <w:r>
        <w:fldChar w:fldCharType="end"/>
      </w:r>
      <w:r>
        <w:fldChar w:fldCharType="end"/>
      </w:r>
    </w:p>
    <w:p>
      <w:pPr>
        <w:pStyle w:val="13"/>
        <w:tabs>
          <w:tab w:val="right" w:leader="dot" w:pos="8834"/>
        </w:tabs>
        <w:ind w:firstLine="632"/>
        <w:rPr>
          <w:rFonts w:asciiTheme="minorHAnsi" w:hAnsiTheme="minorHAnsi" w:eastAsiaTheme="minorEastAsia" w:cstheme="minorBidi"/>
          <w:sz w:val="22"/>
          <w14:ligatures w14:val="standardContextual"/>
        </w:rPr>
      </w:pPr>
      <w:r>
        <w:fldChar w:fldCharType="begin"/>
      </w:r>
      <w:r>
        <w:instrText xml:space="preserve"> HYPERLINK \l "_Toc177204519" </w:instrText>
      </w:r>
      <w:r>
        <w:fldChar w:fldCharType="separate"/>
      </w:r>
      <w:r>
        <w:rPr>
          <w:rStyle w:val="18"/>
        </w:rPr>
        <w:t>（四）项目资金来源及使用情况。</w:t>
      </w:r>
      <w:r>
        <w:tab/>
      </w:r>
      <w:r>
        <w:fldChar w:fldCharType="begin"/>
      </w:r>
      <w:r>
        <w:instrText xml:space="preserve"> PAGEREF _Toc177204519 \h </w:instrText>
      </w:r>
      <w:r>
        <w:fldChar w:fldCharType="separate"/>
      </w:r>
      <w:r>
        <w:t>- 6 -</w:t>
      </w:r>
      <w:r>
        <w:fldChar w:fldCharType="end"/>
      </w:r>
      <w:r>
        <w:fldChar w:fldCharType="end"/>
      </w:r>
    </w:p>
    <w:p>
      <w:pPr>
        <w:pStyle w:val="13"/>
        <w:tabs>
          <w:tab w:val="right" w:leader="dot" w:pos="8834"/>
        </w:tabs>
        <w:ind w:firstLine="632"/>
        <w:rPr>
          <w:rFonts w:asciiTheme="minorHAnsi" w:hAnsiTheme="minorHAnsi" w:eastAsiaTheme="minorEastAsia" w:cstheme="minorBidi"/>
          <w:sz w:val="22"/>
          <w14:ligatures w14:val="standardContextual"/>
        </w:rPr>
      </w:pPr>
      <w:r>
        <w:fldChar w:fldCharType="begin"/>
      </w:r>
      <w:r>
        <w:instrText xml:space="preserve"> HYPERLINK \l "_Toc177204520" </w:instrText>
      </w:r>
      <w:r>
        <w:fldChar w:fldCharType="separate"/>
      </w:r>
      <w:r>
        <w:rPr>
          <w:rStyle w:val="18"/>
        </w:rPr>
        <w:t>（五）项目实施情况。</w:t>
      </w:r>
      <w:r>
        <w:tab/>
      </w:r>
      <w:r>
        <w:fldChar w:fldCharType="begin"/>
      </w:r>
      <w:r>
        <w:instrText xml:space="preserve"> PAGEREF _Toc177204520 \h </w:instrText>
      </w:r>
      <w:r>
        <w:fldChar w:fldCharType="separate"/>
      </w:r>
      <w:r>
        <w:t>- 9 -</w:t>
      </w:r>
      <w:r>
        <w:fldChar w:fldCharType="end"/>
      </w:r>
      <w:r>
        <w:fldChar w:fldCharType="end"/>
      </w:r>
    </w:p>
    <w:p>
      <w:pPr>
        <w:pStyle w:val="12"/>
        <w:tabs>
          <w:tab w:val="right" w:leader="dot" w:pos="8834"/>
        </w:tabs>
        <w:rPr>
          <w:rFonts w:asciiTheme="minorHAnsi" w:hAnsiTheme="minorHAnsi" w:eastAsiaTheme="minorEastAsia"/>
          <w:sz w:val="22"/>
          <w:szCs w:val="24"/>
        </w:rPr>
      </w:pPr>
      <w:r>
        <w:fldChar w:fldCharType="begin"/>
      </w:r>
      <w:r>
        <w:instrText xml:space="preserve"> HYPERLINK \l "_Toc177204521" </w:instrText>
      </w:r>
      <w:r>
        <w:fldChar w:fldCharType="separate"/>
      </w:r>
      <w:r>
        <w:rPr>
          <w:rStyle w:val="18"/>
          <w:rFonts w:cs="Times New Roman"/>
        </w:rPr>
        <w:t>二、绩效评价概述</w:t>
      </w:r>
      <w:r>
        <w:tab/>
      </w:r>
      <w:r>
        <w:fldChar w:fldCharType="begin"/>
      </w:r>
      <w:r>
        <w:instrText xml:space="preserve"> PAGEREF _Toc177204521 \h </w:instrText>
      </w:r>
      <w:r>
        <w:fldChar w:fldCharType="separate"/>
      </w:r>
      <w:r>
        <w:t>- 11 -</w:t>
      </w:r>
      <w:r>
        <w:fldChar w:fldCharType="end"/>
      </w:r>
      <w:r>
        <w:fldChar w:fldCharType="end"/>
      </w:r>
    </w:p>
    <w:p>
      <w:pPr>
        <w:pStyle w:val="13"/>
        <w:tabs>
          <w:tab w:val="right" w:leader="dot" w:pos="8834"/>
        </w:tabs>
        <w:ind w:firstLine="632"/>
        <w:rPr>
          <w:rFonts w:asciiTheme="minorHAnsi" w:hAnsiTheme="minorHAnsi" w:eastAsiaTheme="minorEastAsia" w:cstheme="minorBidi"/>
          <w:sz w:val="22"/>
          <w14:ligatures w14:val="standardContextual"/>
        </w:rPr>
      </w:pPr>
      <w:r>
        <w:fldChar w:fldCharType="begin"/>
      </w:r>
      <w:r>
        <w:instrText xml:space="preserve"> HYPERLINK \l "_Toc177204522" </w:instrText>
      </w:r>
      <w:r>
        <w:fldChar w:fldCharType="separate"/>
      </w:r>
      <w:r>
        <w:rPr>
          <w:rStyle w:val="18"/>
        </w:rPr>
        <w:t>（一）评价目的。</w:t>
      </w:r>
      <w:r>
        <w:tab/>
      </w:r>
      <w:r>
        <w:fldChar w:fldCharType="begin"/>
      </w:r>
      <w:r>
        <w:instrText xml:space="preserve"> PAGEREF _Toc177204522 \h </w:instrText>
      </w:r>
      <w:r>
        <w:fldChar w:fldCharType="separate"/>
      </w:r>
      <w:r>
        <w:t>- 11 -</w:t>
      </w:r>
      <w:r>
        <w:fldChar w:fldCharType="end"/>
      </w:r>
      <w:r>
        <w:fldChar w:fldCharType="end"/>
      </w:r>
    </w:p>
    <w:p>
      <w:pPr>
        <w:pStyle w:val="13"/>
        <w:tabs>
          <w:tab w:val="right" w:leader="dot" w:pos="8834"/>
        </w:tabs>
        <w:ind w:firstLine="632"/>
        <w:rPr>
          <w:rFonts w:asciiTheme="minorHAnsi" w:hAnsiTheme="minorHAnsi" w:eastAsiaTheme="minorEastAsia" w:cstheme="minorBidi"/>
          <w:sz w:val="22"/>
          <w14:ligatures w14:val="standardContextual"/>
        </w:rPr>
      </w:pPr>
      <w:r>
        <w:fldChar w:fldCharType="begin"/>
      </w:r>
      <w:r>
        <w:instrText xml:space="preserve"> HYPERLINK \l "_Toc177204523" </w:instrText>
      </w:r>
      <w:r>
        <w:fldChar w:fldCharType="separate"/>
      </w:r>
      <w:r>
        <w:rPr>
          <w:rStyle w:val="18"/>
        </w:rPr>
        <w:t>（二）评价设计与实施。</w:t>
      </w:r>
      <w:r>
        <w:tab/>
      </w:r>
      <w:r>
        <w:fldChar w:fldCharType="begin"/>
      </w:r>
      <w:r>
        <w:instrText xml:space="preserve"> PAGEREF _Toc177204523 \h </w:instrText>
      </w:r>
      <w:r>
        <w:fldChar w:fldCharType="separate"/>
      </w:r>
      <w:r>
        <w:t>- 11 -</w:t>
      </w:r>
      <w:r>
        <w:fldChar w:fldCharType="end"/>
      </w:r>
      <w:r>
        <w:fldChar w:fldCharType="end"/>
      </w:r>
    </w:p>
    <w:p>
      <w:pPr>
        <w:pStyle w:val="13"/>
        <w:tabs>
          <w:tab w:val="right" w:leader="dot" w:pos="8834"/>
        </w:tabs>
        <w:ind w:firstLine="632"/>
        <w:rPr>
          <w:rFonts w:asciiTheme="minorHAnsi" w:hAnsiTheme="minorHAnsi" w:eastAsiaTheme="minorEastAsia" w:cstheme="minorBidi"/>
          <w:sz w:val="22"/>
          <w14:ligatures w14:val="standardContextual"/>
        </w:rPr>
      </w:pPr>
      <w:r>
        <w:fldChar w:fldCharType="begin"/>
      </w:r>
      <w:r>
        <w:instrText xml:space="preserve"> HYPERLINK \l "_Toc177204524" </w:instrText>
      </w:r>
      <w:r>
        <w:fldChar w:fldCharType="separate"/>
      </w:r>
      <w:r>
        <w:rPr>
          <w:rStyle w:val="18"/>
        </w:rPr>
        <w:t>（三）绩效评价指标体系和评分标准方法。</w:t>
      </w:r>
      <w:r>
        <w:tab/>
      </w:r>
      <w:r>
        <w:fldChar w:fldCharType="begin"/>
      </w:r>
      <w:r>
        <w:instrText xml:space="preserve"> PAGEREF _Toc177204524 \h </w:instrText>
      </w:r>
      <w:r>
        <w:fldChar w:fldCharType="separate"/>
      </w:r>
      <w:r>
        <w:t>- 17 -</w:t>
      </w:r>
      <w:r>
        <w:fldChar w:fldCharType="end"/>
      </w:r>
      <w:r>
        <w:fldChar w:fldCharType="end"/>
      </w:r>
    </w:p>
    <w:p>
      <w:pPr>
        <w:pStyle w:val="12"/>
        <w:tabs>
          <w:tab w:val="right" w:leader="dot" w:pos="8834"/>
        </w:tabs>
        <w:rPr>
          <w:rFonts w:asciiTheme="minorHAnsi" w:hAnsiTheme="minorHAnsi" w:eastAsiaTheme="minorEastAsia"/>
          <w:sz w:val="22"/>
          <w:szCs w:val="24"/>
        </w:rPr>
      </w:pPr>
      <w:r>
        <w:fldChar w:fldCharType="begin"/>
      </w:r>
      <w:r>
        <w:instrText xml:space="preserve"> HYPERLINK \l "_Toc177204525" </w:instrText>
      </w:r>
      <w:r>
        <w:fldChar w:fldCharType="separate"/>
      </w:r>
      <w:r>
        <w:rPr>
          <w:rStyle w:val="18"/>
          <w:rFonts w:cs="Times New Roman"/>
        </w:rPr>
        <w:t>三、评价结论与绩效分析</w:t>
      </w:r>
      <w:r>
        <w:tab/>
      </w:r>
      <w:r>
        <w:fldChar w:fldCharType="begin"/>
      </w:r>
      <w:r>
        <w:instrText xml:space="preserve"> PAGEREF _Toc177204525 \h </w:instrText>
      </w:r>
      <w:r>
        <w:fldChar w:fldCharType="separate"/>
      </w:r>
      <w:r>
        <w:t>- 19 -</w:t>
      </w:r>
      <w:r>
        <w:fldChar w:fldCharType="end"/>
      </w:r>
      <w:r>
        <w:fldChar w:fldCharType="end"/>
      </w:r>
    </w:p>
    <w:p>
      <w:pPr>
        <w:pStyle w:val="13"/>
        <w:tabs>
          <w:tab w:val="right" w:leader="dot" w:pos="8834"/>
        </w:tabs>
        <w:ind w:firstLine="632"/>
        <w:rPr>
          <w:rFonts w:asciiTheme="minorHAnsi" w:hAnsiTheme="minorHAnsi" w:eastAsiaTheme="minorEastAsia" w:cstheme="minorBidi"/>
          <w:sz w:val="22"/>
          <w14:ligatures w14:val="standardContextual"/>
        </w:rPr>
      </w:pPr>
      <w:r>
        <w:fldChar w:fldCharType="begin"/>
      </w:r>
      <w:r>
        <w:instrText xml:space="preserve"> HYPERLINK \l "_Toc177204526" </w:instrText>
      </w:r>
      <w:r>
        <w:fldChar w:fldCharType="separate"/>
      </w:r>
      <w:r>
        <w:rPr>
          <w:rStyle w:val="18"/>
        </w:rPr>
        <w:t>（一）总体结论。</w:t>
      </w:r>
      <w:r>
        <w:tab/>
      </w:r>
      <w:r>
        <w:fldChar w:fldCharType="begin"/>
      </w:r>
      <w:r>
        <w:instrText xml:space="preserve"> PAGEREF _Toc177204526 \h </w:instrText>
      </w:r>
      <w:r>
        <w:fldChar w:fldCharType="separate"/>
      </w:r>
      <w:r>
        <w:t>- 19 -</w:t>
      </w:r>
      <w:r>
        <w:fldChar w:fldCharType="end"/>
      </w:r>
      <w:r>
        <w:fldChar w:fldCharType="end"/>
      </w:r>
    </w:p>
    <w:p>
      <w:pPr>
        <w:pStyle w:val="13"/>
        <w:tabs>
          <w:tab w:val="right" w:leader="dot" w:pos="8834"/>
        </w:tabs>
        <w:ind w:firstLine="632"/>
        <w:rPr>
          <w:rFonts w:asciiTheme="minorHAnsi" w:hAnsiTheme="minorHAnsi" w:eastAsiaTheme="minorEastAsia" w:cstheme="minorBidi"/>
          <w:sz w:val="22"/>
          <w14:ligatures w14:val="standardContextual"/>
        </w:rPr>
      </w:pPr>
      <w:r>
        <w:fldChar w:fldCharType="begin"/>
      </w:r>
      <w:r>
        <w:instrText xml:space="preserve"> HYPERLINK \l "_Toc177204527" </w:instrText>
      </w:r>
      <w:r>
        <w:fldChar w:fldCharType="separate"/>
      </w:r>
      <w:r>
        <w:rPr>
          <w:rStyle w:val="18"/>
        </w:rPr>
        <w:t>（二）项目绩效分析。</w:t>
      </w:r>
      <w:r>
        <w:tab/>
      </w:r>
      <w:r>
        <w:fldChar w:fldCharType="begin"/>
      </w:r>
      <w:r>
        <w:instrText xml:space="preserve"> PAGEREF _Toc177204527 \h </w:instrText>
      </w:r>
      <w:r>
        <w:fldChar w:fldCharType="separate"/>
      </w:r>
      <w:r>
        <w:t>- 20 -</w:t>
      </w:r>
      <w:r>
        <w:fldChar w:fldCharType="end"/>
      </w:r>
      <w:r>
        <w:fldChar w:fldCharType="end"/>
      </w:r>
    </w:p>
    <w:p>
      <w:pPr>
        <w:pStyle w:val="12"/>
        <w:tabs>
          <w:tab w:val="right" w:leader="dot" w:pos="8834"/>
        </w:tabs>
        <w:rPr>
          <w:rFonts w:asciiTheme="minorHAnsi" w:hAnsiTheme="minorHAnsi" w:eastAsiaTheme="minorEastAsia"/>
          <w:sz w:val="22"/>
          <w:szCs w:val="24"/>
        </w:rPr>
      </w:pPr>
      <w:r>
        <w:fldChar w:fldCharType="begin"/>
      </w:r>
      <w:r>
        <w:instrText xml:space="preserve"> HYPERLINK \l "_Toc177204528" </w:instrText>
      </w:r>
      <w:r>
        <w:fldChar w:fldCharType="separate"/>
      </w:r>
      <w:r>
        <w:rPr>
          <w:rStyle w:val="18"/>
          <w:rFonts w:cs="Times New Roman"/>
        </w:rPr>
        <w:t>四、项目主要绩效或成功经验</w:t>
      </w:r>
      <w:r>
        <w:tab/>
      </w:r>
      <w:r>
        <w:fldChar w:fldCharType="begin"/>
      </w:r>
      <w:r>
        <w:instrText xml:space="preserve"> PAGEREF _Toc177204528 \h </w:instrText>
      </w:r>
      <w:r>
        <w:fldChar w:fldCharType="separate"/>
      </w:r>
      <w:r>
        <w:t>- 35 -</w:t>
      </w:r>
      <w:r>
        <w:fldChar w:fldCharType="end"/>
      </w:r>
      <w:r>
        <w:fldChar w:fldCharType="end"/>
      </w:r>
    </w:p>
    <w:p>
      <w:pPr>
        <w:pStyle w:val="13"/>
        <w:tabs>
          <w:tab w:val="right" w:leader="dot" w:pos="8834"/>
        </w:tabs>
        <w:ind w:firstLine="632"/>
        <w:rPr>
          <w:rFonts w:asciiTheme="minorHAnsi" w:hAnsiTheme="minorHAnsi" w:eastAsiaTheme="minorEastAsia" w:cstheme="minorBidi"/>
          <w:sz w:val="22"/>
          <w14:ligatures w14:val="standardContextual"/>
        </w:rPr>
      </w:pPr>
      <w:r>
        <w:fldChar w:fldCharType="begin"/>
      </w:r>
      <w:r>
        <w:instrText xml:space="preserve"> HYPERLINK \l "_Toc177204529" </w:instrText>
      </w:r>
      <w:r>
        <w:fldChar w:fldCharType="separate"/>
      </w:r>
      <w:r>
        <w:rPr>
          <w:rStyle w:val="18"/>
        </w:rPr>
        <w:t>（一）完善学校基础设施，优化增城区应元学校办学条件。</w:t>
      </w:r>
      <w:r>
        <w:tab/>
      </w:r>
      <w:r>
        <w:fldChar w:fldCharType="begin"/>
      </w:r>
      <w:r>
        <w:instrText xml:space="preserve"> PAGEREF _Toc177204529 \h </w:instrText>
      </w:r>
      <w:r>
        <w:fldChar w:fldCharType="separate"/>
      </w:r>
      <w:r>
        <w:t>- 35 -</w:t>
      </w:r>
      <w:r>
        <w:fldChar w:fldCharType="end"/>
      </w:r>
      <w:r>
        <w:fldChar w:fldCharType="end"/>
      </w:r>
    </w:p>
    <w:p>
      <w:pPr>
        <w:pStyle w:val="13"/>
        <w:tabs>
          <w:tab w:val="right" w:leader="dot" w:pos="8834"/>
        </w:tabs>
        <w:ind w:firstLine="632"/>
        <w:rPr>
          <w:rFonts w:asciiTheme="minorHAnsi" w:hAnsiTheme="minorHAnsi" w:eastAsiaTheme="minorEastAsia" w:cstheme="minorBidi"/>
          <w:sz w:val="22"/>
          <w14:ligatures w14:val="standardContextual"/>
        </w:rPr>
      </w:pPr>
      <w:r>
        <w:fldChar w:fldCharType="begin"/>
      </w:r>
      <w:r>
        <w:instrText xml:space="preserve"> HYPERLINK \l "_Toc177204530" </w:instrText>
      </w:r>
      <w:r>
        <w:fldChar w:fldCharType="separate"/>
      </w:r>
      <w:r>
        <w:rPr>
          <w:rStyle w:val="18"/>
        </w:rPr>
        <w:t>（二）满足周边群众入学需求，提高增城区基础教育水平。</w:t>
      </w:r>
      <w:r>
        <w:tab/>
      </w:r>
      <w:r>
        <w:fldChar w:fldCharType="begin"/>
      </w:r>
      <w:r>
        <w:instrText xml:space="preserve"> PAGEREF _Toc177204530 \h </w:instrText>
      </w:r>
      <w:r>
        <w:fldChar w:fldCharType="separate"/>
      </w:r>
      <w:r>
        <w:t>- 36 -</w:t>
      </w:r>
      <w:r>
        <w:fldChar w:fldCharType="end"/>
      </w:r>
      <w:r>
        <w:fldChar w:fldCharType="end"/>
      </w:r>
    </w:p>
    <w:p>
      <w:pPr>
        <w:pStyle w:val="13"/>
        <w:tabs>
          <w:tab w:val="right" w:leader="dot" w:pos="8834"/>
        </w:tabs>
        <w:ind w:firstLine="632"/>
        <w:rPr>
          <w:rFonts w:asciiTheme="minorHAnsi" w:hAnsiTheme="minorHAnsi" w:eastAsiaTheme="minorEastAsia" w:cstheme="minorBidi"/>
          <w:sz w:val="22"/>
          <w14:ligatures w14:val="standardContextual"/>
        </w:rPr>
      </w:pPr>
      <w:r>
        <w:fldChar w:fldCharType="begin"/>
      </w:r>
      <w:r>
        <w:instrText xml:space="preserve"> HYPERLINK \l "_Toc177204531" </w:instrText>
      </w:r>
      <w:r>
        <w:fldChar w:fldCharType="separate"/>
      </w:r>
      <w:r>
        <w:rPr>
          <w:rStyle w:val="18"/>
        </w:rPr>
        <w:t>（三）落实广州市教育发展规划，促进增城区教育高质量发展。</w:t>
      </w:r>
      <w:r>
        <w:tab/>
      </w:r>
      <w:r>
        <w:fldChar w:fldCharType="begin"/>
      </w:r>
      <w:r>
        <w:instrText xml:space="preserve"> PAGEREF _Toc177204531 \h </w:instrText>
      </w:r>
      <w:r>
        <w:fldChar w:fldCharType="separate"/>
      </w:r>
      <w:r>
        <w:t>- 36 -</w:t>
      </w:r>
      <w:r>
        <w:fldChar w:fldCharType="end"/>
      </w:r>
      <w:r>
        <w:fldChar w:fldCharType="end"/>
      </w:r>
    </w:p>
    <w:p>
      <w:pPr>
        <w:pStyle w:val="12"/>
        <w:tabs>
          <w:tab w:val="right" w:leader="dot" w:pos="8834"/>
        </w:tabs>
        <w:rPr>
          <w:rFonts w:asciiTheme="minorHAnsi" w:hAnsiTheme="minorHAnsi" w:eastAsiaTheme="minorEastAsia"/>
          <w:sz w:val="22"/>
          <w:szCs w:val="24"/>
        </w:rPr>
      </w:pPr>
      <w:r>
        <w:fldChar w:fldCharType="begin"/>
      </w:r>
      <w:r>
        <w:instrText xml:space="preserve"> HYPERLINK \l "_Toc177204532" </w:instrText>
      </w:r>
      <w:r>
        <w:fldChar w:fldCharType="separate"/>
      </w:r>
      <w:r>
        <w:rPr>
          <w:rStyle w:val="18"/>
          <w:rFonts w:cs="Times New Roman"/>
        </w:rPr>
        <w:t>五、存在问题或不足</w:t>
      </w:r>
      <w:r>
        <w:tab/>
      </w:r>
      <w:r>
        <w:fldChar w:fldCharType="begin"/>
      </w:r>
      <w:r>
        <w:instrText xml:space="preserve"> PAGEREF _Toc177204532 \h </w:instrText>
      </w:r>
      <w:r>
        <w:fldChar w:fldCharType="separate"/>
      </w:r>
      <w:r>
        <w:t>- 36 -</w:t>
      </w:r>
      <w:r>
        <w:fldChar w:fldCharType="end"/>
      </w:r>
      <w:r>
        <w:fldChar w:fldCharType="end"/>
      </w:r>
    </w:p>
    <w:p>
      <w:pPr>
        <w:pStyle w:val="13"/>
        <w:tabs>
          <w:tab w:val="right" w:leader="dot" w:pos="8834"/>
        </w:tabs>
        <w:ind w:firstLine="632"/>
        <w:rPr>
          <w:rFonts w:asciiTheme="minorHAnsi" w:hAnsiTheme="minorHAnsi" w:eastAsiaTheme="minorEastAsia" w:cstheme="minorBidi"/>
          <w:sz w:val="22"/>
          <w14:ligatures w14:val="standardContextual"/>
        </w:rPr>
      </w:pPr>
      <w:r>
        <w:fldChar w:fldCharType="begin"/>
      </w:r>
      <w:r>
        <w:instrText xml:space="preserve"> HYPERLINK \l "_Toc177204533" </w:instrText>
      </w:r>
      <w:r>
        <w:fldChar w:fldCharType="separate"/>
      </w:r>
      <w:r>
        <w:rPr>
          <w:rStyle w:val="18"/>
        </w:rPr>
        <w:t>（一）项目监管措施有待优化，监管力度有待提升。</w:t>
      </w:r>
      <w:r>
        <w:tab/>
      </w:r>
      <w:r>
        <w:fldChar w:fldCharType="begin"/>
      </w:r>
      <w:r>
        <w:instrText xml:space="preserve"> PAGEREF _Toc177204533 \h </w:instrText>
      </w:r>
      <w:r>
        <w:fldChar w:fldCharType="separate"/>
      </w:r>
      <w:r>
        <w:t>- 36 -</w:t>
      </w:r>
      <w:r>
        <w:fldChar w:fldCharType="end"/>
      </w:r>
      <w:r>
        <w:fldChar w:fldCharType="end"/>
      </w:r>
    </w:p>
    <w:p>
      <w:pPr>
        <w:pStyle w:val="13"/>
        <w:tabs>
          <w:tab w:val="right" w:leader="dot" w:pos="8834"/>
        </w:tabs>
        <w:ind w:firstLine="632"/>
        <w:rPr>
          <w:rFonts w:asciiTheme="minorHAnsi" w:hAnsiTheme="minorHAnsi" w:eastAsiaTheme="minorEastAsia" w:cstheme="minorBidi"/>
          <w:sz w:val="22"/>
          <w14:ligatures w14:val="standardContextual"/>
        </w:rPr>
      </w:pPr>
      <w:r>
        <w:fldChar w:fldCharType="begin"/>
      </w:r>
      <w:r>
        <w:instrText xml:space="preserve"> HYPERLINK \l "_Toc177204534" </w:instrText>
      </w:r>
      <w:r>
        <w:fldChar w:fldCharType="separate"/>
      </w:r>
      <w:r>
        <w:rPr>
          <w:rStyle w:val="18"/>
        </w:rPr>
        <w:t>（二）财务资料不够规范完整，财务管理力度有待加强。…</w:t>
      </w:r>
      <w:r>
        <w:tab/>
      </w:r>
      <w:r>
        <w:fldChar w:fldCharType="begin"/>
      </w:r>
      <w:r>
        <w:instrText xml:space="preserve"> PAGEREF _Toc177204534 \h </w:instrText>
      </w:r>
      <w:r>
        <w:fldChar w:fldCharType="separate"/>
      </w:r>
      <w:r>
        <w:t>- 37 -</w:t>
      </w:r>
      <w:r>
        <w:fldChar w:fldCharType="end"/>
      </w:r>
      <w:r>
        <w:fldChar w:fldCharType="end"/>
      </w:r>
    </w:p>
    <w:p>
      <w:pPr>
        <w:pStyle w:val="13"/>
        <w:tabs>
          <w:tab w:val="right" w:leader="dot" w:pos="8834"/>
        </w:tabs>
        <w:ind w:firstLine="632"/>
        <w:rPr>
          <w:rFonts w:asciiTheme="minorHAnsi" w:hAnsiTheme="minorHAnsi" w:eastAsiaTheme="minorEastAsia" w:cstheme="minorBidi"/>
          <w:sz w:val="22"/>
          <w14:ligatures w14:val="standardContextual"/>
        </w:rPr>
      </w:pPr>
      <w:r>
        <w:fldChar w:fldCharType="begin"/>
      </w:r>
      <w:r>
        <w:instrText xml:space="preserve"> HYPERLINK \l "_Toc177204535" </w:instrText>
      </w:r>
      <w:r>
        <w:fldChar w:fldCharType="separate"/>
      </w:r>
      <w:r>
        <w:rPr>
          <w:rStyle w:val="18"/>
        </w:rPr>
        <w:t>（三）绩效评价意识有待加强，绩效体系设置有待完善。…</w:t>
      </w:r>
      <w:r>
        <w:tab/>
      </w:r>
      <w:r>
        <w:fldChar w:fldCharType="begin"/>
      </w:r>
      <w:r>
        <w:instrText xml:space="preserve"> PAGEREF _Toc177204535 \h </w:instrText>
      </w:r>
      <w:r>
        <w:fldChar w:fldCharType="separate"/>
      </w:r>
      <w:r>
        <w:t>- 37 -</w:t>
      </w:r>
      <w:r>
        <w:fldChar w:fldCharType="end"/>
      </w:r>
      <w:r>
        <w:fldChar w:fldCharType="end"/>
      </w:r>
    </w:p>
    <w:p>
      <w:pPr>
        <w:pStyle w:val="12"/>
        <w:tabs>
          <w:tab w:val="right" w:leader="dot" w:pos="8834"/>
        </w:tabs>
        <w:rPr>
          <w:rFonts w:asciiTheme="minorHAnsi" w:hAnsiTheme="minorHAnsi" w:eastAsiaTheme="minorEastAsia"/>
          <w:sz w:val="22"/>
          <w:szCs w:val="24"/>
        </w:rPr>
      </w:pPr>
      <w:r>
        <w:fldChar w:fldCharType="begin"/>
      </w:r>
      <w:r>
        <w:instrText xml:space="preserve"> HYPERLINK \l "_Toc177204536" </w:instrText>
      </w:r>
      <w:r>
        <w:fldChar w:fldCharType="separate"/>
      </w:r>
      <w:r>
        <w:rPr>
          <w:rStyle w:val="18"/>
          <w:rFonts w:cs="Times New Roman"/>
        </w:rPr>
        <w:t>六、相关建议</w:t>
      </w:r>
      <w:r>
        <w:tab/>
      </w:r>
      <w:r>
        <w:fldChar w:fldCharType="begin"/>
      </w:r>
      <w:r>
        <w:instrText xml:space="preserve"> PAGEREF _Toc177204536 \h </w:instrText>
      </w:r>
      <w:r>
        <w:fldChar w:fldCharType="separate"/>
      </w:r>
      <w:r>
        <w:t>- 38 -</w:t>
      </w:r>
      <w:r>
        <w:fldChar w:fldCharType="end"/>
      </w:r>
      <w:r>
        <w:fldChar w:fldCharType="end"/>
      </w:r>
    </w:p>
    <w:p>
      <w:pPr>
        <w:pStyle w:val="13"/>
        <w:tabs>
          <w:tab w:val="right" w:leader="dot" w:pos="8834"/>
        </w:tabs>
        <w:ind w:firstLine="632"/>
        <w:rPr>
          <w:rFonts w:asciiTheme="minorHAnsi" w:hAnsiTheme="minorHAnsi" w:eastAsiaTheme="minorEastAsia" w:cstheme="minorBidi"/>
          <w:sz w:val="22"/>
          <w14:ligatures w14:val="standardContextual"/>
        </w:rPr>
      </w:pPr>
      <w:r>
        <w:fldChar w:fldCharType="begin"/>
      </w:r>
      <w:r>
        <w:instrText xml:space="preserve"> HYPERLINK \l "_Toc177204537" </w:instrText>
      </w:r>
      <w:r>
        <w:fldChar w:fldCharType="separate"/>
      </w:r>
      <w:r>
        <w:rPr>
          <w:rStyle w:val="18"/>
        </w:rPr>
        <w:t>（一）进一步优化项目监管措施，提升对项目的监管力度。</w:t>
      </w:r>
      <w:r>
        <w:tab/>
      </w:r>
      <w:r>
        <w:fldChar w:fldCharType="begin"/>
      </w:r>
      <w:r>
        <w:instrText xml:space="preserve"> PAGEREF _Toc177204537 \h </w:instrText>
      </w:r>
      <w:r>
        <w:fldChar w:fldCharType="separate"/>
      </w:r>
      <w:r>
        <w:t>- 38 -</w:t>
      </w:r>
      <w:r>
        <w:fldChar w:fldCharType="end"/>
      </w:r>
      <w:r>
        <w:fldChar w:fldCharType="end"/>
      </w:r>
    </w:p>
    <w:p>
      <w:pPr>
        <w:pStyle w:val="13"/>
        <w:tabs>
          <w:tab w:val="right" w:leader="dot" w:pos="8834"/>
        </w:tabs>
        <w:ind w:firstLine="632"/>
        <w:rPr>
          <w:rFonts w:asciiTheme="minorHAnsi" w:hAnsiTheme="minorHAnsi" w:eastAsiaTheme="minorEastAsia" w:cstheme="minorBidi"/>
          <w:sz w:val="22"/>
          <w14:ligatures w14:val="standardContextual"/>
        </w:rPr>
      </w:pPr>
      <w:r>
        <w:fldChar w:fldCharType="begin"/>
      </w:r>
      <w:r>
        <w:instrText xml:space="preserve"> HYPERLINK \l "_Toc177204538" </w:instrText>
      </w:r>
      <w:r>
        <w:fldChar w:fldCharType="separate"/>
      </w:r>
      <w:r>
        <w:rPr>
          <w:rStyle w:val="18"/>
        </w:rPr>
        <w:t>（二）提高财务资料质量，加强财务管理力度。</w:t>
      </w:r>
      <w:r>
        <w:tab/>
      </w:r>
      <w:r>
        <w:fldChar w:fldCharType="begin"/>
      </w:r>
      <w:r>
        <w:instrText xml:space="preserve"> PAGEREF _Toc177204538 \h </w:instrText>
      </w:r>
      <w:r>
        <w:fldChar w:fldCharType="separate"/>
      </w:r>
      <w:r>
        <w:t>- 39 -</w:t>
      </w:r>
      <w:r>
        <w:fldChar w:fldCharType="end"/>
      </w:r>
      <w:r>
        <w:fldChar w:fldCharType="end"/>
      </w:r>
    </w:p>
    <w:p>
      <w:pPr>
        <w:pStyle w:val="13"/>
        <w:tabs>
          <w:tab w:val="right" w:leader="dot" w:pos="8834"/>
        </w:tabs>
        <w:ind w:firstLine="632"/>
        <w:rPr>
          <w:rFonts w:asciiTheme="minorHAnsi" w:hAnsiTheme="minorHAnsi" w:eastAsiaTheme="minorEastAsia" w:cstheme="minorBidi"/>
          <w:sz w:val="22"/>
          <w14:ligatures w14:val="standardContextual"/>
        </w:rPr>
      </w:pPr>
      <w:r>
        <w:fldChar w:fldCharType="begin"/>
      </w:r>
      <w:r>
        <w:instrText xml:space="preserve"> HYPERLINK \l "_Toc177204539" </w:instrText>
      </w:r>
      <w:r>
        <w:fldChar w:fldCharType="separate"/>
      </w:r>
      <w:r>
        <w:rPr>
          <w:rStyle w:val="18"/>
        </w:rPr>
        <w:t>（三）加强绩效评价管理意识，完善绩效体系设置。</w:t>
      </w:r>
      <w:r>
        <w:tab/>
      </w:r>
      <w:r>
        <w:fldChar w:fldCharType="begin"/>
      </w:r>
      <w:r>
        <w:instrText xml:space="preserve"> PAGEREF _Toc177204539 \h </w:instrText>
      </w:r>
      <w:r>
        <w:fldChar w:fldCharType="separate"/>
      </w:r>
      <w:r>
        <w:t>- 39 -</w:t>
      </w:r>
      <w:r>
        <w:fldChar w:fldCharType="end"/>
      </w:r>
      <w:r>
        <w:fldChar w:fldCharType="end"/>
      </w:r>
    </w:p>
    <w:p>
      <w:pPr>
        <w:pStyle w:val="12"/>
        <w:tabs>
          <w:tab w:val="right" w:leader="dot" w:pos="8834"/>
        </w:tabs>
        <w:rPr>
          <w:rFonts w:asciiTheme="minorHAnsi" w:hAnsiTheme="minorHAnsi" w:eastAsiaTheme="minorEastAsia"/>
          <w:sz w:val="22"/>
          <w:szCs w:val="24"/>
        </w:rPr>
      </w:pPr>
      <w:r>
        <w:fldChar w:fldCharType="begin"/>
      </w:r>
      <w:r>
        <w:instrText xml:space="preserve"> HYPERLINK \l "_Toc177204540" </w:instrText>
      </w:r>
      <w:r>
        <w:fldChar w:fldCharType="separate"/>
      </w:r>
      <w:r>
        <w:rPr>
          <w:rStyle w:val="18"/>
          <w:rFonts w:cs="Times New Roman"/>
        </w:rPr>
        <w:t>附件1：项目绩效评价指标评分表</w:t>
      </w:r>
      <w:r>
        <w:tab/>
      </w:r>
      <w:r>
        <w:fldChar w:fldCharType="begin"/>
      </w:r>
      <w:r>
        <w:instrText xml:space="preserve"> PAGEREF _Toc177204540 \h </w:instrText>
      </w:r>
      <w:r>
        <w:fldChar w:fldCharType="separate"/>
      </w:r>
      <w:r>
        <w:t>- 42 -</w:t>
      </w:r>
      <w:r>
        <w:fldChar w:fldCharType="end"/>
      </w:r>
      <w:r>
        <w:fldChar w:fldCharType="end"/>
      </w:r>
    </w:p>
    <w:p>
      <w:pPr>
        <w:pStyle w:val="12"/>
        <w:tabs>
          <w:tab w:val="right" w:leader="dot" w:pos="8834"/>
        </w:tabs>
        <w:rPr>
          <w:rFonts w:asciiTheme="minorHAnsi" w:hAnsiTheme="minorHAnsi" w:eastAsiaTheme="minorEastAsia"/>
          <w:sz w:val="22"/>
          <w:szCs w:val="24"/>
        </w:rPr>
      </w:pPr>
      <w:r>
        <w:fldChar w:fldCharType="begin"/>
      </w:r>
      <w:r>
        <w:instrText xml:space="preserve"> HYPERLINK \l "_Toc177204541" </w:instrText>
      </w:r>
      <w:r>
        <w:fldChar w:fldCharType="separate"/>
      </w:r>
      <w:r>
        <w:rPr>
          <w:rStyle w:val="18"/>
          <w:rFonts w:cs="Times New Roman"/>
        </w:rPr>
        <w:t>附件2：项目满意度问卷结果</w:t>
      </w:r>
      <w:r>
        <w:tab/>
      </w:r>
      <w:r>
        <w:fldChar w:fldCharType="begin"/>
      </w:r>
      <w:r>
        <w:instrText xml:space="preserve"> PAGEREF _Toc177204541 \h </w:instrText>
      </w:r>
      <w:r>
        <w:fldChar w:fldCharType="separate"/>
      </w:r>
      <w:r>
        <w:t>- 60 -</w:t>
      </w:r>
      <w:r>
        <w:fldChar w:fldCharType="end"/>
      </w:r>
      <w:r>
        <w:fldChar w:fldCharType="end"/>
      </w:r>
    </w:p>
    <w:p>
      <w:pPr>
        <w:ind w:firstLine="872"/>
        <w:jc w:val="center"/>
        <w:rPr>
          <w:rFonts w:eastAsia="方正小标宋简体" w:cs="Times New Roman"/>
          <w:sz w:val="44"/>
          <w:szCs w:val="44"/>
        </w:rPr>
      </w:pPr>
      <w:r>
        <w:rPr>
          <w:rFonts w:eastAsia="方正小标宋简体" w:cs="Times New Roman"/>
          <w:sz w:val="44"/>
          <w:szCs w:val="44"/>
        </w:rPr>
        <w:fldChar w:fldCharType="end"/>
      </w:r>
    </w:p>
    <w:p>
      <w:pPr>
        <w:ind w:firstLine="872"/>
        <w:jc w:val="center"/>
        <w:rPr>
          <w:rFonts w:eastAsia="方正小标宋简体" w:cs="Times New Roman"/>
          <w:sz w:val="44"/>
          <w:szCs w:val="44"/>
        </w:rPr>
      </w:pPr>
    </w:p>
    <w:p>
      <w:pPr>
        <w:ind w:firstLine="872"/>
        <w:rPr>
          <w:rFonts w:eastAsia="方正小标宋简体" w:cs="Times New Roman"/>
          <w:sz w:val="44"/>
          <w:szCs w:val="44"/>
        </w:rPr>
        <w:sectPr>
          <w:pgSz w:w="11906" w:h="16838"/>
          <w:pgMar w:top="2098" w:right="1474" w:bottom="1985" w:left="1588" w:header="851" w:footer="1758" w:gutter="0"/>
          <w:cols w:space="425" w:num="1"/>
          <w:docGrid w:type="linesAndChars" w:linePitch="579" w:charSpace="-849"/>
        </w:sectPr>
      </w:pPr>
    </w:p>
    <w:p>
      <w:pPr>
        <w:adjustRightInd w:val="0"/>
        <w:snapToGrid w:val="0"/>
        <w:spacing w:line="240" w:lineRule="auto"/>
        <w:ind w:firstLine="0" w:firstLineChars="0"/>
        <w:jc w:val="center"/>
        <w:rPr>
          <w:rFonts w:eastAsia="方正小标宋_GBK" w:cs="Times New Roman"/>
          <w:b/>
          <w:bCs/>
          <w:sz w:val="44"/>
          <w:szCs w:val="44"/>
        </w:rPr>
      </w:pPr>
      <w:r>
        <w:rPr>
          <w:rFonts w:eastAsia="方正小标宋_GBK" w:cs="Times New Roman"/>
          <w:b/>
          <w:bCs/>
          <w:sz w:val="44"/>
          <w:szCs w:val="44"/>
        </w:rPr>
        <w:t>增城区应元学校高中部建设工程项目</w:t>
      </w:r>
    </w:p>
    <w:p>
      <w:pPr>
        <w:adjustRightInd w:val="0"/>
        <w:snapToGrid w:val="0"/>
        <w:spacing w:line="240" w:lineRule="auto"/>
        <w:ind w:firstLine="0" w:firstLineChars="0"/>
        <w:jc w:val="center"/>
        <w:rPr>
          <w:rFonts w:eastAsia="方正小标宋_GBK" w:cs="Times New Roman"/>
          <w:b/>
          <w:bCs/>
          <w:sz w:val="44"/>
          <w:szCs w:val="44"/>
        </w:rPr>
      </w:pPr>
      <w:r>
        <w:rPr>
          <w:rFonts w:eastAsia="方正小标宋_GBK" w:cs="Times New Roman"/>
          <w:b/>
          <w:bCs/>
          <w:sz w:val="44"/>
          <w:szCs w:val="44"/>
        </w:rPr>
        <w:t>绩效评价报告</w:t>
      </w:r>
    </w:p>
    <w:p>
      <w:pPr>
        <w:ind w:firstLine="632"/>
        <w:rPr>
          <w:rFonts w:cs="Times New Roman"/>
        </w:rPr>
      </w:pPr>
    </w:p>
    <w:p>
      <w:pPr>
        <w:ind w:firstLine="632"/>
        <w:rPr>
          <w:rFonts w:cs="Times New Roman"/>
        </w:rPr>
      </w:pPr>
      <w:r>
        <w:rPr>
          <w:rFonts w:cs="Times New Roman"/>
        </w:rPr>
        <w:t>根据《广州市增城区财政局关于开展2024年财政评价工作的通知》（增财〔2024〕178号）文件要求，广东国众联行资产评估土地房地产估价规划咨询有限公司（以下简称</w:t>
      </w:r>
      <w:r>
        <w:rPr>
          <w:rFonts w:hint="eastAsia" w:ascii="仿宋_GB2312" w:cs="Times New Roman"/>
        </w:rPr>
        <w:t>“</w:t>
      </w:r>
      <w:r>
        <w:rPr>
          <w:rFonts w:cs="Times New Roman"/>
        </w:rPr>
        <w:t>我机构</w:t>
      </w:r>
      <w:r>
        <w:rPr>
          <w:rFonts w:hint="eastAsia" w:ascii="仿宋_GB2312" w:cs="Times New Roman"/>
        </w:rPr>
        <w:t>”</w:t>
      </w:r>
      <w:r>
        <w:rPr>
          <w:rFonts w:cs="Times New Roman"/>
        </w:rPr>
        <w:t>）受广州市增城区财政局（以下简称</w:t>
      </w:r>
      <w:r>
        <w:rPr>
          <w:rFonts w:hint="eastAsia" w:ascii="仿宋_GB2312" w:cs="Times New Roman"/>
        </w:rPr>
        <w:t>“</w:t>
      </w:r>
      <w:r>
        <w:rPr>
          <w:rFonts w:cs="Times New Roman"/>
        </w:rPr>
        <w:t>区财政局</w:t>
      </w:r>
      <w:r>
        <w:rPr>
          <w:rFonts w:hint="eastAsia" w:ascii="仿宋_GB2312" w:cs="Times New Roman"/>
        </w:rPr>
        <w:t>”</w:t>
      </w:r>
      <w:r>
        <w:rPr>
          <w:rFonts w:cs="Times New Roman"/>
        </w:rPr>
        <w:t>）委托，作为广州市增城区2024年绩效评价服务单位，开展2024年增城区级财政资金支出绩效评价工作。根据《广州市增城区关于印发2024年增城区级财政资金支出绩效评价工作方案的通知》（增财〔2024〕212号）有关要求，对广州市增城区住房和城乡建设局（以下简称</w:t>
      </w:r>
      <w:r>
        <w:rPr>
          <w:rFonts w:hint="eastAsia" w:ascii="仿宋_GB2312" w:cs="Times New Roman"/>
        </w:rPr>
        <w:t>“</w:t>
      </w:r>
      <w:r>
        <w:rPr>
          <w:rFonts w:cs="Times New Roman"/>
        </w:rPr>
        <w:t>区住房城乡建设局</w:t>
      </w:r>
      <w:r>
        <w:rPr>
          <w:rFonts w:hint="eastAsia" w:ascii="仿宋_GB2312" w:cs="Times New Roman"/>
        </w:rPr>
        <w:t>”</w:t>
      </w:r>
      <w:r>
        <w:rPr>
          <w:rFonts w:cs="Times New Roman"/>
        </w:rPr>
        <w:t>）增城区应元学校高中部建设工程项目开展重点绩效评价，项目业主单位为广州市增城区教育局（以下简称</w:t>
      </w:r>
      <w:r>
        <w:rPr>
          <w:rFonts w:hint="eastAsia" w:ascii="仿宋_GB2312" w:cs="Times New Roman"/>
        </w:rPr>
        <w:t>“</w:t>
      </w:r>
      <w:r>
        <w:rPr>
          <w:rFonts w:cs="Times New Roman"/>
        </w:rPr>
        <w:t>区教育局</w:t>
      </w:r>
      <w:r>
        <w:rPr>
          <w:rFonts w:hint="eastAsia" w:ascii="仿宋_GB2312" w:cs="Times New Roman"/>
        </w:rPr>
        <w:t>”</w:t>
      </w:r>
      <w:r>
        <w:rPr>
          <w:rFonts w:cs="Times New Roman"/>
        </w:rPr>
        <w:t>），项目资金主管部门为区住房城乡建设局，具体实施单位为广州市增城区公共建设项目管理服务中心（以下简称</w:t>
      </w:r>
      <w:r>
        <w:rPr>
          <w:rFonts w:hint="eastAsia" w:ascii="仿宋_GB2312" w:cs="Times New Roman"/>
        </w:rPr>
        <w:t>“</w:t>
      </w:r>
      <w:r>
        <w:rPr>
          <w:rFonts w:cs="Times New Roman"/>
        </w:rPr>
        <w:t>区公共建设项目管理服务中心</w:t>
      </w:r>
      <w:r>
        <w:rPr>
          <w:rFonts w:hint="eastAsia" w:ascii="仿宋_GB2312" w:cs="Times New Roman"/>
        </w:rPr>
        <w:t>”</w:t>
      </w:r>
      <w:r>
        <w:rPr>
          <w:rFonts w:cs="Times New Roman"/>
        </w:rPr>
        <w:t>）。</w:t>
      </w:r>
    </w:p>
    <w:p>
      <w:pPr>
        <w:ind w:firstLine="632"/>
        <w:rPr>
          <w:rFonts w:cs="Times New Roman"/>
        </w:rPr>
      </w:pPr>
      <w:r>
        <w:rPr>
          <w:rFonts w:cs="Times New Roman"/>
        </w:rPr>
        <w:t>经自评材料书面评审和现场勘查评价，结合决策、过程、产出和效益四方面综合对项目绩效进行比较分析，综合评价增城区应元学校高中部建设工程项目，2023年度项目涉及资金29186.41万元，实际支付29186.41万元，预算执行率100%，绩效得分89.5分，评定等级为</w:t>
      </w:r>
      <w:r>
        <w:rPr>
          <w:rFonts w:hint="eastAsia" w:ascii="仿宋_GB2312" w:cs="Times New Roman"/>
        </w:rPr>
        <w:t>“</w:t>
      </w:r>
      <w:r>
        <w:rPr>
          <w:rFonts w:cs="Times New Roman"/>
        </w:rPr>
        <w:t>良</w:t>
      </w:r>
      <w:r>
        <w:rPr>
          <w:rFonts w:hint="eastAsia" w:ascii="仿宋_GB2312" w:cs="Times New Roman"/>
        </w:rPr>
        <w:t>”。</w:t>
      </w:r>
    </w:p>
    <w:p>
      <w:pPr>
        <w:pStyle w:val="2"/>
        <w:ind w:firstLine="632"/>
        <w:rPr>
          <w:rFonts w:cs="Times New Roman"/>
        </w:rPr>
      </w:pPr>
      <w:bookmarkStart w:id="0" w:name="_Toc177204515"/>
      <w:r>
        <w:rPr>
          <w:rFonts w:cs="Times New Roman"/>
        </w:rPr>
        <w:t>一、评价项目概述</w:t>
      </w:r>
      <w:bookmarkEnd w:id="0"/>
    </w:p>
    <w:p>
      <w:pPr>
        <w:pStyle w:val="3"/>
        <w:ind w:firstLine="632"/>
        <w:rPr>
          <w:rFonts w:cs="Times New Roman"/>
        </w:rPr>
      </w:pPr>
      <w:bookmarkStart w:id="1" w:name="_Toc177204516"/>
      <w:r>
        <w:rPr>
          <w:rFonts w:cs="Times New Roman"/>
        </w:rPr>
        <w:t>（一）项目背景。</w:t>
      </w:r>
      <w:bookmarkEnd w:id="1"/>
    </w:p>
    <w:p>
      <w:pPr>
        <w:ind w:firstLine="632"/>
        <w:rPr>
          <w:rFonts w:cs="Times New Roman"/>
        </w:rPr>
      </w:pPr>
      <w:r>
        <w:rPr>
          <w:rFonts w:cs="Times New Roman"/>
        </w:rPr>
        <w:t>为优化增城区办学条件，区教育局与广州二中教育集团于2018年签署合作办学协议，与广州市第二中学合作创办广州市增城区应元学校，办学层次为初中。基于广州市第二中学的优秀办学成绩和增城区应元初中顺利投入运行，区教育局会同各方单位，就增设应元学校高中部、将应元中学打造成一所高标准优质品牌完全中学进行深入论证。</w:t>
      </w:r>
    </w:p>
    <w:p>
      <w:pPr>
        <w:ind w:firstLine="632"/>
        <w:rPr>
          <w:rFonts w:cs="Times New Roman"/>
        </w:rPr>
      </w:pPr>
      <w:r>
        <w:rPr>
          <w:rFonts w:cs="Times New Roman"/>
        </w:rPr>
        <w:t>2021年1月12日，广州市教育局复函同意增城区应元学校增设普通高中部。2021年1月13日，广州市增城区区长赵国生主持召开增城区人民政府常务会议（第2届90次），会议原则同意启动增城区应元学校高中部建设，由区住房城乡建设局作为增城区应元学校高中部项目建设单位，会同区教育局、广州</w:t>
      </w:r>
      <w:r>
        <w:rPr>
          <w:rFonts w:hint="eastAsia" w:cs="Times New Roman"/>
          <w:lang w:eastAsia="zh-CN"/>
        </w:rPr>
        <w:t>市规划和自然资源局</w:t>
      </w:r>
      <w:r>
        <w:rPr>
          <w:rFonts w:cs="Times New Roman"/>
        </w:rPr>
        <w:t>增城区分局等相关单位高质量、高标准做好相关建设工作，努力打造一所高品质的高中学校。</w:t>
      </w:r>
    </w:p>
    <w:p>
      <w:pPr>
        <w:pStyle w:val="3"/>
        <w:ind w:firstLine="632"/>
        <w:rPr>
          <w:rFonts w:cs="Times New Roman"/>
        </w:rPr>
      </w:pPr>
      <w:bookmarkStart w:id="2" w:name="_Toc177204517"/>
      <w:r>
        <w:rPr>
          <w:rFonts w:cs="Times New Roman"/>
        </w:rPr>
        <w:t>（二）项目立项依据。</w:t>
      </w:r>
      <w:bookmarkEnd w:id="2"/>
    </w:p>
    <w:p>
      <w:pPr>
        <w:ind w:firstLine="632"/>
        <w:rPr>
          <w:rFonts w:cs="Times New Roman"/>
        </w:rPr>
      </w:pPr>
      <w:r>
        <w:rPr>
          <w:rFonts w:cs="Times New Roman"/>
        </w:rPr>
        <w:t>2021年1月13日，广州市增城区区长赵国生主持召开增城区人民政府常务会议（第2届90次），会议原则同意启动增城区应元学校高中部建设，由区住房城乡建设局作为增城区应元学校高中部项目建设单位。</w:t>
      </w:r>
    </w:p>
    <w:p>
      <w:pPr>
        <w:ind w:firstLine="632"/>
        <w:rPr>
          <w:rFonts w:cs="Times New Roman"/>
        </w:rPr>
      </w:pPr>
      <w:r>
        <w:rPr>
          <w:rFonts w:cs="Times New Roman"/>
        </w:rPr>
        <w:t>根据《广州市增城区发展和改革局关于增城区应元学校高中部建设项目可行性研究报告的复函》（穗增发改投批〔2022〕21号），广州市增城区发展和改革局于2022年4月25日同意项目实施，项目建设规模和建设内容为：项目位于永宁街岗丰村，拟建36个高中班，总规模1800生；总用地面积62094平方米；总建筑面积为63652平方米，其中计容面积为48911平方米，不计容面积为14741平方米；建设内容主要包括教学及辅助用房、办公用房、生活服务用房、学生及教职工宿舍、其他配套用房等功能建筑，并配套建设室外运动场地、道路广场、绿地、给排水管网、围墙大门等一批室外工程。</w:t>
      </w:r>
    </w:p>
    <w:p>
      <w:pPr>
        <w:ind w:firstLine="632"/>
        <w:rPr>
          <w:rFonts w:cs="Times New Roman"/>
        </w:rPr>
      </w:pPr>
      <w:r>
        <w:rPr>
          <w:rFonts w:cs="Times New Roman"/>
        </w:rPr>
        <w:t>项目估算总投资60171.72万元，其中：工程费用36171.11万元、工程建设其他费用20492.22万元（含建设用地费12808.50万元）、预备费3508.39万元，项目建设所需资金由区财政资金安排解决，项目由区公共建设项目管理服务中心组织实施建设。</w:t>
      </w:r>
    </w:p>
    <w:p>
      <w:pPr>
        <w:pStyle w:val="3"/>
        <w:ind w:firstLine="632"/>
        <w:rPr>
          <w:rFonts w:cs="Times New Roman"/>
        </w:rPr>
      </w:pPr>
      <w:bookmarkStart w:id="3" w:name="_Toc177204518"/>
      <w:r>
        <w:rPr>
          <w:rFonts w:cs="Times New Roman"/>
        </w:rPr>
        <w:t>（三）项目绩效目标。</w:t>
      </w:r>
      <w:bookmarkEnd w:id="3"/>
    </w:p>
    <w:p>
      <w:pPr>
        <w:ind w:firstLine="632"/>
        <w:rPr>
          <w:rFonts w:cs="Times New Roman"/>
        </w:rPr>
      </w:pPr>
      <w:r>
        <w:rPr>
          <w:rFonts w:cs="Times New Roman"/>
        </w:rPr>
        <w:t>根据《项目支出绩效目标表（含转移支付项目）》，项目年度绩效目标为：项目占地面积约85亩，项目拟建36个高中班。主要建设包括建设教学楼、师生饭堂、报告厅图书馆</w:t>
      </w:r>
      <w:bookmarkStart w:id="29" w:name="_GoBack"/>
      <w:bookmarkEnd w:id="29"/>
      <w:r>
        <w:rPr>
          <w:rFonts w:cs="Times New Roman"/>
        </w:rPr>
        <w:t>、体育馆（含游泳馆）、学生宿舍、教师值班用房、地下停车库等功能建筑及其它配套基础设施。项目具有一定的社会效益、经济效益和环境效益。项目在建成后，一定程度上提升当地整体教育发展水平和营商环境，打造特色的教育体系；并能提高居民收入水平，给居民带来相应的就业机会，促进城市化建设，推进文化、教育健康的发展。</w:t>
      </w:r>
    </w:p>
    <w:p>
      <w:pPr>
        <w:ind w:firstLine="632"/>
        <w:rPr>
          <w:rFonts w:cs="Times New Roman"/>
        </w:rPr>
      </w:pPr>
      <w:r>
        <w:rPr>
          <w:rFonts w:cs="Times New Roman"/>
        </w:rPr>
        <w:t>项目2023年年初共设置绩效指标9个，其中产出指标8个，满意度指标1个，具体设置情况如下：</w:t>
      </w:r>
    </w:p>
    <w:p>
      <w:pPr>
        <w:ind w:firstLine="0" w:firstLineChars="0"/>
        <w:jc w:val="center"/>
        <w:rPr>
          <w:rFonts w:eastAsia="黑体" w:cs="Times New Roman"/>
          <w:sz w:val="28"/>
          <w:szCs w:val="28"/>
        </w:rPr>
      </w:pPr>
      <w:r>
        <w:rPr>
          <w:rFonts w:eastAsia="黑体" w:cs="Times New Roman"/>
          <w:sz w:val="28"/>
          <w:szCs w:val="28"/>
        </w:rPr>
        <w:t>表1  2023年项目年初绩效指标设置一览表</w:t>
      </w:r>
    </w:p>
    <w:tbl>
      <w:tblPr>
        <w:tblStyle w:val="16"/>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73"/>
        <w:gridCol w:w="1243"/>
        <w:gridCol w:w="2475"/>
        <w:gridCol w:w="1391"/>
        <w:gridCol w:w="28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073" w:type="dxa"/>
            <w:vAlign w:val="center"/>
          </w:tcPr>
          <w:p>
            <w:pPr>
              <w:adjustRightInd w:val="0"/>
              <w:snapToGrid w:val="0"/>
              <w:spacing w:line="240" w:lineRule="auto"/>
              <w:ind w:firstLine="0" w:firstLineChars="0"/>
              <w:jc w:val="center"/>
              <w:rPr>
                <w:rFonts w:cs="Times New Roman"/>
                <w:b/>
                <w:bCs/>
                <w:sz w:val="24"/>
              </w:rPr>
            </w:pPr>
            <w:r>
              <w:rPr>
                <w:rFonts w:cs="Times New Roman"/>
                <w:b/>
                <w:bCs/>
                <w:sz w:val="24"/>
              </w:rPr>
              <w:t>一级指标</w:t>
            </w:r>
          </w:p>
        </w:tc>
        <w:tc>
          <w:tcPr>
            <w:tcW w:w="1243" w:type="dxa"/>
            <w:vAlign w:val="center"/>
          </w:tcPr>
          <w:p>
            <w:pPr>
              <w:adjustRightInd w:val="0"/>
              <w:snapToGrid w:val="0"/>
              <w:spacing w:line="240" w:lineRule="auto"/>
              <w:ind w:firstLine="0" w:firstLineChars="0"/>
              <w:jc w:val="center"/>
              <w:rPr>
                <w:rFonts w:cs="Times New Roman"/>
                <w:b/>
                <w:bCs/>
                <w:sz w:val="24"/>
              </w:rPr>
            </w:pPr>
            <w:r>
              <w:rPr>
                <w:rFonts w:cs="Times New Roman"/>
                <w:b/>
                <w:bCs/>
                <w:sz w:val="24"/>
              </w:rPr>
              <w:t>二级指标</w:t>
            </w:r>
          </w:p>
        </w:tc>
        <w:tc>
          <w:tcPr>
            <w:tcW w:w="2475" w:type="dxa"/>
            <w:vAlign w:val="center"/>
          </w:tcPr>
          <w:p>
            <w:pPr>
              <w:adjustRightInd w:val="0"/>
              <w:snapToGrid w:val="0"/>
              <w:spacing w:line="240" w:lineRule="auto"/>
              <w:ind w:firstLine="0" w:firstLineChars="0"/>
              <w:jc w:val="center"/>
              <w:rPr>
                <w:rFonts w:cs="Times New Roman"/>
                <w:b/>
                <w:bCs/>
                <w:sz w:val="24"/>
              </w:rPr>
            </w:pPr>
            <w:r>
              <w:rPr>
                <w:rFonts w:cs="Times New Roman"/>
                <w:b/>
                <w:bCs/>
                <w:sz w:val="24"/>
              </w:rPr>
              <w:t>三级指标</w:t>
            </w:r>
          </w:p>
        </w:tc>
        <w:tc>
          <w:tcPr>
            <w:tcW w:w="1391" w:type="dxa"/>
            <w:vAlign w:val="center"/>
          </w:tcPr>
          <w:p>
            <w:pPr>
              <w:adjustRightInd w:val="0"/>
              <w:snapToGrid w:val="0"/>
              <w:spacing w:line="240" w:lineRule="auto"/>
              <w:ind w:firstLine="0" w:firstLineChars="0"/>
              <w:jc w:val="center"/>
              <w:rPr>
                <w:rFonts w:cs="Times New Roman"/>
                <w:b/>
                <w:bCs/>
                <w:sz w:val="24"/>
              </w:rPr>
            </w:pPr>
            <w:r>
              <w:rPr>
                <w:rFonts w:cs="Times New Roman"/>
                <w:b/>
                <w:bCs/>
                <w:sz w:val="24"/>
              </w:rPr>
              <w:t>实施周期指标值</w:t>
            </w:r>
          </w:p>
        </w:tc>
        <w:tc>
          <w:tcPr>
            <w:tcW w:w="2878" w:type="dxa"/>
            <w:vAlign w:val="center"/>
          </w:tcPr>
          <w:p>
            <w:pPr>
              <w:adjustRightInd w:val="0"/>
              <w:snapToGrid w:val="0"/>
              <w:spacing w:line="240" w:lineRule="auto"/>
              <w:ind w:firstLine="0" w:firstLineChars="0"/>
              <w:jc w:val="center"/>
              <w:rPr>
                <w:rFonts w:cs="Times New Roman"/>
                <w:b/>
                <w:bCs/>
                <w:sz w:val="24"/>
              </w:rPr>
            </w:pPr>
            <w:r>
              <w:rPr>
                <w:rFonts w:cs="Times New Roman"/>
                <w:b/>
                <w:bCs/>
                <w:sz w:val="24"/>
              </w:rPr>
              <w:t>年度指标值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073" w:type="dxa"/>
            <w:vMerge w:val="restart"/>
            <w:vAlign w:val="center"/>
          </w:tcPr>
          <w:p>
            <w:pPr>
              <w:adjustRightInd w:val="0"/>
              <w:snapToGrid w:val="0"/>
              <w:spacing w:line="240" w:lineRule="auto"/>
              <w:ind w:firstLine="0" w:firstLineChars="0"/>
              <w:jc w:val="center"/>
              <w:rPr>
                <w:rFonts w:cs="Times New Roman"/>
                <w:sz w:val="24"/>
              </w:rPr>
            </w:pPr>
            <w:r>
              <w:rPr>
                <w:rFonts w:cs="Times New Roman"/>
                <w:sz w:val="24"/>
              </w:rPr>
              <w:t>产出指标</w:t>
            </w:r>
          </w:p>
        </w:tc>
        <w:tc>
          <w:tcPr>
            <w:tcW w:w="1243" w:type="dxa"/>
            <w:vMerge w:val="restart"/>
            <w:vAlign w:val="center"/>
          </w:tcPr>
          <w:p>
            <w:pPr>
              <w:adjustRightInd w:val="0"/>
              <w:snapToGrid w:val="0"/>
              <w:ind w:firstLine="0" w:firstLineChars="0"/>
              <w:jc w:val="center"/>
              <w:rPr>
                <w:rFonts w:cs="Times New Roman"/>
                <w:sz w:val="24"/>
              </w:rPr>
            </w:pPr>
            <w:r>
              <w:rPr>
                <w:rFonts w:cs="Times New Roman"/>
                <w:sz w:val="24"/>
              </w:rPr>
              <w:t>数量指标</w:t>
            </w:r>
          </w:p>
        </w:tc>
        <w:tc>
          <w:tcPr>
            <w:tcW w:w="2475" w:type="dxa"/>
            <w:vAlign w:val="center"/>
          </w:tcPr>
          <w:p>
            <w:pPr>
              <w:adjustRightInd w:val="0"/>
              <w:snapToGrid w:val="0"/>
              <w:spacing w:line="240" w:lineRule="auto"/>
              <w:ind w:firstLine="0" w:firstLineChars="0"/>
              <w:jc w:val="center"/>
              <w:rPr>
                <w:rFonts w:cs="Times New Roman"/>
                <w:sz w:val="24"/>
              </w:rPr>
            </w:pPr>
            <w:r>
              <w:rPr>
                <w:rFonts w:cs="Times New Roman"/>
                <w:sz w:val="24"/>
              </w:rPr>
              <w:t>主体施工完成率</w:t>
            </w:r>
          </w:p>
        </w:tc>
        <w:tc>
          <w:tcPr>
            <w:tcW w:w="1391" w:type="dxa"/>
            <w:vAlign w:val="center"/>
          </w:tcPr>
          <w:p>
            <w:pPr>
              <w:adjustRightInd w:val="0"/>
              <w:snapToGrid w:val="0"/>
              <w:spacing w:line="240" w:lineRule="auto"/>
              <w:ind w:firstLine="0" w:firstLineChars="0"/>
              <w:jc w:val="center"/>
              <w:rPr>
                <w:rFonts w:cs="Times New Roman"/>
                <w:sz w:val="24"/>
              </w:rPr>
            </w:pPr>
            <w:r>
              <w:rPr>
                <w:rFonts w:cs="Times New Roman"/>
                <w:sz w:val="24"/>
              </w:rPr>
              <w:t>100%</w:t>
            </w:r>
          </w:p>
        </w:tc>
        <w:tc>
          <w:tcPr>
            <w:tcW w:w="2878" w:type="dxa"/>
            <w:vAlign w:val="center"/>
          </w:tcPr>
          <w:p>
            <w:pPr>
              <w:adjustRightInd w:val="0"/>
              <w:snapToGrid w:val="0"/>
              <w:spacing w:line="240" w:lineRule="auto"/>
              <w:ind w:firstLine="0" w:firstLineChars="0"/>
              <w:jc w:val="center"/>
              <w:rPr>
                <w:rFonts w:cs="Times New Roman"/>
                <w:sz w:val="24"/>
              </w:rPr>
            </w:pPr>
            <w:r>
              <w:rPr>
                <w:rFonts w:cs="Times New Roman"/>
                <w:sz w:val="24"/>
              </w:rPr>
              <w:t>地下室主体建设完成率100%；总体进度96%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073" w:type="dxa"/>
            <w:vMerge w:val="continue"/>
            <w:vAlign w:val="center"/>
          </w:tcPr>
          <w:p>
            <w:pPr>
              <w:adjustRightInd w:val="0"/>
              <w:snapToGrid w:val="0"/>
              <w:spacing w:line="240" w:lineRule="auto"/>
              <w:ind w:firstLine="0" w:firstLineChars="0"/>
              <w:jc w:val="center"/>
              <w:rPr>
                <w:rFonts w:cs="Times New Roman"/>
                <w:sz w:val="24"/>
              </w:rPr>
            </w:pPr>
          </w:p>
        </w:tc>
        <w:tc>
          <w:tcPr>
            <w:tcW w:w="1243" w:type="dxa"/>
            <w:vMerge w:val="continue"/>
            <w:vAlign w:val="center"/>
          </w:tcPr>
          <w:p>
            <w:pPr>
              <w:adjustRightInd w:val="0"/>
              <w:snapToGrid w:val="0"/>
              <w:spacing w:line="240" w:lineRule="auto"/>
              <w:ind w:firstLine="0" w:firstLineChars="0"/>
              <w:jc w:val="center"/>
              <w:rPr>
                <w:rFonts w:cs="Times New Roman"/>
                <w:sz w:val="24"/>
              </w:rPr>
            </w:pPr>
          </w:p>
        </w:tc>
        <w:tc>
          <w:tcPr>
            <w:tcW w:w="2475" w:type="dxa"/>
            <w:vAlign w:val="center"/>
          </w:tcPr>
          <w:p>
            <w:pPr>
              <w:adjustRightInd w:val="0"/>
              <w:snapToGrid w:val="0"/>
              <w:spacing w:line="240" w:lineRule="auto"/>
              <w:ind w:firstLine="0" w:firstLineChars="0"/>
              <w:jc w:val="center"/>
              <w:rPr>
                <w:rFonts w:cs="Times New Roman"/>
                <w:sz w:val="24"/>
              </w:rPr>
            </w:pPr>
            <w:r>
              <w:rPr>
                <w:rFonts w:cs="Times New Roman"/>
                <w:sz w:val="24"/>
              </w:rPr>
              <w:t>配套工程完成率</w:t>
            </w:r>
          </w:p>
        </w:tc>
        <w:tc>
          <w:tcPr>
            <w:tcW w:w="1391" w:type="dxa"/>
            <w:vAlign w:val="center"/>
          </w:tcPr>
          <w:p>
            <w:pPr>
              <w:adjustRightInd w:val="0"/>
              <w:snapToGrid w:val="0"/>
              <w:spacing w:line="240" w:lineRule="auto"/>
              <w:ind w:firstLine="0" w:firstLineChars="0"/>
              <w:jc w:val="center"/>
              <w:rPr>
                <w:rFonts w:cs="Times New Roman"/>
                <w:sz w:val="24"/>
              </w:rPr>
            </w:pPr>
            <w:r>
              <w:rPr>
                <w:rFonts w:cs="Times New Roman"/>
                <w:sz w:val="24"/>
              </w:rPr>
              <w:t>100%</w:t>
            </w:r>
          </w:p>
        </w:tc>
        <w:tc>
          <w:tcPr>
            <w:tcW w:w="2878" w:type="dxa"/>
            <w:vAlign w:val="center"/>
          </w:tcPr>
          <w:p>
            <w:pPr>
              <w:adjustRightInd w:val="0"/>
              <w:snapToGrid w:val="0"/>
              <w:spacing w:line="240" w:lineRule="auto"/>
              <w:ind w:firstLine="0" w:firstLineChars="0"/>
              <w:jc w:val="center"/>
              <w:rPr>
                <w:rFonts w:cs="Times New Roman"/>
                <w:sz w:val="24"/>
              </w:rPr>
            </w:pPr>
            <w:r>
              <w:rPr>
                <w:rFonts w:cs="Times New Roman"/>
                <w:sz w:val="24"/>
              </w:rPr>
              <w:t>周边配套及场地内绿化完成率97%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073" w:type="dxa"/>
            <w:vMerge w:val="continue"/>
            <w:vAlign w:val="center"/>
          </w:tcPr>
          <w:p>
            <w:pPr>
              <w:adjustRightInd w:val="0"/>
              <w:snapToGrid w:val="0"/>
              <w:spacing w:line="240" w:lineRule="auto"/>
              <w:ind w:firstLine="0" w:firstLineChars="0"/>
              <w:jc w:val="center"/>
              <w:rPr>
                <w:rFonts w:cs="Times New Roman"/>
                <w:sz w:val="24"/>
              </w:rPr>
            </w:pPr>
          </w:p>
        </w:tc>
        <w:tc>
          <w:tcPr>
            <w:tcW w:w="1243" w:type="dxa"/>
            <w:vMerge w:val="restart"/>
            <w:vAlign w:val="center"/>
          </w:tcPr>
          <w:p>
            <w:pPr>
              <w:adjustRightInd w:val="0"/>
              <w:snapToGrid w:val="0"/>
              <w:spacing w:line="240" w:lineRule="auto"/>
              <w:ind w:firstLine="0" w:firstLineChars="0"/>
              <w:jc w:val="center"/>
              <w:rPr>
                <w:rFonts w:cs="Times New Roman"/>
                <w:sz w:val="24"/>
              </w:rPr>
            </w:pPr>
            <w:r>
              <w:rPr>
                <w:rFonts w:cs="Times New Roman"/>
                <w:sz w:val="24"/>
              </w:rPr>
              <w:t>质量指标</w:t>
            </w:r>
          </w:p>
        </w:tc>
        <w:tc>
          <w:tcPr>
            <w:tcW w:w="2475" w:type="dxa"/>
            <w:vAlign w:val="center"/>
          </w:tcPr>
          <w:p>
            <w:pPr>
              <w:adjustRightInd w:val="0"/>
              <w:snapToGrid w:val="0"/>
              <w:spacing w:line="240" w:lineRule="auto"/>
              <w:ind w:firstLine="0" w:firstLineChars="0"/>
              <w:jc w:val="center"/>
              <w:rPr>
                <w:rFonts w:cs="Times New Roman"/>
                <w:sz w:val="24"/>
              </w:rPr>
            </w:pPr>
            <w:r>
              <w:rPr>
                <w:rFonts w:cs="Times New Roman"/>
                <w:sz w:val="24"/>
              </w:rPr>
              <w:t>可研报告质量</w:t>
            </w:r>
          </w:p>
        </w:tc>
        <w:tc>
          <w:tcPr>
            <w:tcW w:w="1391" w:type="dxa"/>
            <w:vAlign w:val="center"/>
          </w:tcPr>
          <w:p>
            <w:pPr>
              <w:adjustRightInd w:val="0"/>
              <w:snapToGrid w:val="0"/>
              <w:spacing w:line="240" w:lineRule="auto"/>
              <w:ind w:firstLine="0" w:firstLineChars="0"/>
              <w:jc w:val="center"/>
              <w:rPr>
                <w:rFonts w:cs="Times New Roman"/>
                <w:sz w:val="24"/>
              </w:rPr>
            </w:pPr>
            <w:r>
              <w:rPr>
                <w:rFonts w:cs="Times New Roman"/>
                <w:sz w:val="24"/>
              </w:rPr>
              <w:t>100%</w:t>
            </w:r>
          </w:p>
        </w:tc>
        <w:tc>
          <w:tcPr>
            <w:tcW w:w="2878" w:type="dxa"/>
            <w:vAlign w:val="center"/>
          </w:tcPr>
          <w:p>
            <w:pPr>
              <w:adjustRightInd w:val="0"/>
              <w:snapToGrid w:val="0"/>
              <w:spacing w:line="240" w:lineRule="auto"/>
              <w:ind w:firstLine="0" w:firstLineChars="0"/>
              <w:jc w:val="center"/>
              <w:rPr>
                <w:rFonts w:cs="Times New Roman"/>
                <w:sz w:val="24"/>
              </w:rPr>
            </w:pPr>
            <w:r>
              <w:rPr>
                <w:rFonts w:cs="Times New Roman"/>
                <w:sz w:val="24"/>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073" w:type="dxa"/>
            <w:vMerge w:val="continue"/>
            <w:vAlign w:val="center"/>
          </w:tcPr>
          <w:p>
            <w:pPr>
              <w:adjustRightInd w:val="0"/>
              <w:snapToGrid w:val="0"/>
              <w:spacing w:line="240" w:lineRule="auto"/>
              <w:ind w:firstLine="0" w:firstLineChars="0"/>
              <w:jc w:val="center"/>
              <w:rPr>
                <w:rFonts w:cs="Times New Roman"/>
                <w:sz w:val="24"/>
              </w:rPr>
            </w:pPr>
          </w:p>
        </w:tc>
        <w:tc>
          <w:tcPr>
            <w:tcW w:w="1243" w:type="dxa"/>
            <w:vMerge w:val="continue"/>
            <w:vAlign w:val="center"/>
          </w:tcPr>
          <w:p>
            <w:pPr>
              <w:adjustRightInd w:val="0"/>
              <w:snapToGrid w:val="0"/>
              <w:spacing w:line="240" w:lineRule="auto"/>
              <w:ind w:firstLine="472"/>
              <w:jc w:val="center"/>
              <w:rPr>
                <w:rFonts w:cs="Times New Roman"/>
                <w:sz w:val="24"/>
              </w:rPr>
            </w:pPr>
          </w:p>
        </w:tc>
        <w:tc>
          <w:tcPr>
            <w:tcW w:w="2475" w:type="dxa"/>
            <w:vAlign w:val="center"/>
          </w:tcPr>
          <w:p>
            <w:pPr>
              <w:adjustRightInd w:val="0"/>
              <w:snapToGrid w:val="0"/>
              <w:spacing w:line="240" w:lineRule="auto"/>
              <w:ind w:firstLine="0" w:firstLineChars="0"/>
              <w:jc w:val="center"/>
              <w:rPr>
                <w:rFonts w:cs="Times New Roman"/>
                <w:sz w:val="24"/>
              </w:rPr>
            </w:pPr>
            <w:r>
              <w:rPr>
                <w:rFonts w:cs="Times New Roman"/>
                <w:sz w:val="24"/>
              </w:rPr>
              <w:t>安全文明施工和质量管理检查次数达标率</w:t>
            </w:r>
          </w:p>
        </w:tc>
        <w:tc>
          <w:tcPr>
            <w:tcW w:w="1391" w:type="dxa"/>
            <w:vAlign w:val="center"/>
          </w:tcPr>
          <w:p>
            <w:pPr>
              <w:adjustRightInd w:val="0"/>
              <w:snapToGrid w:val="0"/>
              <w:spacing w:line="240" w:lineRule="auto"/>
              <w:ind w:firstLine="0" w:firstLineChars="0"/>
              <w:jc w:val="center"/>
              <w:rPr>
                <w:rFonts w:cs="Times New Roman"/>
                <w:sz w:val="24"/>
              </w:rPr>
            </w:pPr>
            <w:r>
              <w:rPr>
                <w:rFonts w:cs="Times New Roman"/>
                <w:sz w:val="24"/>
              </w:rPr>
              <w:t>100%</w:t>
            </w:r>
          </w:p>
        </w:tc>
        <w:tc>
          <w:tcPr>
            <w:tcW w:w="2878" w:type="dxa"/>
            <w:vAlign w:val="center"/>
          </w:tcPr>
          <w:p>
            <w:pPr>
              <w:adjustRightInd w:val="0"/>
              <w:snapToGrid w:val="0"/>
              <w:spacing w:line="240" w:lineRule="auto"/>
              <w:ind w:firstLine="0" w:firstLineChars="0"/>
              <w:jc w:val="center"/>
              <w:rPr>
                <w:rFonts w:cs="Times New Roman"/>
                <w:sz w:val="24"/>
              </w:rPr>
            </w:pPr>
            <w:r>
              <w:rPr>
                <w:rFonts w:cs="Times New Roman"/>
                <w:sz w:val="24"/>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073" w:type="dxa"/>
            <w:vMerge w:val="continue"/>
            <w:vAlign w:val="center"/>
          </w:tcPr>
          <w:p>
            <w:pPr>
              <w:adjustRightInd w:val="0"/>
              <w:snapToGrid w:val="0"/>
              <w:spacing w:line="240" w:lineRule="auto"/>
              <w:ind w:firstLine="0" w:firstLineChars="0"/>
              <w:jc w:val="center"/>
              <w:rPr>
                <w:rFonts w:cs="Times New Roman"/>
                <w:sz w:val="24"/>
              </w:rPr>
            </w:pPr>
          </w:p>
        </w:tc>
        <w:tc>
          <w:tcPr>
            <w:tcW w:w="1243" w:type="dxa"/>
            <w:vMerge w:val="continue"/>
            <w:vAlign w:val="center"/>
          </w:tcPr>
          <w:p>
            <w:pPr>
              <w:adjustRightInd w:val="0"/>
              <w:snapToGrid w:val="0"/>
              <w:spacing w:line="240" w:lineRule="auto"/>
              <w:ind w:firstLine="0" w:firstLineChars="0"/>
              <w:jc w:val="center"/>
              <w:rPr>
                <w:rFonts w:cs="Times New Roman"/>
                <w:sz w:val="24"/>
              </w:rPr>
            </w:pPr>
          </w:p>
        </w:tc>
        <w:tc>
          <w:tcPr>
            <w:tcW w:w="2475" w:type="dxa"/>
            <w:vAlign w:val="center"/>
          </w:tcPr>
          <w:p>
            <w:pPr>
              <w:adjustRightInd w:val="0"/>
              <w:snapToGrid w:val="0"/>
              <w:spacing w:line="240" w:lineRule="auto"/>
              <w:ind w:firstLine="0" w:firstLineChars="0"/>
              <w:jc w:val="center"/>
              <w:rPr>
                <w:rFonts w:cs="Times New Roman"/>
                <w:sz w:val="24"/>
              </w:rPr>
            </w:pPr>
            <w:r>
              <w:rPr>
                <w:rFonts w:cs="Times New Roman"/>
                <w:sz w:val="24"/>
              </w:rPr>
              <w:t>项目运行完好率</w:t>
            </w:r>
          </w:p>
        </w:tc>
        <w:tc>
          <w:tcPr>
            <w:tcW w:w="1391" w:type="dxa"/>
            <w:vAlign w:val="center"/>
          </w:tcPr>
          <w:p>
            <w:pPr>
              <w:adjustRightInd w:val="0"/>
              <w:snapToGrid w:val="0"/>
              <w:spacing w:line="240" w:lineRule="auto"/>
              <w:ind w:firstLine="0" w:firstLineChars="0"/>
              <w:jc w:val="center"/>
              <w:rPr>
                <w:rFonts w:cs="Times New Roman"/>
                <w:sz w:val="24"/>
              </w:rPr>
            </w:pPr>
            <w:r>
              <w:rPr>
                <w:rFonts w:cs="Times New Roman"/>
                <w:sz w:val="24"/>
              </w:rPr>
              <w:t>100%</w:t>
            </w:r>
          </w:p>
        </w:tc>
        <w:tc>
          <w:tcPr>
            <w:tcW w:w="2878" w:type="dxa"/>
            <w:vAlign w:val="center"/>
          </w:tcPr>
          <w:p>
            <w:pPr>
              <w:adjustRightInd w:val="0"/>
              <w:snapToGrid w:val="0"/>
              <w:spacing w:line="240" w:lineRule="auto"/>
              <w:ind w:firstLine="0" w:firstLineChars="0"/>
              <w:jc w:val="center"/>
              <w:rPr>
                <w:rFonts w:cs="Times New Roman"/>
                <w:sz w:val="24"/>
              </w:rPr>
            </w:pPr>
            <w:r>
              <w:rPr>
                <w:rFonts w:cs="Times New Roman"/>
                <w:sz w:val="24"/>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073" w:type="dxa"/>
            <w:vMerge w:val="continue"/>
            <w:vAlign w:val="center"/>
          </w:tcPr>
          <w:p>
            <w:pPr>
              <w:adjustRightInd w:val="0"/>
              <w:snapToGrid w:val="0"/>
              <w:spacing w:line="240" w:lineRule="auto"/>
              <w:ind w:firstLine="0" w:firstLineChars="0"/>
              <w:jc w:val="center"/>
              <w:rPr>
                <w:rFonts w:cs="Times New Roman"/>
                <w:sz w:val="24"/>
              </w:rPr>
            </w:pPr>
          </w:p>
        </w:tc>
        <w:tc>
          <w:tcPr>
            <w:tcW w:w="1243" w:type="dxa"/>
            <w:vMerge w:val="restart"/>
            <w:vAlign w:val="center"/>
          </w:tcPr>
          <w:p>
            <w:pPr>
              <w:adjustRightInd w:val="0"/>
              <w:snapToGrid w:val="0"/>
              <w:spacing w:line="240" w:lineRule="auto"/>
              <w:ind w:firstLine="0" w:firstLineChars="0"/>
              <w:jc w:val="center"/>
              <w:rPr>
                <w:rFonts w:cs="Times New Roman"/>
                <w:sz w:val="24"/>
              </w:rPr>
            </w:pPr>
            <w:r>
              <w:rPr>
                <w:rFonts w:cs="Times New Roman"/>
                <w:sz w:val="24"/>
              </w:rPr>
              <w:t>时效指标</w:t>
            </w:r>
          </w:p>
        </w:tc>
        <w:tc>
          <w:tcPr>
            <w:tcW w:w="2475" w:type="dxa"/>
            <w:vAlign w:val="center"/>
          </w:tcPr>
          <w:p>
            <w:pPr>
              <w:adjustRightInd w:val="0"/>
              <w:snapToGrid w:val="0"/>
              <w:spacing w:line="240" w:lineRule="auto"/>
              <w:ind w:firstLine="0" w:firstLineChars="0"/>
              <w:jc w:val="center"/>
              <w:rPr>
                <w:rFonts w:cs="Times New Roman"/>
                <w:sz w:val="24"/>
              </w:rPr>
            </w:pPr>
            <w:r>
              <w:rPr>
                <w:rFonts w:cs="Times New Roman"/>
                <w:sz w:val="24"/>
              </w:rPr>
              <w:t>年度计划完成率</w:t>
            </w:r>
          </w:p>
        </w:tc>
        <w:tc>
          <w:tcPr>
            <w:tcW w:w="1391" w:type="dxa"/>
            <w:vAlign w:val="center"/>
          </w:tcPr>
          <w:p>
            <w:pPr>
              <w:adjustRightInd w:val="0"/>
              <w:snapToGrid w:val="0"/>
              <w:spacing w:line="240" w:lineRule="auto"/>
              <w:ind w:firstLine="0" w:firstLineChars="0"/>
              <w:jc w:val="center"/>
              <w:rPr>
                <w:rFonts w:cs="Times New Roman"/>
                <w:sz w:val="24"/>
              </w:rPr>
            </w:pPr>
            <w:r>
              <w:rPr>
                <w:rFonts w:cs="Times New Roman"/>
                <w:sz w:val="24"/>
              </w:rPr>
              <w:t>100%</w:t>
            </w:r>
          </w:p>
        </w:tc>
        <w:tc>
          <w:tcPr>
            <w:tcW w:w="2878" w:type="dxa"/>
            <w:vAlign w:val="center"/>
          </w:tcPr>
          <w:p>
            <w:pPr>
              <w:adjustRightInd w:val="0"/>
              <w:snapToGrid w:val="0"/>
              <w:spacing w:line="240" w:lineRule="auto"/>
              <w:ind w:firstLine="0" w:firstLineChars="0"/>
              <w:jc w:val="center"/>
              <w:rPr>
                <w:rFonts w:cs="Times New Roman"/>
                <w:sz w:val="24"/>
              </w:rPr>
            </w:pPr>
            <w:r>
              <w:rPr>
                <w:rFonts w:cs="Times New Roman"/>
                <w:sz w:val="24"/>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073" w:type="dxa"/>
            <w:vMerge w:val="continue"/>
            <w:vAlign w:val="center"/>
          </w:tcPr>
          <w:p>
            <w:pPr>
              <w:adjustRightInd w:val="0"/>
              <w:snapToGrid w:val="0"/>
              <w:spacing w:line="240" w:lineRule="auto"/>
              <w:ind w:firstLine="0" w:firstLineChars="0"/>
              <w:jc w:val="center"/>
              <w:rPr>
                <w:rFonts w:cs="Times New Roman"/>
                <w:sz w:val="24"/>
              </w:rPr>
            </w:pPr>
          </w:p>
        </w:tc>
        <w:tc>
          <w:tcPr>
            <w:tcW w:w="1243" w:type="dxa"/>
            <w:vMerge w:val="continue"/>
            <w:vAlign w:val="center"/>
          </w:tcPr>
          <w:p>
            <w:pPr>
              <w:adjustRightInd w:val="0"/>
              <w:snapToGrid w:val="0"/>
              <w:spacing w:line="240" w:lineRule="auto"/>
              <w:ind w:firstLine="472"/>
              <w:jc w:val="center"/>
              <w:rPr>
                <w:rFonts w:cs="Times New Roman"/>
                <w:sz w:val="24"/>
              </w:rPr>
            </w:pPr>
          </w:p>
        </w:tc>
        <w:tc>
          <w:tcPr>
            <w:tcW w:w="2475" w:type="dxa"/>
            <w:vAlign w:val="center"/>
          </w:tcPr>
          <w:p>
            <w:pPr>
              <w:adjustRightInd w:val="0"/>
              <w:snapToGrid w:val="0"/>
              <w:spacing w:line="240" w:lineRule="auto"/>
              <w:ind w:firstLine="0" w:firstLineChars="0"/>
              <w:jc w:val="center"/>
              <w:rPr>
                <w:rFonts w:cs="Times New Roman"/>
                <w:sz w:val="24"/>
              </w:rPr>
            </w:pPr>
            <w:r>
              <w:rPr>
                <w:rFonts w:cs="Times New Roman"/>
                <w:sz w:val="24"/>
              </w:rPr>
              <w:t>资料打印的及时性</w:t>
            </w:r>
          </w:p>
        </w:tc>
        <w:tc>
          <w:tcPr>
            <w:tcW w:w="1391" w:type="dxa"/>
            <w:vAlign w:val="center"/>
          </w:tcPr>
          <w:p>
            <w:pPr>
              <w:adjustRightInd w:val="0"/>
              <w:snapToGrid w:val="0"/>
              <w:spacing w:line="240" w:lineRule="auto"/>
              <w:ind w:firstLine="0" w:firstLineChars="0"/>
              <w:jc w:val="center"/>
              <w:rPr>
                <w:rFonts w:cs="Times New Roman"/>
                <w:sz w:val="24"/>
              </w:rPr>
            </w:pPr>
            <w:r>
              <w:rPr>
                <w:rFonts w:cs="Times New Roman"/>
                <w:sz w:val="24"/>
              </w:rPr>
              <w:t>100%</w:t>
            </w:r>
          </w:p>
        </w:tc>
        <w:tc>
          <w:tcPr>
            <w:tcW w:w="2878" w:type="dxa"/>
            <w:vAlign w:val="center"/>
          </w:tcPr>
          <w:p>
            <w:pPr>
              <w:adjustRightInd w:val="0"/>
              <w:snapToGrid w:val="0"/>
              <w:spacing w:line="240" w:lineRule="auto"/>
              <w:ind w:firstLine="0" w:firstLineChars="0"/>
              <w:jc w:val="center"/>
              <w:rPr>
                <w:rFonts w:cs="Times New Roman"/>
                <w:sz w:val="24"/>
              </w:rPr>
            </w:pPr>
            <w:r>
              <w:rPr>
                <w:rFonts w:cs="Times New Roman"/>
                <w:sz w:val="24"/>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073" w:type="dxa"/>
            <w:vMerge w:val="continue"/>
            <w:vAlign w:val="center"/>
          </w:tcPr>
          <w:p>
            <w:pPr>
              <w:adjustRightInd w:val="0"/>
              <w:snapToGrid w:val="0"/>
              <w:spacing w:line="240" w:lineRule="auto"/>
              <w:ind w:firstLine="0" w:firstLineChars="0"/>
              <w:jc w:val="center"/>
              <w:rPr>
                <w:rFonts w:cs="Times New Roman"/>
                <w:sz w:val="24"/>
              </w:rPr>
            </w:pPr>
          </w:p>
        </w:tc>
        <w:tc>
          <w:tcPr>
            <w:tcW w:w="1243" w:type="dxa"/>
            <w:vMerge w:val="continue"/>
            <w:vAlign w:val="center"/>
          </w:tcPr>
          <w:p>
            <w:pPr>
              <w:adjustRightInd w:val="0"/>
              <w:snapToGrid w:val="0"/>
              <w:spacing w:line="240" w:lineRule="auto"/>
              <w:ind w:firstLine="0" w:firstLineChars="0"/>
              <w:jc w:val="center"/>
              <w:rPr>
                <w:rFonts w:cs="Times New Roman"/>
                <w:sz w:val="24"/>
              </w:rPr>
            </w:pPr>
          </w:p>
        </w:tc>
        <w:tc>
          <w:tcPr>
            <w:tcW w:w="2475" w:type="dxa"/>
            <w:vAlign w:val="center"/>
          </w:tcPr>
          <w:p>
            <w:pPr>
              <w:adjustRightInd w:val="0"/>
              <w:snapToGrid w:val="0"/>
              <w:spacing w:line="240" w:lineRule="auto"/>
              <w:ind w:firstLine="0" w:firstLineChars="0"/>
              <w:jc w:val="center"/>
              <w:rPr>
                <w:rFonts w:cs="Times New Roman"/>
                <w:sz w:val="24"/>
              </w:rPr>
            </w:pPr>
            <w:r>
              <w:rPr>
                <w:rFonts w:cs="Times New Roman"/>
                <w:sz w:val="24"/>
              </w:rPr>
              <w:t>可持续影响指标</w:t>
            </w:r>
          </w:p>
        </w:tc>
        <w:tc>
          <w:tcPr>
            <w:tcW w:w="1391" w:type="dxa"/>
            <w:vAlign w:val="center"/>
          </w:tcPr>
          <w:p>
            <w:pPr>
              <w:adjustRightInd w:val="0"/>
              <w:snapToGrid w:val="0"/>
              <w:spacing w:line="240" w:lineRule="auto"/>
              <w:ind w:firstLine="0" w:firstLineChars="0"/>
              <w:jc w:val="center"/>
              <w:rPr>
                <w:rFonts w:cs="Times New Roman"/>
                <w:sz w:val="24"/>
              </w:rPr>
            </w:pPr>
            <w:r>
              <w:rPr>
                <w:rFonts w:cs="Times New Roman"/>
                <w:sz w:val="24"/>
              </w:rPr>
              <w:t>健全</w:t>
            </w:r>
          </w:p>
        </w:tc>
        <w:tc>
          <w:tcPr>
            <w:tcW w:w="2878" w:type="dxa"/>
            <w:vAlign w:val="center"/>
          </w:tcPr>
          <w:p>
            <w:pPr>
              <w:adjustRightInd w:val="0"/>
              <w:snapToGrid w:val="0"/>
              <w:spacing w:line="240" w:lineRule="auto"/>
              <w:ind w:firstLine="0" w:firstLineChars="0"/>
              <w:jc w:val="center"/>
              <w:rPr>
                <w:rFonts w:cs="Times New Roman"/>
                <w:sz w:val="24"/>
              </w:rPr>
            </w:pPr>
            <w:r>
              <w:rPr>
                <w:rFonts w:cs="Times New Roman"/>
                <w:sz w:val="24"/>
              </w:rPr>
              <w:t>健全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073" w:type="dxa"/>
            <w:vAlign w:val="center"/>
          </w:tcPr>
          <w:p>
            <w:pPr>
              <w:adjustRightInd w:val="0"/>
              <w:snapToGrid w:val="0"/>
              <w:spacing w:line="240" w:lineRule="auto"/>
              <w:ind w:firstLine="0" w:firstLineChars="0"/>
              <w:jc w:val="center"/>
              <w:rPr>
                <w:rFonts w:cs="Times New Roman"/>
                <w:sz w:val="24"/>
              </w:rPr>
            </w:pPr>
            <w:r>
              <w:rPr>
                <w:rFonts w:cs="Times New Roman"/>
                <w:sz w:val="24"/>
              </w:rPr>
              <w:t>满意度指标</w:t>
            </w:r>
          </w:p>
        </w:tc>
        <w:tc>
          <w:tcPr>
            <w:tcW w:w="1243" w:type="dxa"/>
            <w:vAlign w:val="center"/>
          </w:tcPr>
          <w:p>
            <w:pPr>
              <w:adjustRightInd w:val="0"/>
              <w:snapToGrid w:val="0"/>
              <w:spacing w:line="240" w:lineRule="auto"/>
              <w:ind w:firstLine="0" w:firstLineChars="0"/>
              <w:jc w:val="center"/>
              <w:rPr>
                <w:rFonts w:cs="Times New Roman"/>
                <w:sz w:val="24"/>
              </w:rPr>
            </w:pPr>
            <w:r>
              <w:rPr>
                <w:rFonts w:cs="Times New Roman"/>
                <w:sz w:val="24"/>
              </w:rPr>
              <w:t>满意度指标</w:t>
            </w:r>
          </w:p>
        </w:tc>
        <w:tc>
          <w:tcPr>
            <w:tcW w:w="2475" w:type="dxa"/>
            <w:vAlign w:val="center"/>
          </w:tcPr>
          <w:p>
            <w:pPr>
              <w:adjustRightInd w:val="0"/>
              <w:snapToGrid w:val="0"/>
              <w:spacing w:line="240" w:lineRule="auto"/>
              <w:ind w:firstLine="0" w:firstLineChars="0"/>
              <w:jc w:val="center"/>
              <w:rPr>
                <w:rFonts w:cs="Times New Roman"/>
                <w:sz w:val="24"/>
              </w:rPr>
            </w:pPr>
            <w:r>
              <w:rPr>
                <w:rFonts w:cs="Times New Roman"/>
                <w:sz w:val="24"/>
              </w:rPr>
              <w:t>服务对象满意度</w:t>
            </w:r>
          </w:p>
        </w:tc>
        <w:tc>
          <w:tcPr>
            <w:tcW w:w="1391" w:type="dxa"/>
            <w:vAlign w:val="center"/>
          </w:tcPr>
          <w:p>
            <w:pPr>
              <w:adjustRightInd w:val="0"/>
              <w:snapToGrid w:val="0"/>
              <w:spacing w:line="240" w:lineRule="auto"/>
              <w:ind w:firstLine="0" w:firstLineChars="0"/>
              <w:jc w:val="center"/>
              <w:rPr>
                <w:rFonts w:cs="Times New Roman"/>
                <w:sz w:val="24"/>
              </w:rPr>
            </w:pPr>
            <w:r>
              <w:rPr>
                <w:rFonts w:cs="Times New Roman"/>
                <w:sz w:val="24"/>
              </w:rPr>
              <w:t>98%</w:t>
            </w:r>
          </w:p>
        </w:tc>
        <w:tc>
          <w:tcPr>
            <w:tcW w:w="2878" w:type="dxa"/>
            <w:vAlign w:val="center"/>
          </w:tcPr>
          <w:p>
            <w:pPr>
              <w:adjustRightInd w:val="0"/>
              <w:snapToGrid w:val="0"/>
              <w:spacing w:line="240" w:lineRule="auto"/>
              <w:ind w:firstLine="0" w:firstLineChars="0"/>
              <w:jc w:val="center"/>
              <w:rPr>
                <w:rFonts w:cs="Times New Roman"/>
                <w:sz w:val="24"/>
              </w:rPr>
            </w:pPr>
            <w:r>
              <w:rPr>
                <w:rFonts w:cs="Times New Roman"/>
                <w:sz w:val="24"/>
              </w:rPr>
              <w:t>98%</w:t>
            </w:r>
          </w:p>
        </w:tc>
      </w:tr>
    </w:tbl>
    <w:p>
      <w:pPr>
        <w:ind w:firstLine="632"/>
        <w:rPr>
          <w:rFonts w:cs="Times New Roman"/>
        </w:rPr>
      </w:pPr>
    </w:p>
    <w:p>
      <w:pPr>
        <w:ind w:firstLine="632"/>
        <w:rPr>
          <w:rFonts w:cs="Times New Roman"/>
        </w:rPr>
      </w:pPr>
      <w:r>
        <w:rPr>
          <w:rFonts w:cs="Times New Roman"/>
        </w:rPr>
        <w:t>根据区公共建设项目管理服务中心提供的《项目支出绩效自评表》，项目预期总体目标为增城区应元学校高中部建设项目完成所有前期工作，项目完成主体施工并移交使用。项目自评阶段共设置绩效指标9个，其中产出指标7个、效益指标1个、满意度指标1个，具体设置情况如下：</w:t>
      </w:r>
    </w:p>
    <w:p>
      <w:pPr>
        <w:ind w:firstLine="0" w:firstLineChars="0"/>
        <w:jc w:val="center"/>
        <w:rPr>
          <w:rFonts w:eastAsia="黑体" w:cs="Times New Roman"/>
          <w:sz w:val="28"/>
          <w:szCs w:val="28"/>
        </w:rPr>
      </w:pPr>
      <w:r>
        <w:rPr>
          <w:rFonts w:eastAsia="黑体" w:cs="Times New Roman"/>
          <w:sz w:val="28"/>
          <w:szCs w:val="28"/>
        </w:rPr>
        <w:t>表2  项目自评阶段绩效指标设置一览表</w:t>
      </w:r>
    </w:p>
    <w:tbl>
      <w:tblPr>
        <w:tblStyle w:val="16"/>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49"/>
        <w:gridCol w:w="1599"/>
        <w:gridCol w:w="2604"/>
        <w:gridCol w:w="34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blHeader/>
        </w:trPr>
        <w:tc>
          <w:tcPr>
            <w:tcW w:w="1413" w:type="dxa"/>
            <w:vAlign w:val="center"/>
          </w:tcPr>
          <w:p>
            <w:pPr>
              <w:adjustRightInd w:val="0"/>
              <w:snapToGrid w:val="0"/>
              <w:spacing w:line="240" w:lineRule="auto"/>
              <w:ind w:firstLine="0" w:firstLineChars="0"/>
              <w:jc w:val="center"/>
              <w:rPr>
                <w:rFonts w:cs="Times New Roman"/>
                <w:b/>
                <w:bCs/>
                <w:sz w:val="24"/>
              </w:rPr>
            </w:pPr>
            <w:r>
              <w:rPr>
                <w:rFonts w:cs="Times New Roman"/>
                <w:b/>
                <w:bCs/>
                <w:sz w:val="24"/>
              </w:rPr>
              <w:t>一级指标</w:t>
            </w:r>
          </w:p>
        </w:tc>
        <w:tc>
          <w:tcPr>
            <w:tcW w:w="1559" w:type="dxa"/>
            <w:vAlign w:val="center"/>
          </w:tcPr>
          <w:p>
            <w:pPr>
              <w:adjustRightInd w:val="0"/>
              <w:snapToGrid w:val="0"/>
              <w:spacing w:line="240" w:lineRule="auto"/>
              <w:ind w:firstLine="0" w:firstLineChars="0"/>
              <w:jc w:val="center"/>
              <w:rPr>
                <w:rFonts w:cs="Times New Roman"/>
                <w:b/>
                <w:bCs/>
                <w:sz w:val="24"/>
              </w:rPr>
            </w:pPr>
            <w:r>
              <w:rPr>
                <w:rFonts w:cs="Times New Roman"/>
                <w:b/>
                <w:bCs/>
                <w:sz w:val="24"/>
              </w:rPr>
              <w:t>二级指标</w:t>
            </w:r>
          </w:p>
        </w:tc>
        <w:tc>
          <w:tcPr>
            <w:tcW w:w="2539" w:type="dxa"/>
            <w:vAlign w:val="center"/>
          </w:tcPr>
          <w:p>
            <w:pPr>
              <w:adjustRightInd w:val="0"/>
              <w:snapToGrid w:val="0"/>
              <w:spacing w:line="240" w:lineRule="auto"/>
              <w:ind w:firstLine="0" w:firstLineChars="0"/>
              <w:jc w:val="center"/>
              <w:rPr>
                <w:rFonts w:cs="Times New Roman"/>
                <w:b/>
                <w:bCs/>
                <w:sz w:val="24"/>
              </w:rPr>
            </w:pPr>
            <w:r>
              <w:rPr>
                <w:rFonts w:cs="Times New Roman"/>
                <w:b/>
                <w:bCs/>
                <w:sz w:val="24"/>
              </w:rPr>
              <w:t>三级指标</w:t>
            </w:r>
          </w:p>
        </w:tc>
        <w:tc>
          <w:tcPr>
            <w:tcW w:w="3323" w:type="dxa"/>
            <w:vAlign w:val="center"/>
          </w:tcPr>
          <w:p>
            <w:pPr>
              <w:adjustRightInd w:val="0"/>
              <w:snapToGrid w:val="0"/>
              <w:spacing w:line="240" w:lineRule="auto"/>
              <w:ind w:firstLine="0" w:firstLineChars="0"/>
              <w:jc w:val="center"/>
              <w:rPr>
                <w:rFonts w:cs="Times New Roman"/>
                <w:b/>
                <w:bCs/>
                <w:sz w:val="24"/>
              </w:rPr>
            </w:pPr>
            <w:r>
              <w:rPr>
                <w:rFonts w:cs="Times New Roman"/>
                <w:b/>
                <w:bCs/>
                <w:sz w:val="24"/>
              </w:rPr>
              <w:t>年度指标值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413" w:type="dxa"/>
            <w:vMerge w:val="restart"/>
            <w:vAlign w:val="center"/>
          </w:tcPr>
          <w:p>
            <w:pPr>
              <w:adjustRightInd w:val="0"/>
              <w:snapToGrid w:val="0"/>
              <w:spacing w:line="240" w:lineRule="auto"/>
              <w:ind w:firstLine="0" w:firstLineChars="0"/>
              <w:jc w:val="center"/>
              <w:rPr>
                <w:rFonts w:cs="Times New Roman"/>
                <w:sz w:val="24"/>
              </w:rPr>
            </w:pPr>
            <w:r>
              <w:rPr>
                <w:rFonts w:cs="Times New Roman"/>
                <w:sz w:val="24"/>
              </w:rPr>
              <w:t>产出指标</w:t>
            </w:r>
          </w:p>
        </w:tc>
        <w:tc>
          <w:tcPr>
            <w:tcW w:w="1559" w:type="dxa"/>
            <w:vMerge w:val="restart"/>
            <w:vAlign w:val="center"/>
          </w:tcPr>
          <w:p>
            <w:pPr>
              <w:adjustRightInd w:val="0"/>
              <w:snapToGrid w:val="0"/>
              <w:spacing w:line="240" w:lineRule="auto"/>
              <w:ind w:firstLine="0" w:firstLineChars="0"/>
              <w:jc w:val="center"/>
              <w:rPr>
                <w:rFonts w:cs="Times New Roman"/>
                <w:sz w:val="24"/>
              </w:rPr>
            </w:pPr>
            <w:r>
              <w:rPr>
                <w:rFonts w:cs="Times New Roman"/>
                <w:sz w:val="24"/>
              </w:rPr>
              <w:t>数量指标</w:t>
            </w:r>
          </w:p>
        </w:tc>
        <w:tc>
          <w:tcPr>
            <w:tcW w:w="2539" w:type="dxa"/>
            <w:vAlign w:val="center"/>
          </w:tcPr>
          <w:p>
            <w:pPr>
              <w:adjustRightInd w:val="0"/>
              <w:snapToGrid w:val="0"/>
              <w:spacing w:line="240" w:lineRule="auto"/>
              <w:ind w:firstLine="0" w:firstLineChars="0"/>
              <w:jc w:val="center"/>
              <w:rPr>
                <w:rFonts w:cs="Times New Roman"/>
                <w:sz w:val="24"/>
              </w:rPr>
            </w:pPr>
            <w:r>
              <w:rPr>
                <w:rFonts w:cs="Times New Roman"/>
                <w:sz w:val="24"/>
              </w:rPr>
              <w:t>主体施工完成率</w:t>
            </w:r>
          </w:p>
        </w:tc>
        <w:tc>
          <w:tcPr>
            <w:tcW w:w="3323" w:type="dxa"/>
            <w:vAlign w:val="center"/>
          </w:tcPr>
          <w:p>
            <w:pPr>
              <w:adjustRightInd w:val="0"/>
              <w:snapToGrid w:val="0"/>
              <w:spacing w:line="240" w:lineRule="auto"/>
              <w:ind w:firstLine="0" w:firstLineChars="0"/>
              <w:jc w:val="center"/>
              <w:rPr>
                <w:rFonts w:cs="Times New Roman"/>
                <w:sz w:val="24"/>
              </w:rPr>
            </w:pPr>
            <w:r>
              <w:rPr>
                <w:rFonts w:cs="Times New Roman"/>
                <w:sz w:val="24"/>
              </w:rPr>
              <w:t>地下室主体建设完成率100%；总体进度96%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413" w:type="dxa"/>
            <w:vMerge w:val="continue"/>
            <w:vAlign w:val="center"/>
          </w:tcPr>
          <w:p>
            <w:pPr>
              <w:adjustRightInd w:val="0"/>
              <w:snapToGrid w:val="0"/>
              <w:spacing w:line="240" w:lineRule="auto"/>
              <w:ind w:firstLine="0" w:firstLineChars="0"/>
              <w:jc w:val="center"/>
              <w:rPr>
                <w:rFonts w:cs="Times New Roman"/>
                <w:sz w:val="24"/>
              </w:rPr>
            </w:pPr>
          </w:p>
        </w:tc>
        <w:tc>
          <w:tcPr>
            <w:tcW w:w="1559" w:type="dxa"/>
            <w:vMerge w:val="continue"/>
            <w:vAlign w:val="center"/>
          </w:tcPr>
          <w:p>
            <w:pPr>
              <w:adjustRightInd w:val="0"/>
              <w:snapToGrid w:val="0"/>
              <w:spacing w:line="240" w:lineRule="auto"/>
              <w:ind w:firstLine="0" w:firstLineChars="0"/>
              <w:jc w:val="center"/>
              <w:rPr>
                <w:rFonts w:cs="Times New Roman"/>
                <w:sz w:val="24"/>
              </w:rPr>
            </w:pPr>
          </w:p>
        </w:tc>
        <w:tc>
          <w:tcPr>
            <w:tcW w:w="2539" w:type="dxa"/>
            <w:vAlign w:val="center"/>
          </w:tcPr>
          <w:p>
            <w:pPr>
              <w:adjustRightInd w:val="0"/>
              <w:snapToGrid w:val="0"/>
              <w:spacing w:line="240" w:lineRule="auto"/>
              <w:ind w:firstLine="0" w:firstLineChars="0"/>
              <w:jc w:val="center"/>
              <w:rPr>
                <w:rFonts w:cs="Times New Roman"/>
                <w:sz w:val="24"/>
              </w:rPr>
            </w:pPr>
            <w:r>
              <w:rPr>
                <w:rFonts w:cs="Times New Roman"/>
                <w:sz w:val="24"/>
              </w:rPr>
              <w:t>配套工程完成率</w:t>
            </w:r>
          </w:p>
        </w:tc>
        <w:tc>
          <w:tcPr>
            <w:tcW w:w="3323" w:type="dxa"/>
            <w:vAlign w:val="center"/>
          </w:tcPr>
          <w:p>
            <w:pPr>
              <w:adjustRightInd w:val="0"/>
              <w:snapToGrid w:val="0"/>
              <w:spacing w:line="240" w:lineRule="auto"/>
              <w:ind w:firstLine="0" w:firstLineChars="0"/>
              <w:jc w:val="center"/>
              <w:rPr>
                <w:rFonts w:cs="Times New Roman"/>
                <w:sz w:val="24"/>
              </w:rPr>
            </w:pPr>
            <w:r>
              <w:rPr>
                <w:rFonts w:cs="Times New Roman"/>
                <w:sz w:val="24"/>
              </w:rPr>
              <w:t>周边配套及场地内绿化完成率97%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413" w:type="dxa"/>
            <w:vMerge w:val="continue"/>
            <w:vAlign w:val="center"/>
          </w:tcPr>
          <w:p>
            <w:pPr>
              <w:adjustRightInd w:val="0"/>
              <w:snapToGrid w:val="0"/>
              <w:spacing w:line="240" w:lineRule="auto"/>
              <w:ind w:firstLine="0" w:firstLineChars="0"/>
              <w:jc w:val="center"/>
              <w:rPr>
                <w:rFonts w:cs="Times New Roman"/>
                <w:sz w:val="24"/>
              </w:rPr>
            </w:pPr>
          </w:p>
        </w:tc>
        <w:tc>
          <w:tcPr>
            <w:tcW w:w="1559" w:type="dxa"/>
            <w:vMerge w:val="restart"/>
            <w:vAlign w:val="center"/>
          </w:tcPr>
          <w:p>
            <w:pPr>
              <w:adjustRightInd w:val="0"/>
              <w:snapToGrid w:val="0"/>
              <w:spacing w:line="240" w:lineRule="auto"/>
              <w:ind w:firstLine="0" w:firstLineChars="0"/>
              <w:jc w:val="center"/>
              <w:rPr>
                <w:rFonts w:cs="Times New Roman"/>
                <w:sz w:val="24"/>
              </w:rPr>
            </w:pPr>
            <w:r>
              <w:rPr>
                <w:rFonts w:cs="Times New Roman"/>
                <w:sz w:val="24"/>
              </w:rPr>
              <w:t>质量指标</w:t>
            </w:r>
          </w:p>
          <w:p>
            <w:pPr>
              <w:adjustRightInd w:val="0"/>
              <w:snapToGrid w:val="0"/>
              <w:spacing w:line="240" w:lineRule="auto"/>
              <w:ind w:firstLine="472"/>
              <w:jc w:val="center"/>
              <w:rPr>
                <w:rFonts w:cs="Times New Roman"/>
                <w:sz w:val="24"/>
              </w:rPr>
            </w:pPr>
          </w:p>
        </w:tc>
        <w:tc>
          <w:tcPr>
            <w:tcW w:w="2539" w:type="dxa"/>
            <w:vAlign w:val="center"/>
          </w:tcPr>
          <w:p>
            <w:pPr>
              <w:adjustRightInd w:val="0"/>
              <w:snapToGrid w:val="0"/>
              <w:spacing w:line="240" w:lineRule="auto"/>
              <w:ind w:firstLine="0" w:firstLineChars="0"/>
              <w:jc w:val="center"/>
              <w:rPr>
                <w:rFonts w:cs="Times New Roman"/>
                <w:sz w:val="24"/>
              </w:rPr>
            </w:pPr>
            <w:r>
              <w:rPr>
                <w:rFonts w:cs="Times New Roman"/>
                <w:sz w:val="24"/>
              </w:rPr>
              <w:t>可研报告质量</w:t>
            </w:r>
          </w:p>
        </w:tc>
        <w:tc>
          <w:tcPr>
            <w:tcW w:w="3323" w:type="dxa"/>
            <w:vAlign w:val="center"/>
          </w:tcPr>
          <w:p>
            <w:pPr>
              <w:adjustRightInd w:val="0"/>
              <w:snapToGrid w:val="0"/>
              <w:spacing w:line="240" w:lineRule="auto"/>
              <w:ind w:firstLine="0" w:firstLineChars="0"/>
              <w:jc w:val="center"/>
              <w:rPr>
                <w:rFonts w:cs="Times New Roman"/>
                <w:sz w:val="24"/>
              </w:rPr>
            </w:pPr>
            <w:r>
              <w:rPr>
                <w:rFonts w:cs="Times New Roman"/>
                <w:sz w:val="24"/>
              </w:rPr>
              <w:t>完成可研编制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413" w:type="dxa"/>
            <w:vMerge w:val="continue"/>
            <w:vAlign w:val="center"/>
          </w:tcPr>
          <w:p>
            <w:pPr>
              <w:adjustRightInd w:val="0"/>
              <w:snapToGrid w:val="0"/>
              <w:spacing w:line="240" w:lineRule="auto"/>
              <w:ind w:firstLine="0" w:firstLineChars="0"/>
              <w:jc w:val="center"/>
              <w:rPr>
                <w:rFonts w:cs="Times New Roman"/>
                <w:sz w:val="24"/>
              </w:rPr>
            </w:pPr>
          </w:p>
        </w:tc>
        <w:tc>
          <w:tcPr>
            <w:tcW w:w="1559" w:type="dxa"/>
            <w:vMerge w:val="continue"/>
            <w:vAlign w:val="center"/>
          </w:tcPr>
          <w:p>
            <w:pPr>
              <w:adjustRightInd w:val="0"/>
              <w:snapToGrid w:val="0"/>
              <w:spacing w:line="240" w:lineRule="auto"/>
              <w:ind w:firstLine="472"/>
              <w:jc w:val="center"/>
              <w:rPr>
                <w:rFonts w:cs="Times New Roman"/>
                <w:sz w:val="24"/>
              </w:rPr>
            </w:pPr>
          </w:p>
        </w:tc>
        <w:tc>
          <w:tcPr>
            <w:tcW w:w="2539" w:type="dxa"/>
            <w:vAlign w:val="center"/>
          </w:tcPr>
          <w:p>
            <w:pPr>
              <w:adjustRightInd w:val="0"/>
              <w:snapToGrid w:val="0"/>
              <w:spacing w:line="240" w:lineRule="auto"/>
              <w:ind w:firstLine="0" w:firstLineChars="0"/>
              <w:jc w:val="center"/>
              <w:rPr>
                <w:rFonts w:cs="Times New Roman"/>
                <w:sz w:val="24"/>
              </w:rPr>
            </w:pPr>
            <w:r>
              <w:rPr>
                <w:rFonts w:cs="Times New Roman"/>
                <w:sz w:val="24"/>
              </w:rPr>
              <w:t>安全文明施工和质量管理检查次数达标率</w:t>
            </w:r>
          </w:p>
        </w:tc>
        <w:tc>
          <w:tcPr>
            <w:tcW w:w="3323" w:type="dxa"/>
            <w:vAlign w:val="center"/>
          </w:tcPr>
          <w:p>
            <w:pPr>
              <w:adjustRightInd w:val="0"/>
              <w:snapToGrid w:val="0"/>
              <w:spacing w:line="240" w:lineRule="auto"/>
              <w:ind w:firstLine="0" w:firstLineChars="0"/>
              <w:jc w:val="center"/>
              <w:rPr>
                <w:rFonts w:cs="Times New Roman"/>
                <w:sz w:val="24"/>
              </w:rPr>
            </w:pPr>
            <w:r>
              <w:rPr>
                <w:rFonts w:cs="Times New Roman"/>
                <w:sz w:val="24"/>
              </w:rPr>
              <w:t>按时完成检查并及时整改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413" w:type="dxa"/>
            <w:vMerge w:val="continue"/>
            <w:vAlign w:val="center"/>
          </w:tcPr>
          <w:p>
            <w:pPr>
              <w:adjustRightInd w:val="0"/>
              <w:snapToGrid w:val="0"/>
              <w:spacing w:line="240" w:lineRule="auto"/>
              <w:ind w:firstLine="0" w:firstLineChars="0"/>
              <w:jc w:val="center"/>
              <w:rPr>
                <w:rFonts w:cs="Times New Roman"/>
                <w:sz w:val="24"/>
              </w:rPr>
            </w:pPr>
          </w:p>
        </w:tc>
        <w:tc>
          <w:tcPr>
            <w:tcW w:w="1559" w:type="dxa"/>
            <w:vMerge w:val="continue"/>
            <w:vAlign w:val="center"/>
          </w:tcPr>
          <w:p>
            <w:pPr>
              <w:adjustRightInd w:val="0"/>
              <w:snapToGrid w:val="0"/>
              <w:spacing w:line="240" w:lineRule="auto"/>
              <w:ind w:firstLine="0" w:firstLineChars="0"/>
              <w:jc w:val="center"/>
              <w:rPr>
                <w:rFonts w:cs="Times New Roman"/>
                <w:sz w:val="24"/>
              </w:rPr>
            </w:pPr>
          </w:p>
        </w:tc>
        <w:tc>
          <w:tcPr>
            <w:tcW w:w="2539" w:type="dxa"/>
            <w:vAlign w:val="center"/>
          </w:tcPr>
          <w:p>
            <w:pPr>
              <w:adjustRightInd w:val="0"/>
              <w:snapToGrid w:val="0"/>
              <w:spacing w:line="240" w:lineRule="auto"/>
              <w:ind w:firstLine="0" w:firstLineChars="0"/>
              <w:jc w:val="center"/>
              <w:rPr>
                <w:rFonts w:cs="Times New Roman"/>
                <w:sz w:val="24"/>
              </w:rPr>
            </w:pPr>
            <w:r>
              <w:rPr>
                <w:rFonts w:cs="Times New Roman"/>
                <w:sz w:val="24"/>
              </w:rPr>
              <w:t>项目运行完好率</w:t>
            </w:r>
          </w:p>
        </w:tc>
        <w:tc>
          <w:tcPr>
            <w:tcW w:w="3323" w:type="dxa"/>
            <w:vAlign w:val="center"/>
          </w:tcPr>
          <w:p>
            <w:pPr>
              <w:adjustRightInd w:val="0"/>
              <w:snapToGrid w:val="0"/>
              <w:spacing w:line="240" w:lineRule="auto"/>
              <w:ind w:firstLine="0" w:firstLineChars="0"/>
              <w:jc w:val="center"/>
              <w:rPr>
                <w:rFonts w:cs="Times New Roman"/>
                <w:sz w:val="24"/>
              </w:rPr>
            </w:pPr>
            <w:r>
              <w:rPr>
                <w:rFonts w:cs="Times New Roman"/>
                <w:sz w:val="24"/>
              </w:rPr>
              <w:t>工程按期完工，并交付使用，无重大质量问题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413" w:type="dxa"/>
            <w:vMerge w:val="continue"/>
            <w:vAlign w:val="center"/>
          </w:tcPr>
          <w:p>
            <w:pPr>
              <w:adjustRightInd w:val="0"/>
              <w:snapToGrid w:val="0"/>
              <w:spacing w:line="240" w:lineRule="auto"/>
              <w:ind w:firstLine="0" w:firstLineChars="0"/>
              <w:jc w:val="center"/>
              <w:rPr>
                <w:rFonts w:cs="Times New Roman"/>
                <w:sz w:val="24"/>
              </w:rPr>
            </w:pPr>
          </w:p>
        </w:tc>
        <w:tc>
          <w:tcPr>
            <w:tcW w:w="1559" w:type="dxa"/>
            <w:vMerge w:val="restart"/>
            <w:vAlign w:val="center"/>
          </w:tcPr>
          <w:p>
            <w:pPr>
              <w:adjustRightInd w:val="0"/>
              <w:snapToGrid w:val="0"/>
              <w:spacing w:line="240" w:lineRule="auto"/>
              <w:ind w:firstLine="0" w:firstLineChars="0"/>
              <w:jc w:val="center"/>
              <w:rPr>
                <w:rFonts w:cs="Times New Roman"/>
                <w:sz w:val="24"/>
              </w:rPr>
            </w:pPr>
            <w:r>
              <w:rPr>
                <w:rFonts w:cs="Times New Roman"/>
                <w:sz w:val="24"/>
              </w:rPr>
              <w:t>时效指标</w:t>
            </w:r>
          </w:p>
        </w:tc>
        <w:tc>
          <w:tcPr>
            <w:tcW w:w="2539" w:type="dxa"/>
            <w:vAlign w:val="center"/>
          </w:tcPr>
          <w:p>
            <w:pPr>
              <w:adjustRightInd w:val="0"/>
              <w:snapToGrid w:val="0"/>
              <w:spacing w:line="240" w:lineRule="auto"/>
              <w:ind w:firstLine="0" w:firstLineChars="0"/>
              <w:jc w:val="center"/>
              <w:rPr>
                <w:rFonts w:cs="Times New Roman"/>
                <w:sz w:val="24"/>
              </w:rPr>
            </w:pPr>
            <w:r>
              <w:rPr>
                <w:rFonts w:cs="Times New Roman"/>
                <w:sz w:val="24"/>
              </w:rPr>
              <w:t>年度计划完成率</w:t>
            </w:r>
          </w:p>
        </w:tc>
        <w:tc>
          <w:tcPr>
            <w:tcW w:w="3323" w:type="dxa"/>
            <w:vAlign w:val="center"/>
          </w:tcPr>
          <w:p>
            <w:pPr>
              <w:adjustRightInd w:val="0"/>
              <w:snapToGrid w:val="0"/>
              <w:spacing w:line="240" w:lineRule="auto"/>
              <w:ind w:firstLine="0" w:firstLineChars="0"/>
              <w:jc w:val="center"/>
              <w:rPr>
                <w:rFonts w:cs="Times New Roman"/>
                <w:sz w:val="24"/>
              </w:rPr>
            </w:pPr>
            <w:r>
              <w:rPr>
                <w:rFonts w:cs="Times New Roman"/>
                <w:sz w:val="24"/>
              </w:rPr>
              <w:t>完成所有前期工作，项目完成主体施工并移交使用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413" w:type="dxa"/>
            <w:vMerge w:val="continue"/>
            <w:vAlign w:val="center"/>
          </w:tcPr>
          <w:p>
            <w:pPr>
              <w:adjustRightInd w:val="0"/>
              <w:snapToGrid w:val="0"/>
              <w:spacing w:line="240" w:lineRule="auto"/>
              <w:ind w:firstLine="0" w:firstLineChars="0"/>
              <w:jc w:val="center"/>
              <w:rPr>
                <w:rFonts w:cs="Times New Roman"/>
                <w:sz w:val="24"/>
              </w:rPr>
            </w:pPr>
          </w:p>
        </w:tc>
        <w:tc>
          <w:tcPr>
            <w:tcW w:w="1559" w:type="dxa"/>
            <w:vMerge w:val="continue"/>
            <w:vAlign w:val="center"/>
          </w:tcPr>
          <w:p>
            <w:pPr>
              <w:adjustRightInd w:val="0"/>
              <w:snapToGrid w:val="0"/>
              <w:spacing w:line="240" w:lineRule="auto"/>
              <w:ind w:firstLine="0" w:firstLineChars="0"/>
              <w:jc w:val="center"/>
              <w:rPr>
                <w:rFonts w:cs="Times New Roman"/>
                <w:sz w:val="24"/>
              </w:rPr>
            </w:pPr>
          </w:p>
        </w:tc>
        <w:tc>
          <w:tcPr>
            <w:tcW w:w="2539" w:type="dxa"/>
            <w:vAlign w:val="center"/>
          </w:tcPr>
          <w:p>
            <w:pPr>
              <w:adjustRightInd w:val="0"/>
              <w:snapToGrid w:val="0"/>
              <w:spacing w:line="240" w:lineRule="auto"/>
              <w:ind w:firstLine="0" w:firstLineChars="0"/>
              <w:jc w:val="center"/>
              <w:rPr>
                <w:rFonts w:cs="Times New Roman"/>
                <w:sz w:val="24"/>
              </w:rPr>
            </w:pPr>
            <w:r>
              <w:rPr>
                <w:rFonts w:cs="Times New Roman"/>
                <w:sz w:val="24"/>
              </w:rPr>
              <w:t>资料打印的及时性</w:t>
            </w:r>
          </w:p>
        </w:tc>
        <w:tc>
          <w:tcPr>
            <w:tcW w:w="3323" w:type="dxa"/>
            <w:vAlign w:val="center"/>
          </w:tcPr>
          <w:p>
            <w:pPr>
              <w:adjustRightInd w:val="0"/>
              <w:snapToGrid w:val="0"/>
              <w:spacing w:line="240" w:lineRule="auto"/>
              <w:ind w:firstLine="0" w:firstLineChars="0"/>
              <w:jc w:val="center"/>
              <w:rPr>
                <w:rFonts w:cs="Times New Roman"/>
                <w:sz w:val="24"/>
              </w:rPr>
            </w:pPr>
            <w:r>
              <w:rPr>
                <w:rFonts w:cs="Times New Roman"/>
                <w:sz w:val="24"/>
              </w:rPr>
              <w:t>资料与进度同步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413" w:type="dxa"/>
            <w:vAlign w:val="center"/>
          </w:tcPr>
          <w:p>
            <w:pPr>
              <w:adjustRightInd w:val="0"/>
              <w:snapToGrid w:val="0"/>
              <w:spacing w:line="240" w:lineRule="auto"/>
              <w:ind w:firstLine="0" w:firstLineChars="0"/>
              <w:jc w:val="center"/>
              <w:rPr>
                <w:rFonts w:cs="Times New Roman"/>
                <w:sz w:val="24"/>
              </w:rPr>
            </w:pPr>
            <w:r>
              <w:rPr>
                <w:rFonts w:cs="Times New Roman"/>
                <w:sz w:val="24"/>
              </w:rPr>
              <w:t>效益指标</w:t>
            </w:r>
          </w:p>
        </w:tc>
        <w:tc>
          <w:tcPr>
            <w:tcW w:w="1559" w:type="dxa"/>
            <w:vAlign w:val="center"/>
          </w:tcPr>
          <w:p>
            <w:pPr>
              <w:adjustRightInd w:val="0"/>
              <w:snapToGrid w:val="0"/>
              <w:spacing w:line="240" w:lineRule="auto"/>
              <w:ind w:firstLine="0" w:firstLineChars="0"/>
              <w:jc w:val="center"/>
              <w:rPr>
                <w:rFonts w:cs="Times New Roman"/>
                <w:sz w:val="24"/>
              </w:rPr>
            </w:pPr>
            <w:r>
              <w:rPr>
                <w:rFonts w:cs="Times New Roman"/>
                <w:sz w:val="24"/>
              </w:rPr>
              <w:t>可持续影响指标</w:t>
            </w:r>
          </w:p>
        </w:tc>
        <w:tc>
          <w:tcPr>
            <w:tcW w:w="2539" w:type="dxa"/>
            <w:vAlign w:val="center"/>
          </w:tcPr>
          <w:p>
            <w:pPr>
              <w:adjustRightInd w:val="0"/>
              <w:snapToGrid w:val="0"/>
              <w:spacing w:line="240" w:lineRule="auto"/>
              <w:ind w:firstLine="0" w:firstLineChars="0"/>
              <w:jc w:val="center"/>
              <w:rPr>
                <w:rFonts w:cs="Times New Roman"/>
                <w:sz w:val="24"/>
              </w:rPr>
            </w:pPr>
            <w:r>
              <w:rPr>
                <w:rFonts w:cs="Times New Roman"/>
                <w:sz w:val="24"/>
              </w:rPr>
              <w:t>可持续影响指标</w:t>
            </w:r>
          </w:p>
        </w:tc>
        <w:tc>
          <w:tcPr>
            <w:tcW w:w="3323" w:type="dxa"/>
            <w:vAlign w:val="center"/>
          </w:tcPr>
          <w:p>
            <w:pPr>
              <w:adjustRightInd w:val="0"/>
              <w:snapToGrid w:val="0"/>
              <w:spacing w:line="240" w:lineRule="auto"/>
              <w:ind w:firstLine="0" w:firstLineChars="0"/>
              <w:jc w:val="center"/>
              <w:rPr>
                <w:rFonts w:cs="Times New Roman"/>
                <w:sz w:val="24"/>
              </w:rPr>
            </w:pPr>
            <w:r>
              <w:rPr>
                <w:rFonts w:cs="Times New Roman"/>
                <w:sz w:val="24"/>
              </w:rPr>
              <w:t>学校建成后计划可新增学位1800位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413" w:type="dxa"/>
            <w:vAlign w:val="center"/>
          </w:tcPr>
          <w:p>
            <w:pPr>
              <w:adjustRightInd w:val="0"/>
              <w:snapToGrid w:val="0"/>
              <w:spacing w:line="240" w:lineRule="auto"/>
              <w:ind w:firstLine="0" w:firstLineChars="0"/>
              <w:jc w:val="center"/>
              <w:rPr>
                <w:rFonts w:cs="Times New Roman"/>
                <w:sz w:val="24"/>
              </w:rPr>
            </w:pPr>
            <w:r>
              <w:rPr>
                <w:rFonts w:cs="Times New Roman"/>
                <w:sz w:val="24"/>
              </w:rPr>
              <w:t>满意度指标</w:t>
            </w:r>
          </w:p>
        </w:tc>
        <w:tc>
          <w:tcPr>
            <w:tcW w:w="1559" w:type="dxa"/>
            <w:vAlign w:val="center"/>
          </w:tcPr>
          <w:p>
            <w:pPr>
              <w:adjustRightInd w:val="0"/>
              <w:snapToGrid w:val="0"/>
              <w:spacing w:line="240" w:lineRule="auto"/>
              <w:ind w:firstLine="0" w:firstLineChars="0"/>
              <w:jc w:val="center"/>
              <w:rPr>
                <w:rFonts w:cs="Times New Roman"/>
                <w:sz w:val="24"/>
              </w:rPr>
            </w:pPr>
            <w:r>
              <w:rPr>
                <w:rFonts w:cs="Times New Roman"/>
                <w:sz w:val="24"/>
              </w:rPr>
              <w:t>满意度指标</w:t>
            </w:r>
          </w:p>
        </w:tc>
        <w:tc>
          <w:tcPr>
            <w:tcW w:w="2539" w:type="dxa"/>
            <w:vAlign w:val="center"/>
          </w:tcPr>
          <w:p>
            <w:pPr>
              <w:adjustRightInd w:val="0"/>
              <w:snapToGrid w:val="0"/>
              <w:spacing w:line="240" w:lineRule="auto"/>
              <w:ind w:firstLine="0" w:firstLineChars="0"/>
              <w:jc w:val="center"/>
              <w:rPr>
                <w:rFonts w:cs="Times New Roman"/>
                <w:sz w:val="24"/>
              </w:rPr>
            </w:pPr>
            <w:r>
              <w:rPr>
                <w:rFonts w:cs="Times New Roman"/>
                <w:sz w:val="24"/>
              </w:rPr>
              <w:t>服务对象满意度</w:t>
            </w:r>
          </w:p>
        </w:tc>
        <w:tc>
          <w:tcPr>
            <w:tcW w:w="3323" w:type="dxa"/>
            <w:vAlign w:val="center"/>
          </w:tcPr>
          <w:p>
            <w:pPr>
              <w:adjustRightInd w:val="0"/>
              <w:snapToGrid w:val="0"/>
              <w:spacing w:line="240" w:lineRule="auto"/>
              <w:ind w:firstLine="0" w:firstLineChars="0"/>
              <w:jc w:val="center"/>
              <w:rPr>
                <w:rFonts w:cs="Times New Roman"/>
                <w:sz w:val="24"/>
              </w:rPr>
            </w:pPr>
            <w:r>
              <w:rPr>
                <w:rFonts w:cs="Times New Roman"/>
                <w:sz w:val="24"/>
              </w:rPr>
              <w:t>项目建设进度满足学校办学需求，满意度98%</w:t>
            </w:r>
          </w:p>
        </w:tc>
      </w:tr>
    </w:tbl>
    <w:p>
      <w:pPr>
        <w:ind w:firstLine="632"/>
      </w:pPr>
    </w:p>
    <w:p>
      <w:pPr>
        <w:ind w:firstLine="632"/>
      </w:pPr>
      <w:r>
        <w:t>根据区公共建设项目管理服务中心提供的相关材料，结合广州市增城区财政局绩效评价要求，本项目本次绩效评价工作设置的绩效评价指标体系如下。</w:t>
      </w:r>
    </w:p>
    <w:p>
      <w:pPr>
        <w:ind w:firstLine="0" w:firstLineChars="0"/>
        <w:jc w:val="center"/>
        <w:rPr>
          <w:rFonts w:eastAsia="黑体" w:cs="Times New Roman"/>
          <w:sz w:val="28"/>
          <w:szCs w:val="28"/>
        </w:rPr>
      </w:pPr>
      <w:r>
        <w:rPr>
          <w:rFonts w:eastAsia="黑体" w:cs="Times New Roman"/>
          <w:sz w:val="28"/>
          <w:szCs w:val="28"/>
        </w:rPr>
        <w:t>表3  项目个性化绩效指标表</w:t>
      </w:r>
    </w:p>
    <w:tbl>
      <w:tblPr>
        <w:tblStyle w:val="15"/>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7"/>
        <w:gridCol w:w="840"/>
        <w:gridCol w:w="927"/>
        <w:gridCol w:w="2022"/>
        <w:gridCol w:w="44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blHeader/>
          <w:jc w:val="center"/>
        </w:trPr>
        <w:tc>
          <w:tcPr>
            <w:tcW w:w="836" w:type="dxa"/>
            <w:shd w:val="clear" w:color="auto" w:fill="auto"/>
            <w:vAlign w:val="center"/>
          </w:tcPr>
          <w:p>
            <w:pPr>
              <w:widowControl/>
              <w:adjustRightInd w:val="0"/>
              <w:snapToGrid w:val="0"/>
              <w:spacing w:line="240" w:lineRule="auto"/>
              <w:ind w:firstLine="0" w:firstLineChars="0"/>
              <w:jc w:val="center"/>
              <w:rPr>
                <w:rFonts w:cs="Times New Roman"/>
                <w:b/>
                <w:bCs/>
                <w:sz w:val="24"/>
              </w:rPr>
            </w:pPr>
            <w:r>
              <w:rPr>
                <w:rFonts w:cs="Times New Roman"/>
                <w:b/>
                <w:bCs/>
                <w:sz w:val="24"/>
              </w:rPr>
              <w:t>一级指标</w:t>
            </w:r>
          </w:p>
        </w:tc>
        <w:tc>
          <w:tcPr>
            <w:tcW w:w="819" w:type="dxa"/>
            <w:shd w:val="clear" w:color="auto" w:fill="auto"/>
            <w:vAlign w:val="center"/>
          </w:tcPr>
          <w:p>
            <w:pPr>
              <w:widowControl/>
              <w:adjustRightInd w:val="0"/>
              <w:snapToGrid w:val="0"/>
              <w:spacing w:line="240" w:lineRule="auto"/>
              <w:ind w:firstLine="0" w:firstLineChars="0"/>
              <w:jc w:val="center"/>
              <w:rPr>
                <w:rFonts w:cs="Times New Roman"/>
                <w:b/>
                <w:bCs/>
                <w:sz w:val="24"/>
              </w:rPr>
            </w:pPr>
            <w:r>
              <w:rPr>
                <w:rFonts w:cs="Times New Roman"/>
                <w:b/>
                <w:bCs/>
                <w:sz w:val="24"/>
              </w:rPr>
              <w:t>二级指标</w:t>
            </w:r>
          </w:p>
        </w:tc>
        <w:tc>
          <w:tcPr>
            <w:tcW w:w="904" w:type="dxa"/>
            <w:shd w:val="clear" w:color="auto" w:fill="auto"/>
            <w:vAlign w:val="center"/>
          </w:tcPr>
          <w:p>
            <w:pPr>
              <w:widowControl/>
              <w:adjustRightInd w:val="0"/>
              <w:snapToGrid w:val="0"/>
              <w:spacing w:line="240" w:lineRule="auto"/>
              <w:ind w:firstLine="0" w:firstLineChars="0"/>
              <w:jc w:val="center"/>
              <w:rPr>
                <w:rFonts w:cs="Times New Roman"/>
                <w:b/>
                <w:bCs/>
                <w:sz w:val="24"/>
              </w:rPr>
            </w:pPr>
            <w:r>
              <w:rPr>
                <w:rFonts w:cs="Times New Roman"/>
                <w:b/>
                <w:bCs/>
                <w:sz w:val="24"/>
              </w:rPr>
              <w:t>三级指标</w:t>
            </w:r>
          </w:p>
        </w:tc>
        <w:tc>
          <w:tcPr>
            <w:tcW w:w="1972" w:type="dxa"/>
            <w:shd w:val="clear" w:color="auto" w:fill="auto"/>
            <w:vAlign w:val="center"/>
          </w:tcPr>
          <w:p>
            <w:pPr>
              <w:widowControl/>
              <w:adjustRightInd w:val="0"/>
              <w:snapToGrid w:val="0"/>
              <w:spacing w:line="240" w:lineRule="auto"/>
              <w:ind w:firstLine="0" w:firstLineChars="0"/>
              <w:jc w:val="center"/>
              <w:rPr>
                <w:rFonts w:cs="Times New Roman"/>
                <w:b/>
                <w:bCs/>
                <w:sz w:val="24"/>
              </w:rPr>
            </w:pPr>
            <w:r>
              <w:rPr>
                <w:rFonts w:cs="Times New Roman"/>
                <w:b/>
                <w:bCs/>
                <w:sz w:val="24"/>
              </w:rPr>
              <w:t>四级</w:t>
            </w:r>
          </w:p>
          <w:p>
            <w:pPr>
              <w:widowControl/>
              <w:adjustRightInd w:val="0"/>
              <w:snapToGrid w:val="0"/>
              <w:spacing w:line="240" w:lineRule="auto"/>
              <w:ind w:firstLine="0" w:firstLineChars="0"/>
              <w:jc w:val="center"/>
              <w:rPr>
                <w:rFonts w:cs="Times New Roman"/>
                <w:b/>
                <w:bCs/>
                <w:sz w:val="24"/>
              </w:rPr>
            </w:pPr>
            <w:r>
              <w:rPr>
                <w:rFonts w:cs="Times New Roman"/>
                <w:b/>
                <w:bCs/>
                <w:sz w:val="24"/>
              </w:rPr>
              <w:t>指标</w:t>
            </w:r>
          </w:p>
        </w:tc>
        <w:tc>
          <w:tcPr>
            <w:tcW w:w="4303" w:type="dxa"/>
            <w:shd w:val="clear" w:color="auto" w:fill="auto"/>
            <w:vAlign w:val="center"/>
          </w:tcPr>
          <w:p>
            <w:pPr>
              <w:widowControl/>
              <w:adjustRightInd w:val="0"/>
              <w:snapToGrid w:val="0"/>
              <w:spacing w:line="240" w:lineRule="auto"/>
              <w:ind w:firstLine="0" w:firstLineChars="0"/>
              <w:jc w:val="center"/>
              <w:rPr>
                <w:rFonts w:cs="Times New Roman"/>
                <w:b/>
                <w:bCs/>
                <w:sz w:val="24"/>
              </w:rPr>
            </w:pPr>
            <w:r>
              <w:rPr>
                <w:rFonts w:cs="Times New Roman"/>
                <w:b/>
                <w:bCs/>
                <w:sz w:val="24"/>
              </w:rPr>
              <w:t>评分标准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36" w:type="dxa"/>
            <w:vMerge w:val="restart"/>
            <w:shd w:val="clear" w:color="auto" w:fill="auto"/>
            <w:vAlign w:val="center"/>
          </w:tcPr>
          <w:p>
            <w:pPr>
              <w:widowControl/>
              <w:adjustRightInd w:val="0"/>
              <w:snapToGrid w:val="0"/>
              <w:spacing w:line="240" w:lineRule="auto"/>
              <w:ind w:firstLine="0" w:firstLineChars="0"/>
              <w:jc w:val="center"/>
              <w:rPr>
                <w:rFonts w:cs="Times New Roman"/>
                <w:sz w:val="24"/>
              </w:rPr>
            </w:pPr>
            <w:r>
              <w:rPr>
                <w:rFonts w:cs="Times New Roman"/>
                <w:sz w:val="24"/>
              </w:rPr>
              <w:t>产出</w:t>
            </w:r>
          </w:p>
        </w:tc>
        <w:tc>
          <w:tcPr>
            <w:tcW w:w="819" w:type="dxa"/>
            <w:vMerge w:val="restart"/>
            <w:shd w:val="clear" w:color="auto" w:fill="auto"/>
            <w:vAlign w:val="center"/>
          </w:tcPr>
          <w:p>
            <w:pPr>
              <w:widowControl/>
              <w:adjustRightInd w:val="0"/>
              <w:snapToGrid w:val="0"/>
              <w:spacing w:line="240" w:lineRule="auto"/>
              <w:ind w:firstLine="0" w:firstLineChars="0"/>
              <w:jc w:val="center"/>
              <w:rPr>
                <w:rFonts w:cs="Times New Roman"/>
                <w:sz w:val="24"/>
              </w:rPr>
            </w:pPr>
            <w:r>
              <w:rPr>
                <w:rFonts w:cs="Times New Roman"/>
                <w:sz w:val="24"/>
              </w:rPr>
              <w:t>效率性</w:t>
            </w:r>
          </w:p>
        </w:tc>
        <w:tc>
          <w:tcPr>
            <w:tcW w:w="904" w:type="dxa"/>
            <w:vMerge w:val="restart"/>
            <w:shd w:val="clear" w:color="auto" w:fill="auto"/>
            <w:vAlign w:val="center"/>
          </w:tcPr>
          <w:p>
            <w:pPr>
              <w:widowControl/>
              <w:adjustRightInd w:val="0"/>
              <w:snapToGrid w:val="0"/>
              <w:spacing w:line="240" w:lineRule="auto"/>
              <w:ind w:firstLine="0" w:firstLineChars="0"/>
              <w:jc w:val="center"/>
              <w:rPr>
                <w:rFonts w:cs="Times New Roman"/>
                <w:sz w:val="24"/>
              </w:rPr>
            </w:pPr>
            <w:r>
              <w:rPr>
                <w:rFonts w:cs="Times New Roman"/>
                <w:sz w:val="24"/>
              </w:rPr>
              <w:t>完成进度</w:t>
            </w:r>
          </w:p>
        </w:tc>
        <w:tc>
          <w:tcPr>
            <w:tcW w:w="1972" w:type="dxa"/>
            <w:shd w:val="clear" w:color="auto" w:fill="auto"/>
            <w:vAlign w:val="center"/>
          </w:tcPr>
          <w:p>
            <w:pPr>
              <w:widowControl/>
              <w:adjustRightInd w:val="0"/>
              <w:snapToGrid w:val="0"/>
              <w:spacing w:line="240" w:lineRule="auto"/>
              <w:ind w:firstLine="0" w:firstLineChars="0"/>
              <w:jc w:val="center"/>
              <w:rPr>
                <w:rFonts w:cs="Times New Roman"/>
                <w:sz w:val="24"/>
              </w:rPr>
            </w:pPr>
            <w:r>
              <w:rPr>
                <w:rFonts w:cs="Times New Roman"/>
                <w:sz w:val="24"/>
              </w:rPr>
              <w:t>建筑完工面积</w:t>
            </w:r>
          </w:p>
        </w:tc>
        <w:tc>
          <w:tcPr>
            <w:tcW w:w="4303" w:type="dxa"/>
            <w:shd w:val="clear" w:color="auto" w:fill="auto"/>
            <w:vAlign w:val="center"/>
          </w:tcPr>
          <w:p>
            <w:pPr>
              <w:widowControl/>
              <w:adjustRightInd w:val="0"/>
              <w:snapToGrid w:val="0"/>
              <w:spacing w:line="240" w:lineRule="auto"/>
              <w:ind w:firstLine="0" w:firstLineChars="0"/>
              <w:rPr>
                <w:rFonts w:cs="Times New Roman"/>
                <w:sz w:val="24"/>
              </w:rPr>
            </w:pPr>
            <w:r>
              <w:rPr>
                <w:rFonts w:cs="Times New Roman"/>
                <w:sz w:val="24"/>
              </w:rPr>
              <w:t>评价年度预期值为</w:t>
            </w:r>
            <w:r>
              <w:rPr>
                <w:rFonts w:hint="eastAsia" w:ascii="仿宋_GB2312" w:cs="Times New Roman"/>
                <w:sz w:val="24"/>
              </w:rPr>
              <w:t>“</w:t>
            </w:r>
            <w:r>
              <w:rPr>
                <w:rFonts w:cs="Times New Roman"/>
                <w:sz w:val="24"/>
              </w:rPr>
              <w:t>63652平方米</w:t>
            </w:r>
            <w:r>
              <w:rPr>
                <w:rFonts w:hint="eastAsia" w:ascii="仿宋_GB2312" w:cs="Times New Roman"/>
                <w:sz w:val="24"/>
              </w:rPr>
              <w:t>”</w:t>
            </w:r>
            <w:r>
              <w:rPr>
                <w:rFonts w:cs="Times New Roman"/>
                <w:sz w:val="24"/>
              </w:rPr>
              <w:t>，实际建筑完工面积为63652平方米得满分，否则得分=实际建筑完工面积/62094平方米*分值。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36" w:type="dxa"/>
            <w:vMerge w:val="continue"/>
            <w:shd w:val="clear" w:color="auto" w:fill="auto"/>
            <w:vAlign w:val="center"/>
          </w:tcPr>
          <w:p>
            <w:pPr>
              <w:widowControl/>
              <w:adjustRightInd w:val="0"/>
              <w:snapToGrid w:val="0"/>
              <w:spacing w:line="240" w:lineRule="auto"/>
              <w:ind w:firstLine="0" w:firstLineChars="0"/>
              <w:jc w:val="left"/>
              <w:rPr>
                <w:rFonts w:cs="Times New Roman"/>
                <w:sz w:val="24"/>
              </w:rPr>
            </w:pPr>
          </w:p>
        </w:tc>
        <w:tc>
          <w:tcPr>
            <w:tcW w:w="819" w:type="dxa"/>
            <w:vMerge w:val="continue"/>
            <w:shd w:val="clear" w:color="auto" w:fill="auto"/>
            <w:vAlign w:val="center"/>
          </w:tcPr>
          <w:p>
            <w:pPr>
              <w:widowControl/>
              <w:adjustRightInd w:val="0"/>
              <w:snapToGrid w:val="0"/>
              <w:spacing w:line="240" w:lineRule="auto"/>
              <w:ind w:firstLine="0" w:firstLineChars="0"/>
              <w:jc w:val="left"/>
              <w:rPr>
                <w:rFonts w:cs="Times New Roman"/>
                <w:sz w:val="24"/>
              </w:rPr>
            </w:pPr>
          </w:p>
        </w:tc>
        <w:tc>
          <w:tcPr>
            <w:tcW w:w="904" w:type="dxa"/>
            <w:vMerge w:val="continue"/>
            <w:shd w:val="clear" w:color="auto" w:fill="auto"/>
            <w:vAlign w:val="center"/>
          </w:tcPr>
          <w:p>
            <w:pPr>
              <w:adjustRightInd w:val="0"/>
              <w:snapToGrid w:val="0"/>
              <w:spacing w:line="240" w:lineRule="auto"/>
              <w:ind w:firstLine="472"/>
              <w:jc w:val="center"/>
              <w:rPr>
                <w:rFonts w:cs="Times New Roman"/>
                <w:sz w:val="24"/>
              </w:rPr>
            </w:pPr>
          </w:p>
        </w:tc>
        <w:tc>
          <w:tcPr>
            <w:tcW w:w="1972" w:type="dxa"/>
            <w:shd w:val="clear" w:color="auto" w:fill="auto"/>
            <w:vAlign w:val="center"/>
          </w:tcPr>
          <w:p>
            <w:pPr>
              <w:widowControl/>
              <w:adjustRightInd w:val="0"/>
              <w:snapToGrid w:val="0"/>
              <w:spacing w:line="240" w:lineRule="auto"/>
              <w:ind w:firstLine="0" w:firstLineChars="0"/>
              <w:jc w:val="center"/>
              <w:rPr>
                <w:rFonts w:cs="Times New Roman"/>
                <w:sz w:val="24"/>
              </w:rPr>
            </w:pPr>
            <w:r>
              <w:rPr>
                <w:rFonts w:cs="Times New Roman"/>
                <w:sz w:val="24"/>
              </w:rPr>
              <w:t>配套工程建设完成率</w:t>
            </w:r>
          </w:p>
        </w:tc>
        <w:tc>
          <w:tcPr>
            <w:tcW w:w="4303" w:type="dxa"/>
            <w:shd w:val="clear" w:color="auto" w:fill="auto"/>
            <w:vAlign w:val="center"/>
          </w:tcPr>
          <w:p>
            <w:pPr>
              <w:widowControl/>
              <w:adjustRightInd w:val="0"/>
              <w:snapToGrid w:val="0"/>
              <w:spacing w:line="240" w:lineRule="auto"/>
              <w:ind w:firstLine="0" w:firstLineChars="0"/>
              <w:rPr>
                <w:rFonts w:cs="Times New Roman"/>
                <w:sz w:val="24"/>
              </w:rPr>
            </w:pPr>
            <w:r>
              <w:rPr>
                <w:rFonts w:cs="Times New Roman"/>
                <w:sz w:val="24"/>
              </w:rPr>
              <w:t>评价年度预期值为</w:t>
            </w:r>
            <w:r>
              <w:rPr>
                <w:rFonts w:hint="eastAsia" w:ascii="仿宋_GB2312" w:cs="Times New Roman"/>
                <w:sz w:val="24"/>
              </w:rPr>
              <w:t>“</w:t>
            </w:r>
            <w:r>
              <w:rPr>
                <w:rFonts w:cs="Times New Roman"/>
                <w:sz w:val="24"/>
              </w:rPr>
              <w:t>100%</w:t>
            </w:r>
            <w:r>
              <w:rPr>
                <w:rFonts w:hint="eastAsia" w:ascii="仿宋_GB2312" w:cs="Times New Roman"/>
                <w:sz w:val="24"/>
              </w:rPr>
              <w:t>”</w:t>
            </w:r>
            <w:r>
              <w:rPr>
                <w:rFonts w:cs="Times New Roman"/>
                <w:sz w:val="24"/>
              </w:rPr>
              <w:t>，按合同要求100%建成设计内配套工程得满分，否则得分=实际配套工程建设完成率/100%*分值。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36" w:type="dxa"/>
            <w:vMerge w:val="continue"/>
            <w:shd w:val="clear" w:color="auto" w:fill="auto"/>
            <w:vAlign w:val="center"/>
          </w:tcPr>
          <w:p>
            <w:pPr>
              <w:widowControl/>
              <w:adjustRightInd w:val="0"/>
              <w:snapToGrid w:val="0"/>
              <w:spacing w:line="240" w:lineRule="auto"/>
              <w:ind w:firstLine="0" w:firstLineChars="0"/>
              <w:jc w:val="left"/>
              <w:rPr>
                <w:rFonts w:cs="Times New Roman"/>
                <w:sz w:val="24"/>
              </w:rPr>
            </w:pPr>
          </w:p>
        </w:tc>
        <w:tc>
          <w:tcPr>
            <w:tcW w:w="819" w:type="dxa"/>
            <w:vMerge w:val="continue"/>
            <w:shd w:val="clear" w:color="auto" w:fill="auto"/>
            <w:vAlign w:val="center"/>
          </w:tcPr>
          <w:p>
            <w:pPr>
              <w:widowControl/>
              <w:adjustRightInd w:val="0"/>
              <w:snapToGrid w:val="0"/>
              <w:spacing w:line="240" w:lineRule="auto"/>
              <w:ind w:firstLine="0" w:firstLineChars="0"/>
              <w:jc w:val="left"/>
              <w:rPr>
                <w:rFonts w:cs="Times New Roman"/>
                <w:sz w:val="24"/>
              </w:rPr>
            </w:pPr>
          </w:p>
        </w:tc>
        <w:tc>
          <w:tcPr>
            <w:tcW w:w="904" w:type="dxa"/>
            <w:vMerge w:val="continue"/>
            <w:shd w:val="clear" w:color="auto" w:fill="auto"/>
            <w:vAlign w:val="center"/>
          </w:tcPr>
          <w:p>
            <w:pPr>
              <w:widowControl/>
              <w:adjustRightInd w:val="0"/>
              <w:snapToGrid w:val="0"/>
              <w:spacing w:line="240" w:lineRule="auto"/>
              <w:ind w:firstLine="0" w:firstLineChars="0"/>
              <w:jc w:val="center"/>
              <w:rPr>
                <w:rFonts w:cs="Times New Roman"/>
                <w:sz w:val="24"/>
              </w:rPr>
            </w:pPr>
          </w:p>
        </w:tc>
        <w:tc>
          <w:tcPr>
            <w:tcW w:w="1972" w:type="dxa"/>
            <w:shd w:val="clear" w:color="auto" w:fill="auto"/>
            <w:vAlign w:val="center"/>
          </w:tcPr>
          <w:p>
            <w:pPr>
              <w:widowControl/>
              <w:adjustRightInd w:val="0"/>
              <w:snapToGrid w:val="0"/>
              <w:spacing w:line="240" w:lineRule="auto"/>
              <w:ind w:firstLine="0" w:firstLineChars="0"/>
              <w:jc w:val="center"/>
              <w:rPr>
                <w:rFonts w:cs="Times New Roman"/>
                <w:sz w:val="24"/>
              </w:rPr>
            </w:pPr>
            <w:r>
              <w:rPr>
                <w:rFonts w:cs="Times New Roman"/>
                <w:sz w:val="24"/>
              </w:rPr>
              <w:t>工程完工进度达标率</w:t>
            </w:r>
          </w:p>
        </w:tc>
        <w:tc>
          <w:tcPr>
            <w:tcW w:w="4303" w:type="dxa"/>
            <w:shd w:val="clear" w:color="auto" w:fill="auto"/>
            <w:vAlign w:val="center"/>
          </w:tcPr>
          <w:p>
            <w:pPr>
              <w:widowControl/>
              <w:adjustRightInd w:val="0"/>
              <w:snapToGrid w:val="0"/>
              <w:spacing w:line="240" w:lineRule="auto"/>
              <w:ind w:firstLine="0" w:firstLineChars="0"/>
              <w:rPr>
                <w:rFonts w:cs="Times New Roman"/>
                <w:sz w:val="24"/>
              </w:rPr>
            </w:pPr>
            <w:r>
              <w:rPr>
                <w:rFonts w:cs="Times New Roman"/>
                <w:sz w:val="24"/>
              </w:rPr>
              <w:t>评价年度预期值为</w:t>
            </w:r>
            <w:r>
              <w:rPr>
                <w:rFonts w:hint="eastAsia" w:ascii="仿宋_GB2312" w:cs="Times New Roman"/>
                <w:sz w:val="24"/>
              </w:rPr>
              <w:t>“</w:t>
            </w:r>
            <w:r>
              <w:rPr>
                <w:rFonts w:cs="Times New Roman"/>
                <w:sz w:val="24"/>
              </w:rPr>
              <w:t>100%</w:t>
            </w:r>
            <w:r>
              <w:rPr>
                <w:rFonts w:hint="eastAsia" w:ascii="仿宋_GB2312" w:cs="Times New Roman"/>
                <w:sz w:val="24"/>
              </w:rPr>
              <w:t>”</w:t>
            </w:r>
            <w:r>
              <w:rPr>
                <w:rFonts w:cs="Times New Roman"/>
                <w:sz w:val="24"/>
              </w:rPr>
              <w:t>，项目工程按合同要求及时完成，进度达标率为100%得满分，否则得分=实际工期/合同计划工期*分值。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36" w:type="dxa"/>
            <w:vMerge w:val="continue"/>
            <w:shd w:val="clear" w:color="auto" w:fill="auto"/>
            <w:vAlign w:val="center"/>
          </w:tcPr>
          <w:p>
            <w:pPr>
              <w:widowControl/>
              <w:adjustRightInd w:val="0"/>
              <w:snapToGrid w:val="0"/>
              <w:spacing w:line="240" w:lineRule="auto"/>
              <w:ind w:firstLine="0" w:firstLineChars="0"/>
              <w:jc w:val="left"/>
              <w:rPr>
                <w:rFonts w:cs="Times New Roman"/>
                <w:sz w:val="24"/>
              </w:rPr>
            </w:pPr>
          </w:p>
        </w:tc>
        <w:tc>
          <w:tcPr>
            <w:tcW w:w="819" w:type="dxa"/>
            <w:vMerge w:val="continue"/>
            <w:shd w:val="clear" w:color="auto" w:fill="auto"/>
            <w:vAlign w:val="center"/>
          </w:tcPr>
          <w:p>
            <w:pPr>
              <w:widowControl/>
              <w:adjustRightInd w:val="0"/>
              <w:snapToGrid w:val="0"/>
              <w:spacing w:line="240" w:lineRule="auto"/>
              <w:ind w:firstLine="0" w:firstLineChars="0"/>
              <w:jc w:val="left"/>
              <w:rPr>
                <w:rFonts w:cs="Times New Roman"/>
                <w:sz w:val="24"/>
              </w:rPr>
            </w:pPr>
          </w:p>
        </w:tc>
        <w:tc>
          <w:tcPr>
            <w:tcW w:w="904" w:type="dxa"/>
            <w:shd w:val="clear" w:color="auto" w:fill="auto"/>
            <w:vAlign w:val="center"/>
          </w:tcPr>
          <w:p>
            <w:pPr>
              <w:widowControl/>
              <w:adjustRightInd w:val="0"/>
              <w:snapToGrid w:val="0"/>
              <w:spacing w:line="240" w:lineRule="auto"/>
              <w:ind w:firstLine="0" w:firstLineChars="0"/>
              <w:jc w:val="center"/>
              <w:rPr>
                <w:rFonts w:cs="Times New Roman"/>
                <w:sz w:val="24"/>
              </w:rPr>
            </w:pPr>
            <w:r>
              <w:rPr>
                <w:rFonts w:cs="Times New Roman"/>
                <w:sz w:val="24"/>
              </w:rPr>
              <w:t>完成质量</w:t>
            </w:r>
          </w:p>
        </w:tc>
        <w:tc>
          <w:tcPr>
            <w:tcW w:w="1972" w:type="dxa"/>
            <w:shd w:val="clear" w:color="auto" w:fill="auto"/>
            <w:vAlign w:val="center"/>
          </w:tcPr>
          <w:p>
            <w:pPr>
              <w:widowControl/>
              <w:adjustRightInd w:val="0"/>
              <w:snapToGrid w:val="0"/>
              <w:spacing w:line="240" w:lineRule="auto"/>
              <w:ind w:firstLine="0" w:firstLineChars="0"/>
              <w:jc w:val="center"/>
              <w:rPr>
                <w:rFonts w:cs="Times New Roman"/>
                <w:sz w:val="24"/>
              </w:rPr>
            </w:pPr>
            <w:r>
              <w:rPr>
                <w:rFonts w:cs="Times New Roman"/>
                <w:sz w:val="24"/>
              </w:rPr>
              <w:t>工程验收合格率</w:t>
            </w:r>
          </w:p>
        </w:tc>
        <w:tc>
          <w:tcPr>
            <w:tcW w:w="4303" w:type="dxa"/>
            <w:shd w:val="clear" w:color="auto" w:fill="auto"/>
            <w:vAlign w:val="center"/>
          </w:tcPr>
          <w:p>
            <w:pPr>
              <w:widowControl/>
              <w:adjustRightInd w:val="0"/>
              <w:snapToGrid w:val="0"/>
              <w:spacing w:line="240" w:lineRule="auto"/>
              <w:ind w:firstLine="0" w:firstLineChars="0"/>
              <w:rPr>
                <w:rFonts w:cs="Times New Roman"/>
                <w:sz w:val="24"/>
              </w:rPr>
            </w:pPr>
            <w:r>
              <w:rPr>
                <w:rFonts w:cs="Times New Roman"/>
                <w:sz w:val="24"/>
              </w:rPr>
              <w:t>评价年度预期值为</w:t>
            </w:r>
            <w:r>
              <w:rPr>
                <w:rFonts w:hint="eastAsia" w:ascii="仿宋_GB2312" w:cs="Times New Roman"/>
                <w:sz w:val="24"/>
              </w:rPr>
              <w:t>“</w:t>
            </w:r>
            <w:r>
              <w:rPr>
                <w:rFonts w:cs="Times New Roman"/>
                <w:sz w:val="24"/>
              </w:rPr>
              <w:t>100%</w:t>
            </w:r>
            <w:r>
              <w:rPr>
                <w:rFonts w:hint="eastAsia" w:ascii="仿宋_GB2312" w:cs="Times New Roman"/>
                <w:sz w:val="24"/>
              </w:rPr>
              <w:t>”</w:t>
            </w:r>
            <w:r>
              <w:rPr>
                <w:rFonts w:cs="Times New Roman"/>
                <w:sz w:val="24"/>
              </w:rPr>
              <w:t>，工程验收合格率100%得满分，否则得分=实际工程验收合格率/100%*分值。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36" w:type="dxa"/>
            <w:vMerge w:val="restart"/>
            <w:shd w:val="clear" w:color="auto" w:fill="auto"/>
            <w:vAlign w:val="center"/>
          </w:tcPr>
          <w:p>
            <w:pPr>
              <w:widowControl/>
              <w:adjustRightInd w:val="0"/>
              <w:snapToGrid w:val="0"/>
              <w:spacing w:line="240" w:lineRule="auto"/>
              <w:ind w:firstLine="0" w:firstLineChars="0"/>
              <w:jc w:val="center"/>
              <w:rPr>
                <w:rFonts w:cs="Times New Roman"/>
                <w:sz w:val="24"/>
              </w:rPr>
            </w:pPr>
            <w:r>
              <w:rPr>
                <w:rFonts w:cs="Times New Roman"/>
                <w:sz w:val="24"/>
              </w:rPr>
              <w:t>效益</w:t>
            </w:r>
          </w:p>
        </w:tc>
        <w:tc>
          <w:tcPr>
            <w:tcW w:w="819" w:type="dxa"/>
            <w:vMerge w:val="restart"/>
            <w:shd w:val="clear" w:color="auto" w:fill="auto"/>
            <w:vAlign w:val="center"/>
          </w:tcPr>
          <w:p>
            <w:pPr>
              <w:widowControl/>
              <w:adjustRightInd w:val="0"/>
              <w:snapToGrid w:val="0"/>
              <w:spacing w:line="240" w:lineRule="auto"/>
              <w:ind w:firstLine="0" w:firstLineChars="0"/>
              <w:jc w:val="center"/>
              <w:rPr>
                <w:rFonts w:cs="Times New Roman"/>
                <w:sz w:val="24"/>
              </w:rPr>
            </w:pPr>
            <w:r>
              <w:rPr>
                <w:rFonts w:cs="Times New Roman"/>
                <w:sz w:val="24"/>
              </w:rPr>
              <w:t>效果性</w:t>
            </w:r>
          </w:p>
        </w:tc>
        <w:tc>
          <w:tcPr>
            <w:tcW w:w="904" w:type="dxa"/>
            <w:vMerge w:val="restart"/>
            <w:shd w:val="clear" w:color="auto" w:fill="auto"/>
            <w:vAlign w:val="center"/>
          </w:tcPr>
          <w:p>
            <w:pPr>
              <w:widowControl/>
              <w:adjustRightInd w:val="0"/>
              <w:snapToGrid w:val="0"/>
              <w:spacing w:line="240" w:lineRule="auto"/>
              <w:ind w:firstLine="0" w:firstLineChars="0"/>
              <w:jc w:val="center"/>
              <w:rPr>
                <w:rFonts w:cs="Times New Roman"/>
                <w:sz w:val="24"/>
              </w:rPr>
            </w:pPr>
            <w:r>
              <w:rPr>
                <w:rFonts w:cs="Times New Roman"/>
                <w:sz w:val="24"/>
              </w:rPr>
              <w:t>社会效益</w:t>
            </w:r>
          </w:p>
        </w:tc>
        <w:tc>
          <w:tcPr>
            <w:tcW w:w="1972" w:type="dxa"/>
            <w:shd w:val="clear" w:color="auto" w:fill="auto"/>
            <w:vAlign w:val="center"/>
          </w:tcPr>
          <w:p>
            <w:pPr>
              <w:widowControl/>
              <w:adjustRightInd w:val="0"/>
              <w:snapToGrid w:val="0"/>
              <w:spacing w:line="240" w:lineRule="auto"/>
              <w:ind w:firstLine="0" w:firstLineChars="0"/>
              <w:jc w:val="center"/>
              <w:rPr>
                <w:rFonts w:cs="Times New Roman"/>
                <w:sz w:val="24"/>
              </w:rPr>
            </w:pPr>
            <w:r>
              <w:rPr>
                <w:rFonts w:cs="Times New Roman"/>
                <w:sz w:val="24"/>
              </w:rPr>
              <w:t>新增高中班数量</w:t>
            </w:r>
          </w:p>
        </w:tc>
        <w:tc>
          <w:tcPr>
            <w:tcW w:w="4303" w:type="dxa"/>
            <w:shd w:val="clear" w:color="auto" w:fill="auto"/>
            <w:vAlign w:val="center"/>
          </w:tcPr>
          <w:p>
            <w:pPr>
              <w:widowControl/>
              <w:adjustRightInd w:val="0"/>
              <w:snapToGrid w:val="0"/>
              <w:spacing w:line="240" w:lineRule="auto"/>
              <w:ind w:firstLine="0" w:firstLineChars="0"/>
              <w:jc w:val="left"/>
              <w:rPr>
                <w:rFonts w:cs="Times New Roman"/>
                <w:sz w:val="24"/>
              </w:rPr>
            </w:pPr>
            <w:r>
              <w:rPr>
                <w:rFonts w:cs="Times New Roman"/>
                <w:sz w:val="24"/>
              </w:rPr>
              <w:t>评价年度预期值为</w:t>
            </w:r>
            <w:r>
              <w:rPr>
                <w:rFonts w:hint="eastAsia" w:ascii="仿宋_GB2312" w:cs="Times New Roman"/>
                <w:sz w:val="24"/>
              </w:rPr>
              <w:t>“</w:t>
            </w:r>
            <w:r>
              <w:rPr>
                <w:rFonts w:cs="Times New Roman"/>
                <w:sz w:val="24"/>
              </w:rPr>
              <w:t>36个</w:t>
            </w:r>
            <w:r>
              <w:rPr>
                <w:rFonts w:hint="eastAsia" w:ascii="仿宋_GB2312" w:cs="Times New Roman"/>
                <w:sz w:val="24"/>
              </w:rPr>
              <w:t>”</w:t>
            </w:r>
            <w:r>
              <w:rPr>
                <w:rFonts w:cs="Times New Roman"/>
                <w:sz w:val="24"/>
              </w:rPr>
              <w:t>，得分=高中班实际新增数量/36个*分值。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36" w:type="dxa"/>
            <w:vMerge w:val="continue"/>
            <w:shd w:val="clear" w:color="auto" w:fill="auto"/>
            <w:vAlign w:val="center"/>
          </w:tcPr>
          <w:p>
            <w:pPr>
              <w:widowControl/>
              <w:adjustRightInd w:val="0"/>
              <w:snapToGrid w:val="0"/>
              <w:spacing w:line="240" w:lineRule="auto"/>
              <w:ind w:firstLine="0" w:firstLineChars="0"/>
              <w:jc w:val="left"/>
              <w:rPr>
                <w:rFonts w:cs="Times New Roman"/>
                <w:sz w:val="24"/>
              </w:rPr>
            </w:pPr>
          </w:p>
        </w:tc>
        <w:tc>
          <w:tcPr>
            <w:tcW w:w="819" w:type="dxa"/>
            <w:vMerge w:val="continue"/>
            <w:shd w:val="clear" w:color="auto" w:fill="auto"/>
            <w:vAlign w:val="center"/>
          </w:tcPr>
          <w:p>
            <w:pPr>
              <w:widowControl/>
              <w:adjustRightInd w:val="0"/>
              <w:snapToGrid w:val="0"/>
              <w:spacing w:line="240" w:lineRule="auto"/>
              <w:ind w:firstLine="0" w:firstLineChars="0"/>
              <w:jc w:val="left"/>
              <w:rPr>
                <w:rFonts w:cs="Times New Roman"/>
                <w:sz w:val="24"/>
              </w:rPr>
            </w:pPr>
          </w:p>
        </w:tc>
        <w:tc>
          <w:tcPr>
            <w:tcW w:w="904" w:type="dxa"/>
            <w:vMerge w:val="continue"/>
            <w:shd w:val="clear" w:color="auto" w:fill="auto"/>
            <w:vAlign w:val="center"/>
          </w:tcPr>
          <w:p>
            <w:pPr>
              <w:widowControl/>
              <w:adjustRightInd w:val="0"/>
              <w:snapToGrid w:val="0"/>
              <w:spacing w:line="240" w:lineRule="auto"/>
              <w:ind w:firstLine="0" w:firstLineChars="0"/>
              <w:jc w:val="left"/>
              <w:rPr>
                <w:rFonts w:cs="Times New Roman"/>
                <w:sz w:val="24"/>
              </w:rPr>
            </w:pPr>
          </w:p>
        </w:tc>
        <w:tc>
          <w:tcPr>
            <w:tcW w:w="1972" w:type="dxa"/>
            <w:shd w:val="clear" w:color="auto" w:fill="auto"/>
            <w:vAlign w:val="center"/>
          </w:tcPr>
          <w:p>
            <w:pPr>
              <w:widowControl/>
              <w:adjustRightInd w:val="0"/>
              <w:snapToGrid w:val="0"/>
              <w:spacing w:line="240" w:lineRule="auto"/>
              <w:ind w:firstLine="0" w:firstLineChars="0"/>
              <w:jc w:val="center"/>
              <w:rPr>
                <w:rFonts w:cs="Times New Roman"/>
                <w:sz w:val="24"/>
              </w:rPr>
            </w:pPr>
            <w:r>
              <w:rPr>
                <w:rFonts w:cs="Times New Roman"/>
                <w:sz w:val="24"/>
              </w:rPr>
              <w:t>新学年新增招收学生数量</w:t>
            </w:r>
          </w:p>
        </w:tc>
        <w:tc>
          <w:tcPr>
            <w:tcW w:w="4303" w:type="dxa"/>
            <w:shd w:val="clear" w:color="auto" w:fill="auto"/>
            <w:vAlign w:val="center"/>
          </w:tcPr>
          <w:p>
            <w:pPr>
              <w:widowControl/>
              <w:adjustRightInd w:val="0"/>
              <w:snapToGrid w:val="0"/>
              <w:spacing w:line="240" w:lineRule="auto"/>
              <w:ind w:firstLine="0" w:firstLineChars="0"/>
              <w:rPr>
                <w:rFonts w:cs="Times New Roman"/>
                <w:sz w:val="24"/>
              </w:rPr>
            </w:pPr>
            <w:r>
              <w:rPr>
                <w:rFonts w:cs="Times New Roman"/>
                <w:sz w:val="24"/>
              </w:rPr>
              <w:t>评价年度预期值为</w:t>
            </w:r>
            <w:r>
              <w:rPr>
                <w:rFonts w:hint="eastAsia" w:ascii="仿宋_GB2312" w:cs="Times New Roman"/>
                <w:sz w:val="24"/>
              </w:rPr>
              <w:t>“</w:t>
            </w:r>
            <w:r>
              <w:rPr>
                <w:rFonts w:cs="Times New Roman"/>
                <w:sz w:val="24"/>
              </w:rPr>
              <w:t>1800生</w:t>
            </w:r>
            <w:r>
              <w:rPr>
                <w:rFonts w:hint="eastAsia" w:ascii="仿宋_GB2312" w:cs="Times New Roman"/>
                <w:sz w:val="24"/>
              </w:rPr>
              <w:t>”</w:t>
            </w:r>
            <w:r>
              <w:rPr>
                <w:rFonts w:cs="Times New Roman"/>
                <w:sz w:val="24"/>
              </w:rPr>
              <w:t>，得分=新学年实际新增招收学生数量/1800生*分值。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36" w:type="dxa"/>
            <w:vMerge w:val="continue"/>
            <w:shd w:val="clear" w:color="auto" w:fill="auto"/>
            <w:vAlign w:val="center"/>
          </w:tcPr>
          <w:p>
            <w:pPr>
              <w:widowControl/>
              <w:adjustRightInd w:val="0"/>
              <w:snapToGrid w:val="0"/>
              <w:spacing w:line="240" w:lineRule="auto"/>
              <w:ind w:firstLine="0" w:firstLineChars="0"/>
              <w:jc w:val="left"/>
              <w:rPr>
                <w:rFonts w:cs="Times New Roman"/>
                <w:sz w:val="24"/>
              </w:rPr>
            </w:pPr>
          </w:p>
        </w:tc>
        <w:tc>
          <w:tcPr>
            <w:tcW w:w="819" w:type="dxa"/>
            <w:vMerge w:val="continue"/>
            <w:shd w:val="clear" w:color="auto" w:fill="auto"/>
            <w:vAlign w:val="center"/>
          </w:tcPr>
          <w:p>
            <w:pPr>
              <w:widowControl/>
              <w:adjustRightInd w:val="0"/>
              <w:snapToGrid w:val="0"/>
              <w:spacing w:line="240" w:lineRule="auto"/>
              <w:ind w:firstLine="0" w:firstLineChars="0"/>
              <w:jc w:val="left"/>
              <w:rPr>
                <w:rFonts w:cs="Times New Roman"/>
                <w:sz w:val="24"/>
              </w:rPr>
            </w:pPr>
          </w:p>
        </w:tc>
        <w:tc>
          <w:tcPr>
            <w:tcW w:w="904" w:type="dxa"/>
            <w:vMerge w:val="continue"/>
            <w:shd w:val="clear" w:color="auto" w:fill="auto"/>
            <w:vAlign w:val="center"/>
          </w:tcPr>
          <w:p>
            <w:pPr>
              <w:widowControl/>
              <w:adjustRightInd w:val="0"/>
              <w:snapToGrid w:val="0"/>
              <w:spacing w:line="240" w:lineRule="auto"/>
              <w:ind w:firstLine="0" w:firstLineChars="0"/>
              <w:jc w:val="left"/>
              <w:rPr>
                <w:rFonts w:cs="Times New Roman"/>
                <w:sz w:val="24"/>
              </w:rPr>
            </w:pPr>
          </w:p>
        </w:tc>
        <w:tc>
          <w:tcPr>
            <w:tcW w:w="1972" w:type="dxa"/>
            <w:shd w:val="clear" w:color="auto" w:fill="auto"/>
            <w:vAlign w:val="center"/>
          </w:tcPr>
          <w:p>
            <w:pPr>
              <w:widowControl/>
              <w:adjustRightInd w:val="0"/>
              <w:snapToGrid w:val="0"/>
              <w:spacing w:line="240" w:lineRule="auto"/>
              <w:ind w:firstLine="0" w:firstLineChars="0"/>
              <w:jc w:val="center"/>
              <w:rPr>
                <w:rFonts w:cs="Times New Roman"/>
                <w:sz w:val="24"/>
              </w:rPr>
            </w:pPr>
            <w:r>
              <w:rPr>
                <w:rFonts w:cs="Times New Roman"/>
                <w:sz w:val="24"/>
              </w:rPr>
              <w:t>工程安全事故发生次数</w:t>
            </w:r>
          </w:p>
        </w:tc>
        <w:tc>
          <w:tcPr>
            <w:tcW w:w="4303" w:type="dxa"/>
            <w:shd w:val="clear" w:color="auto" w:fill="auto"/>
            <w:vAlign w:val="center"/>
          </w:tcPr>
          <w:p>
            <w:pPr>
              <w:widowControl/>
              <w:adjustRightInd w:val="0"/>
              <w:snapToGrid w:val="0"/>
              <w:spacing w:line="240" w:lineRule="auto"/>
              <w:ind w:firstLine="0" w:firstLineChars="0"/>
              <w:rPr>
                <w:rFonts w:cs="Times New Roman"/>
                <w:sz w:val="24"/>
              </w:rPr>
            </w:pPr>
            <w:r>
              <w:rPr>
                <w:rFonts w:cs="Times New Roman"/>
                <w:sz w:val="24"/>
              </w:rPr>
              <w:t>评价年度预期值为</w:t>
            </w:r>
            <w:r>
              <w:rPr>
                <w:rFonts w:hint="eastAsia" w:ascii="仿宋_GB2312" w:cs="Times New Roman"/>
                <w:sz w:val="24"/>
              </w:rPr>
              <w:t>“</w:t>
            </w:r>
            <w:r>
              <w:rPr>
                <w:rFonts w:cs="Times New Roman"/>
                <w:sz w:val="24"/>
              </w:rPr>
              <w:t>0</w:t>
            </w:r>
            <w:r>
              <w:rPr>
                <w:rFonts w:hint="eastAsia" w:ascii="仿宋_GB2312" w:cs="Times New Roman"/>
                <w:sz w:val="24"/>
              </w:rPr>
              <w:t>”</w:t>
            </w:r>
            <w:r>
              <w:rPr>
                <w:rFonts w:cs="Times New Roman"/>
                <w:sz w:val="24"/>
              </w:rPr>
              <w:t>，年度未发生施工安全事故得满分，否则根据工程开展情况综合评分。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36" w:type="dxa"/>
            <w:vMerge w:val="continue"/>
            <w:shd w:val="clear" w:color="auto" w:fill="auto"/>
            <w:vAlign w:val="center"/>
          </w:tcPr>
          <w:p>
            <w:pPr>
              <w:widowControl/>
              <w:adjustRightInd w:val="0"/>
              <w:snapToGrid w:val="0"/>
              <w:spacing w:line="240" w:lineRule="auto"/>
              <w:ind w:firstLine="0" w:firstLineChars="0"/>
              <w:jc w:val="left"/>
              <w:rPr>
                <w:rFonts w:cs="Times New Roman"/>
                <w:sz w:val="24"/>
              </w:rPr>
            </w:pPr>
          </w:p>
        </w:tc>
        <w:tc>
          <w:tcPr>
            <w:tcW w:w="819" w:type="dxa"/>
            <w:vMerge w:val="continue"/>
            <w:shd w:val="clear" w:color="auto" w:fill="auto"/>
            <w:vAlign w:val="center"/>
          </w:tcPr>
          <w:p>
            <w:pPr>
              <w:widowControl/>
              <w:adjustRightInd w:val="0"/>
              <w:snapToGrid w:val="0"/>
              <w:spacing w:line="240" w:lineRule="auto"/>
              <w:ind w:firstLine="0" w:firstLineChars="0"/>
              <w:jc w:val="left"/>
              <w:rPr>
                <w:rFonts w:cs="Times New Roman"/>
                <w:sz w:val="24"/>
              </w:rPr>
            </w:pPr>
          </w:p>
        </w:tc>
        <w:tc>
          <w:tcPr>
            <w:tcW w:w="904" w:type="dxa"/>
            <w:shd w:val="clear" w:color="auto" w:fill="auto"/>
            <w:vAlign w:val="center"/>
          </w:tcPr>
          <w:p>
            <w:pPr>
              <w:widowControl/>
              <w:adjustRightInd w:val="0"/>
              <w:snapToGrid w:val="0"/>
              <w:spacing w:line="240" w:lineRule="auto"/>
              <w:ind w:firstLine="0" w:firstLineChars="0"/>
              <w:jc w:val="center"/>
              <w:rPr>
                <w:rFonts w:cs="Times New Roman"/>
                <w:sz w:val="24"/>
              </w:rPr>
            </w:pPr>
            <w:r>
              <w:rPr>
                <w:rFonts w:cs="Times New Roman"/>
                <w:sz w:val="24"/>
              </w:rPr>
              <w:t>可持续发展</w:t>
            </w:r>
          </w:p>
        </w:tc>
        <w:tc>
          <w:tcPr>
            <w:tcW w:w="1972" w:type="dxa"/>
            <w:shd w:val="clear" w:color="auto" w:fill="auto"/>
            <w:vAlign w:val="center"/>
          </w:tcPr>
          <w:p>
            <w:pPr>
              <w:widowControl/>
              <w:adjustRightInd w:val="0"/>
              <w:snapToGrid w:val="0"/>
              <w:spacing w:line="240" w:lineRule="auto"/>
              <w:ind w:firstLine="0" w:firstLineChars="0"/>
              <w:jc w:val="center"/>
              <w:rPr>
                <w:rFonts w:cs="Times New Roman"/>
                <w:sz w:val="24"/>
              </w:rPr>
            </w:pPr>
            <w:r>
              <w:rPr>
                <w:rFonts w:cs="Times New Roman"/>
                <w:sz w:val="24"/>
              </w:rPr>
              <w:t>助力均衡增城区区域教育资源</w:t>
            </w:r>
          </w:p>
        </w:tc>
        <w:tc>
          <w:tcPr>
            <w:tcW w:w="4303" w:type="dxa"/>
            <w:shd w:val="clear" w:color="auto" w:fill="auto"/>
            <w:vAlign w:val="center"/>
          </w:tcPr>
          <w:p>
            <w:pPr>
              <w:widowControl/>
              <w:adjustRightInd w:val="0"/>
              <w:snapToGrid w:val="0"/>
              <w:spacing w:line="240" w:lineRule="auto"/>
              <w:ind w:firstLine="0" w:firstLineChars="0"/>
              <w:jc w:val="left"/>
              <w:rPr>
                <w:rFonts w:cs="Times New Roman"/>
                <w:sz w:val="24"/>
              </w:rPr>
            </w:pPr>
            <w:r>
              <w:rPr>
                <w:rFonts w:cs="Times New Roman"/>
                <w:sz w:val="24"/>
              </w:rPr>
              <w:t>评价年度预期值为</w:t>
            </w:r>
            <w:r>
              <w:rPr>
                <w:rFonts w:hint="eastAsia" w:ascii="仿宋_GB2312" w:cs="Times New Roman"/>
                <w:sz w:val="24"/>
              </w:rPr>
              <w:t>“</w:t>
            </w:r>
            <w:r>
              <w:rPr>
                <w:rFonts w:cs="Times New Roman"/>
                <w:sz w:val="24"/>
              </w:rPr>
              <w:t>新学年100%按计划完成招生，助力均衡增城区区域教育资源</w:t>
            </w:r>
            <w:r>
              <w:rPr>
                <w:rFonts w:hint="eastAsia" w:ascii="仿宋_GB2312" w:cs="Times New Roman"/>
                <w:sz w:val="24"/>
              </w:rPr>
              <w:t>”</w:t>
            </w:r>
            <w:r>
              <w:rPr>
                <w:rFonts w:cs="Times New Roman"/>
                <w:sz w:val="24"/>
              </w:rPr>
              <w:t>，根据新学年项目相关班级招生情况及项目开展情况综合评分。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36" w:type="dxa"/>
            <w:vMerge w:val="continue"/>
            <w:shd w:val="clear" w:color="auto" w:fill="auto"/>
            <w:vAlign w:val="center"/>
          </w:tcPr>
          <w:p>
            <w:pPr>
              <w:widowControl/>
              <w:adjustRightInd w:val="0"/>
              <w:snapToGrid w:val="0"/>
              <w:spacing w:line="240" w:lineRule="auto"/>
              <w:ind w:firstLine="0" w:firstLineChars="0"/>
              <w:jc w:val="left"/>
              <w:rPr>
                <w:rFonts w:cs="Times New Roman"/>
                <w:sz w:val="24"/>
              </w:rPr>
            </w:pPr>
          </w:p>
        </w:tc>
        <w:tc>
          <w:tcPr>
            <w:tcW w:w="819" w:type="dxa"/>
            <w:shd w:val="clear" w:color="auto" w:fill="auto"/>
            <w:vAlign w:val="center"/>
          </w:tcPr>
          <w:p>
            <w:pPr>
              <w:widowControl/>
              <w:adjustRightInd w:val="0"/>
              <w:snapToGrid w:val="0"/>
              <w:spacing w:line="240" w:lineRule="auto"/>
              <w:ind w:firstLine="0" w:firstLineChars="0"/>
              <w:jc w:val="center"/>
              <w:rPr>
                <w:rFonts w:cs="Times New Roman"/>
                <w:sz w:val="24"/>
              </w:rPr>
            </w:pPr>
            <w:r>
              <w:rPr>
                <w:rFonts w:cs="Times New Roman"/>
                <w:sz w:val="24"/>
              </w:rPr>
              <w:t>公平性</w:t>
            </w:r>
          </w:p>
        </w:tc>
        <w:tc>
          <w:tcPr>
            <w:tcW w:w="904" w:type="dxa"/>
            <w:shd w:val="clear" w:color="auto" w:fill="auto"/>
            <w:vAlign w:val="center"/>
          </w:tcPr>
          <w:p>
            <w:pPr>
              <w:widowControl/>
              <w:adjustRightInd w:val="0"/>
              <w:snapToGrid w:val="0"/>
              <w:spacing w:line="240" w:lineRule="auto"/>
              <w:ind w:firstLine="0" w:firstLineChars="0"/>
              <w:jc w:val="center"/>
              <w:rPr>
                <w:rFonts w:cs="Times New Roman"/>
                <w:sz w:val="24"/>
              </w:rPr>
            </w:pPr>
            <w:r>
              <w:rPr>
                <w:rFonts w:cs="Times New Roman"/>
                <w:sz w:val="24"/>
              </w:rPr>
              <w:t>满意度</w:t>
            </w:r>
          </w:p>
        </w:tc>
        <w:tc>
          <w:tcPr>
            <w:tcW w:w="1972" w:type="dxa"/>
            <w:shd w:val="clear" w:color="auto" w:fill="auto"/>
            <w:vAlign w:val="center"/>
          </w:tcPr>
          <w:p>
            <w:pPr>
              <w:widowControl/>
              <w:adjustRightInd w:val="0"/>
              <w:snapToGrid w:val="0"/>
              <w:spacing w:line="240" w:lineRule="auto"/>
              <w:ind w:firstLine="0" w:firstLineChars="0"/>
              <w:jc w:val="center"/>
              <w:rPr>
                <w:rFonts w:cs="Times New Roman"/>
                <w:sz w:val="24"/>
              </w:rPr>
            </w:pPr>
            <w:r>
              <w:rPr>
                <w:rFonts w:cs="Times New Roman"/>
                <w:sz w:val="24"/>
              </w:rPr>
              <w:t>服务对象满意度</w:t>
            </w:r>
          </w:p>
        </w:tc>
        <w:tc>
          <w:tcPr>
            <w:tcW w:w="4303" w:type="dxa"/>
            <w:shd w:val="clear" w:color="auto" w:fill="auto"/>
            <w:vAlign w:val="center"/>
          </w:tcPr>
          <w:p>
            <w:pPr>
              <w:widowControl/>
              <w:adjustRightInd w:val="0"/>
              <w:snapToGrid w:val="0"/>
              <w:spacing w:line="240" w:lineRule="auto"/>
              <w:ind w:firstLine="0" w:firstLineChars="0"/>
              <w:rPr>
                <w:rFonts w:cs="Times New Roman"/>
                <w:sz w:val="24"/>
              </w:rPr>
            </w:pPr>
            <w:r>
              <w:rPr>
                <w:rFonts w:cs="Times New Roman"/>
                <w:sz w:val="24"/>
              </w:rPr>
              <w:t>评价年度预期值为</w:t>
            </w:r>
            <w:r>
              <w:rPr>
                <w:rFonts w:hint="eastAsia" w:ascii="仿宋_GB2312" w:cs="Times New Roman"/>
                <w:sz w:val="24"/>
              </w:rPr>
              <w:t>“</w:t>
            </w:r>
            <w:r>
              <w:rPr>
                <w:rFonts w:cs="Times New Roman"/>
                <w:sz w:val="24"/>
              </w:rPr>
              <w:t>90%</w:t>
            </w:r>
            <w:r>
              <w:rPr>
                <w:rFonts w:hint="eastAsia" w:ascii="仿宋_GB2312" w:cs="Times New Roman"/>
                <w:sz w:val="24"/>
              </w:rPr>
              <w:t>”</w:t>
            </w:r>
            <w:r>
              <w:rPr>
                <w:rFonts w:cs="Times New Roman"/>
                <w:sz w:val="24"/>
              </w:rPr>
              <w:t>，家长及师生满意度达90%以上得满分，否则实际满意度每降低5%扣0.5分。</w:t>
            </w:r>
          </w:p>
        </w:tc>
      </w:tr>
    </w:tbl>
    <w:p>
      <w:pPr>
        <w:ind w:firstLine="948" w:firstLineChars="300"/>
        <w:rPr>
          <w:rFonts w:cs="Times New Roman"/>
        </w:rPr>
      </w:pPr>
    </w:p>
    <w:p>
      <w:pPr>
        <w:pStyle w:val="3"/>
        <w:ind w:firstLine="632"/>
        <w:rPr>
          <w:rFonts w:cs="Times New Roman"/>
        </w:rPr>
      </w:pPr>
      <w:bookmarkStart w:id="4" w:name="_Toc177204519"/>
      <w:r>
        <w:rPr>
          <w:rFonts w:cs="Times New Roman"/>
        </w:rPr>
        <w:t>（四）项目资金来源及使用情况。</w:t>
      </w:r>
      <w:bookmarkEnd w:id="4"/>
    </w:p>
    <w:p>
      <w:pPr>
        <w:ind w:firstLine="632"/>
        <w:rPr>
          <w:rFonts w:cs="Times New Roman"/>
        </w:rPr>
      </w:pPr>
      <w:r>
        <w:rPr>
          <w:rFonts w:cs="Times New Roman"/>
        </w:rPr>
        <w:t>根据《广州市财政局关于提前下达2023年市教育局部门转移支付预算的通知》(穗财教〔2022〕133号)、《增城区教育局关于分解下达</w:t>
      </w:r>
      <w:r>
        <w:rPr>
          <w:rFonts w:hint="eastAsia" w:ascii="仿宋_GB2312" w:cs="Times New Roman"/>
        </w:rPr>
        <w:t>“</w:t>
      </w:r>
      <w:r>
        <w:rPr>
          <w:rFonts w:cs="Times New Roman"/>
        </w:rPr>
        <w:t>基础教育转移支付专项</w:t>
      </w:r>
      <w:r>
        <w:rPr>
          <w:rFonts w:hint="eastAsia" w:ascii="仿宋_GB2312" w:cs="Times New Roman"/>
        </w:rPr>
        <w:t>”</w:t>
      </w:r>
      <w:r>
        <w:rPr>
          <w:rFonts w:cs="Times New Roman"/>
        </w:rPr>
        <w:t>资金预算指标的函》（增教函〔2023〕9号）、《关于申请提前安排2023年市教育局部门转移支付预算的函》（增公建中心函〔2023〕13号），2023年下达市级财政资金9000万元。</w:t>
      </w:r>
    </w:p>
    <w:p>
      <w:pPr>
        <w:ind w:firstLine="632"/>
        <w:rPr>
          <w:rFonts w:cs="Times New Roman"/>
        </w:rPr>
      </w:pPr>
      <w:r>
        <w:rPr>
          <w:rFonts w:cs="Times New Roman"/>
        </w:rPr>
        <w:t>根据《2023年广州市增城区公共建设项目管理服务中心部门预算》，项目2023年年初区级财政资金预算为12552.80万元。根据《单位指标情况表》，年度预算发生三次调整，一次是年初区级财政资金预算调减232.42万元，一次是调增区级财政资金预算582.2万元，一次是下达市级财政资金7283.83万元。综合以上情况，项目年度预算为29186.41万元。</w:t>
      </w:r>
    </w:p>
    <w:p>
      <w:pPr>
        <w:ind w:firstLine="632"/>
        <w:rPr>
          <w:rFonts w:cs="Times New Roman"/>
        </w:rPr>
      </w:pPr>
      <w:r>
        <w:rPr>
          <w:rFonts w:cs="Times New Roman"/>
        </w:rPr>
        <w:t>根据提供的项目明细账，截至2023年12月31日，项目支出金额为29186.41万元，预算支出率为100%，具体支出情况如下。</w:t>
      </w:r>
    </w:p>
    <w:p>
      <w:pPr>
        <w:ind w:firstLine="0" w:firstLineChars="0"/>
        <w:jc w:val="center"/>
        <w:rPr>
          <w:rFonts w:eastAsia="黑体" w:cs="Times New Roman"/>
          <w:sz w:val="28"/>
          <w:szCs w:val="28"/>
        </w:rPr>
      </w:pPr>
      <w:r>
        <w:rPr>
          <w:rFonts w:eastAsia="黑体" w:cs="Times New Roman"/>
          <w:sz w:val="28"/>
          <w:szCs w:val="28"/>
        </w:rPr>
        <w:t>表4  项目2023年度支出情况表</w:t>
      </w:r>
    </w:p>
    <w:tbl>
      <w:tblPr>
        <w:tblStyle w:val="15"/>
        <w:tblW w:w="4865" w:type="pct"/>
        <w:jc w:val="center"/>
        <w:tblLayout w:type="autofit"/>
        <w:tblCellMar>
          <w:top w:w="0" w:type="dxa"/>
          <w:left w:w="108" w:type="dxa"/>
          <w:bottom w:w="0" w:type="dxa"/>
          <w:right w:w="108" w:type="dxa"/>
        </w:tblCellMar>
      </w:tblPr>
      <w:tblGrid>
        <w:gridCol w:w="1344"/>
        <w:gridCol w:w="4754"/>
        <w:gridCol w:w="2718"/>
      </w:tblGrid>
      <w:tr>
        <w:tblPrEx>
          <w:tblCellMar>
            <w:top w:w="0" w:type="dxa"/>
            <w:left w:w="108" w:type="dxa"/>
            <w:bottom w:w="0" w:type="dxa"/>
            <w:right w:w="108" w:type="dxa"/>
          </w:tblCellMar>
        </w:tblPrEx>
        <w:trPr>
          <w:trHeight w:val="624" w:hRule="atLeast"/>
          <w:tblHeader/>
          <w:jc w:val="center"/>
        </w:trPr>
        <w:tc>
          <w:tcPr>
            <w:tcW w:w="1344"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adjustRightInd w:val="0"/>
              <w:snapToGrid w:val="0"/>
              <w:spacing w:line="240" w:lineRule="auto"/>
              <w:ind w:firstLine="0" w:firstLineChars="0"/>
              <w:jc w:val="center"/>
              <w:rPr>
                <w:rFonts w:cs="Times New Roman"/>
                <w:b/>
                <w:bCs/>
                <w:color w:val="000000"/>
                <w:kern w:val="0"/>
                <w:sz w:val="24"/>
                <w:szCs w:val="24"/>
                <w14:ligatures w14:val="none"/>
              </w:rPr>
            </w:pPr>
            <w:r>
              <w:rPr>
                <w:rFonts w:cs="Times New Roman"/>
                <w:b/>
                <w:bCs/>
                <w:color w:val="000000"/>
                <w:kern w:val="0"/>
                <w:sz w:val="24"/>
                <w:szCs w:val="24"/>
                <w14:ligatures w14:val="none"/>
              </w:rPr>
              <w:t>序号</w:t>
            </w:r>
          </w:p>
        </w:tc>
        <w:tc>
          <w:tcPr>
            <w:tcW w:w="4754" w:type="dxa"/>
            <w:tcBorders>
              <w:top w:val="single" w:color="auto" w:sz="4" w:space="0"/>
              <w:left w:val="nil"/>
              <w:bottom w:val="single" w:color="auto" w:sz="4" w:space="0"/>
              <w:right w:val="single" w:color="auto" w:sz="4" w:space="0"/>
            </w:tcBorders>
            <w:shd w:val="clear" w:color="auto" w:fill="auto"/>
            <w:noWrap/>
            <w:vAlign w:val="center"/>
          </w:tcPr>
          <w:p>
            <w:pPr>
              <w:widowControl/>
              <w:adjustRightInd w:val="0"/>
              <w:snapToGrid w:val="0"/>
              <w:spacing w:line="240" w:lineRule="auto"/>
              <w:ind w:firstLine="0" w:firstLineChars="0"/>
              <w:jc w:val="center"/>
              <w:rPr>
                <w:rFonts w:cs="Times New Roman"/>
                <w:b/>
                <w:bCs/>
                <w:color w:val="000000"/>
                <w:kern w:val="0"/>
                <w:sz w:val="24"/>
                <w:szCs w:val="24"/>
                <w14:ligatures w14:val="none"/>
              </w:rPr>
            </w:pPr>
            <w:r>
              <w:rPr>
                <w:rFonts w:cs="Times New Roman"/>
                <w:b/>
                <w:bCs/>
                <w:color w:val="000000"/>
                <w:kern w:val="0"/>
                <w:sz w:val="24"/>
                <w:szCs w:val="24"/>
                <w14:ligatures w14:val="none"/>
              </w:rPr>
              <w:t>支出方向</w:t>
            </w:r>
          </w:p>
        </w:tc>
        <w:tc>
          <w:tcPr>
            <w:tcW w:w="2718" w:type="dxa"/>
            <w:tcBorders>
              <w:top w:val="single" w:color="auto" w:sz="4" w:space="0"/>
              <w:left w:val="nil"/>
              <w:bottom w:val="single" w:color="auto" w:sz="4" w:space="0"/>
              <w:right w:val="single" w:color="auto" w:sz="4" w:space="0"/>
            </w:tcBorders>
            <w:shd w:val="clear" w:color="auto" w:fill="auto"/>
            <w:noWrap/>
            <w:vAlign w:val="center"/>
          </w:tcPr>
          <w:p>
            <w:pPr>
              <w:widowControl/>
              <w:adjustRightInd w:val="0"/>
              <w:snapToGrid w:val="0"/>
              <w:spacing w:line="240" w:lineRule="auto"/>
              <w:ind w:firstLine="0" w:firstLineChars="0"/>
              <w:jc w:val="center"/>
              <w:rPr>
                <w:rFonts w:cs="Times New Roman"/>
                <w:b/>
                <w:bCs/>
                <w:color w:val="000000"/>
                <w:kern w:val="0"/>
                <w:sz w:val="24"/>
                <w:szCs w:val="24"/>
                <w14:ligatures w14:val="none"/>
              </w:rPr>
            </w:pPr>
            <w:r>
              <w:rPr>
                <w:rFonts w:cs="Times New Roman"/>
                <w:b/>
                <w:bCs/>
                <w:color w:val="000000"/>
                <w:kern w:val="0"/>
                <w:sz w:val="24"/>
                <w:szCs w:val="24"/>
                <w14:ligatures w14:val="none"/>
              </w:rPr>
              <w:t>支出金额（元）</w:t>
            </w:r>
          </w:p>
        </w:tc>
      </w:tr>
      <w:tr>
        <w:tblPrEx>
          <w:tblCellMar>
            <w:top w:w="0" w:type="dxa"/>
            <w:left w:w="108" w:type="dxa"/>
            <w:bottom w:w="0" w:type="dxa"/>
            <w:right w:w="108" w:type="dxa"/>
          </w:tblCellMar>
        </w:tblPrEx>
        <w:trPr>
          <w:trHeight w:val="624" w:hRule="atLeast"/>
          <w:jc w:val="center"/>
        </w:trPr>
        <w:tc>
          <w:tcPr>
            <w:tcW w:w="1344" w:type="dxa"/>
            <w:tcBorders>
              <w:top w:val="nil"/>
              <w:left w:val="single" w:color="auto" w:sz="4" w:space="0"/>
              <w:bottom w:val="single" w:color="auto" w:sz="4" w:space="0"/>
              <w:right w:val="single" w:color="auto" w:sz="4" w:space="0"/>
            </w:tcBorders>
            <w:shd w:val="clear" w:color="auto" w:fill="auto"/>
            <w:noWrap/>
            <w:vAlign w:val="center"/>
          </w:tcPr>
          <w:p>
            <w:pPr>
              <w:widowControl/>
              <w:adjustRightInd w:val="0"/>
              <w:snapToGrid w:val="0"/>
              <w:spacing w:line="240" w:lineRule="auto"/>
              <w:ind w:firstLine="0" w:firstLineChars="0"/>
              <w:jc w:val="center"/>
              <w:rPr>
                <w:rFonts w:cs="Times New Roman"/>
                <w:color w:val="000000"/>
                <w:kern w:val="0"/>
                <w:sz w:val="24"/>
                <w:szCs w:val="24"/>
                <w14:ligatures w14:val="none"/>
              </w:rPr>
            </w:pPr>
            <w:r>
              <w:rPr>
                <w:rFonts w:cs="Times New Roman"/>
                <w:color w:val="000000"/>
                <w:kern w:val="0"/>
                <w:sz w:val="24"/>
                <w:szCs w:val="24"/>
                <w14:ligatures w14:val="none"/>
              </w:rPr>
              <w:t>1</w:t>
            </w:r>
          </w:p>
        </w:tc>
        <w:tc>
          <w:tcPr>
            <w:tcW w:w="4754" w:type="dxa"/>
            <w:tcBorders>
              <w:top w:val="nil"/>
              <w:left w:val="nil"/>
              <w:bottom w:val="single" w:color="auto" w:sz="4" w:space="0"/>
              <w:right w:val="single" w:color="auto" w:sz="4" w:space="0"/>
            </w:tcBorders>
            <w:shd w:val="clear" w:color="auto" w:fill="auto"/>
            <w:noWrap/>
            <w:vAlign w:val="center"/>
          </w:tcPr>
          <w:p>
            <w:pPr>
              <w:widowControl/>
              <w:adjustRightInd w:val="0"/>
              <w:snapToGrid w:val="0"/>
              <w:spacing w:line="240" w:lineRule="auto"/>
              <w:ind w:firstLine="0" w:firstLineChars="0"/>
              <w:jc w:val="center"/>
              <w:rPr>
                <w:rFonts w:cs="Times New Roman"/>
                <w:color w:val="000000"/>
                <w:kern w:val="0"/>
                <w:sz w:val="24"/>
                <w:szCs w:val="24"/>
                <w14:ligatures w14:val="none"/>
              </w:rPr>
            </w:pPr>
            <w:r>
              <w:rPr>
                <w:rFonts w:cs="Times New Roman"/>
                <w:color w:val="000000"/>
                <w:kern w:val="0"/>
                <w:sz w:val="24"/>
                <w:szCs w:val="24"/>
                <w14:ligatures w14:val="none"/>
              </w:rPr>
              <w:t>土地划拨款</w:t>
            </w:r>
          </w:p>
        </w:tc>
        <w:tc>
          <w:tcPr>
            <w:tcW w:w="2718" w:type="dxa"/>
            <w:tcBorders>
              <w:top w:val="nil"/>
              <w:left w:val="nil"/>
              <w:bottom w:val="single" w:color="auto" w:sz="4" w:space="0"/>
              <w:right w:val="single" w:color="auto" w:sz="4" w:space="0"/>
            </w:tcBorders>
            <w:shd w:val="clear" w:color="auto" w:fill="auto"/>
            <w:noWrap/>
            <w:vAlign w:val="center"/>
          </w:tcPr>
          <w:p>
            <w:pPr>
              <w:widowControl/>
              <w:adjustRightInd w:val="0"/>
              <w:snapToGrid w:val="0"/>
              <w:spacing w:line="240" w:lineRule="auto"/>
              <w:ind w:firstLine="0" w:firstLineChars="0"/>
              <w:jc w:val="center"/>
              <w:rPr>
                <w:rFonts w:cs="Times New Roman"/>
                <w:color w:val="000000"/>
                <w:kern w:val="0"/>
                <w:sz w:val="24"/>
                <w:szCs w:val="24"/>
                <w14:ligatures w14:val="none"/>
              </w:rPr>
            </w:pPr>
            <w:r>
              <w:rPr>
                <w:rFonts w:cs="Times New Roman"/>
                <w:color w:val="000000"/>
                <w:kern w:val="0"/>
                <w:sz w:val="24"/>
                <w:szCs w:val="24"/>
                <w14:ligatures w14:val="none"/>
              </w:rPr>
              <w:t>119,220,000.00</w:t>
            </w:r>
          </w:p>
        </w:tc>
      </w:tr>
      <w:tr>
        <w:tblPrEx>
          <w:tblCellMar>
            <w:top w:w="0" w:type="dxa"/>
            <w:left w:w="108" w:type="dxa"/>
            <w:bottom w:w="0" w:type="dxa"/>
            <w:right w:w="108" w:type="dxa"/>
          </w:tblCellMar>
        </w:tblPrEx>
        <w:trPr>
          <w:trHeight w:val="624" w:hRule="atLeast"/>
          <w:jc w:val="center"/>
        </w:trPr>
        <w:tc>
          <w:tcPr>
            <w:tcW w:w="1344" w:type="dxa"/>
            <w:tcBorders>
              <w:top w:val="nil"/>
              <w:left w:val="single" w:color="auto" w:sz="4" w:space="0"/>
              <w:bottom w:val="single" w:color="auto" w:sz="4" w:space="0"/>
              <w:right w:val="single" w:color="auto" w:sz="4" w:space="0"/>
            </w:tcBorders>
            <w:shd w:val="clear" w:color="auto" w:fill="auto"/>
            <w:noWrap/>
            <w:vAlign w:val="center"/>
          </w:tcPr>
          <w:p>
            <w:pPr>
              <w:widowControl/>
              <w:adjustRightInd w:val="0"/>
              <w:snapToGrid w:val="0"/>
              <w:spacing w:line="240" w:lineRule="auto"/>
              <w:ind w:firstLine="0" w:firstLineChars="0"/>
              <w:jc w:val="center"/>
              <w:rPr>
                <w:rFonts w:cs="Times New Roman"/>
                <w:color w:val="000000"/>
                <w:kern w:val="0"/>
                <w:sz w:val="24"/>
                <w:szCs w:val="24"/>
                <w14:ligatures w14:val="none"/>
              </w:rPr>
            </w:pPr>
            <w:r>
              <w:rPr>
                <w:rFonts w:cs="Times New Roman"/>
                <w:color w:val="000000"/>
                <w:kern w:val="0"/>
                <w:sz w:val="24"/>
                <w:szCs w:val="24"/>
                <w14:ligatures w14:val="none"/>
              </w:rPr>
              <w:t>2</w:t>
            </w:r>
          </w:p>
        </w:tc>
        <w:tc>
          <w:tcPr>
            <w:tcW w:w="4754" w:type="dxa"/>
            <w:tcBorders>
              <w:top w:val="nil"/>
              <w:left w:val="nil"/>
              <w:bottom w:val="single" w:color="auto" w:sz="4" w:space="0"/>
              <w:right w:val="single" w:color="auto" w:sz="4" w:space="0"/>
            </w:tcBorders>
            <w:shd w:val="clear" w:color="auto" w:fill="auto"/>
            <w:noWrap/>
            <w:vAlign w:val="center"/>
          </w:tcPr>
          <w:p>
            <w:pPr>
              <w:widowControl/>
              <w:adjustRightInd w:val="0"/>
              <w:snapToGrid w:val="0"/>
              <w:spacing w:line="240" w:lineRule="auto"/>
              <w:ind w:firstLine="0" w:firstLineChars="0"/>
              <w:jc w:val="center"/>
              <w:rPr>
                <w:rFonts w:cs="Times New Roman"/>
                <w:color w:val="000000"/>
                <w:kern w:val="0"/>
                <w:sz w:val="24"/>
                <w:szCs w:val="24"/>
                <w14:ligatures w14:val="none"/>
              </w:rPr>
            </w:pPr>
            <w:r>
              <w:rPr>
                <w:rFonts w:cs="Times New Roman"/>
                <w:color w:val="000000"/>
                <w:kern w:val="0"/>
                <w:sz w:val="24"/>
                <w:szCs w:val="24"/>
                <w14:ligatures w14:val="none"/>
              </w:rPr>
              <w:t>工人工资</w:t>
            </w:r>
          </w:p>
        </w:tc>
        <w:tc>
          <w:tcPr>
            <w:tcW w:w="2718" w:type="dxa"/>
            <w:tcBorders>
              <w:top w:val="nil"/>
              <w:left w:val="nil"/>
              <w:bottom w:val="single" w:color="auto" w:sz="4" w:space="0"/>
              <w:right w:val="single" w:color="auto" w:sz="4" w:space="0"/>
            </w:tcBorders>
            <w:shd w:val="clear" w:color="auto" w:fill="auto"/>
            <w:noWrap/>
            <w:vAlign w:val="center"/>
          </w:tcPr>
          <w:p>
            <w:pPr>
              <w:widowControl/>
              <w:adjustRightInd w:val="0"/>
              <w:snapToGrid w:val="0"/>
              <w:spacing w:line="240" w:lineRule="auto"/>
              <w:ind w:firstLine="0" w:firstLineChars="0"/>
              <w:jc w:val="center"/>
              <w:rPr>
                <w:rFonts w:cs="Times New Roman"/>
                <w:color w:val="000000"/>
                <w:kern w:val="0"/>
                <w:sz w:val="24"/>
                <w:szCs w:val="24"/>
                <w14:ligatures w14:val="none"/>
              </w:rPr>
            </w:pPr>
            <w:r>
              <w:rPr>
                <w:rFonts w:cs="Times New Roman"/>
                <w:color w:val="000000"/>
                <w:kern w:val="0"/>
                <w:sz w:val="24"/>
                <w:szCs w:val="24"/>
                <w14:ligatures w14:val="none"/>
              </w:rPr>
              <w:t>25,749,660.09</w:t>
            </w:r>
          </w:p>
        </w:tc>
      </w:tr>
      <w:tr>
        <w:tblPrEx>
          <w:tblCellMar>
            <w:top w:w="0" w:type="dxa"/>
            <w:left w:w="108" w:type="dxa"/>
            <w:bottom w:w="0" w:type="dxa"/>
            <w:right w:w="108" w:type="dxa"/>
          </w:tblCellMar>
        </w:tblPrEx>
        <w:trPr>
          <w:trHeight w:val="624" w:hRule="atLeast"/>
          <w:jc w:val="center"/>
        </w:trPr>
        <w:tc>
          <w:tcPr>
            <w:tcW w:w="1344" w:type="dxa"/>
            <w:tcBorders>
              <w:top w:val="nil"/>
              <w:left w:val="single" w:color="auto" w:sz="4" w:space="0"/>
              <w:bottom w:val="single" w:color="auto" w:sz="4" w:space="0"/>
              <w:right w:val="single" w:color="auto" w:sz="4" w:space="0"/>
            </w:tcBorders>
            <w:shd w:val="clear" w:color="auto" w:fill="auto"/>
            <w:noWrap/>
            <w:vAlign w:val="center"/>
          </w:tcPr>
          <w:p>
            <w:pPr>
              <w:widowControl/>
              <w:adjustRightInd w:val="0"/>
              <w:snapToGrid w:val="0"/>
              <w:spacing w:line="240" w:lineRule="auto"/>
              <w:ind w:firstLine="0" w:firstLineChars="0"/>
              <w:jc w:val="center"/>
              <w:rPr>
                <w:rFonts w:cs="Times New Roman"/>
                <w:color w:val="000000"/>
                <w:kern w:val="0"/>
                <w:sz w:val="24"/>
                <w:szCs w:val="24"/>
                <w14:ligatures w14:val="none"/>
              </w:rPr>
            </w:pPr>
            <w:r>
              <w:rPr>
                <w:rFonts w:cs="Times New Roman"/>
                <w:color w:val="000000"/>
                <w:kern w:val="0"/>
                <w:sz w:val="24"/>
                <w:szCs w:val="24"/>
                <w14:ligatures w14:val="none"/>
              </w:rPr>
              <w:t>3</w:t>
            </w:r>
          </w:p>
        </w:tc>
        <w:tc>
          <w:tcPr>
            <w:tcW w:w="4754" w:type="dxa"/>
            <w:tcBorders>
              <w:top w:val="nil"/>
              <w:left w:val="nil"/>
              <w:bottom w:val="single" w:color="auto" w:sz="4" w:space="0"/>
              <w:right w:val="single" w:color="auto" w:sz="4" w:space="0"/>
            </w:tcBorders>
            <w:shd w:val="clear" w:color="auto" w:fill="auto"/>
            <w:noWrap/>
            <w:vAlign w:val="center"/>
          </w:tcPr>
          <w:p>
            <w:pPr>
              <w:widowControl/>
              <w:adjustRightInd w:val="0"/>
              <w:snapToGrid w:val="0"/>
              <w:spacing w:line="240" w:lineRule="auto"/>
              <w:ind w:firstLine="0" w:firstLineChars="0"/>
              <w:jc w:val="center"/>
              <w:rPr>
                <w:rFonts w:cs="Times New Roman"/>
                <w:color w:val="000000"/>
                <w:kern w:val="0"/>
                <w:sz w:val="24"/>
                <w:szCs w:val="24"/>
                <w14:ligatures w14:val="none"/>
              </w:rPr>
            </w:pPr>
            <w:r>
              <w:rPr>
                <w:rFonts w:cs="Times New Roman"/>
                <w:color w:val="000000"/>
                <w:kern w:val="0"/>
                <w:sz w:val="24"/>
                <w:szCs w:val="24"/>
                <w14:ligatures w14:val="none"/>
              </w:rPr>
              <w:t>工程款</w:t>
            </w:r>
          </w:p>
        </w:tc>
        <w:tc>
          <w:tcPr>
            <w:tcW w:w="2718" w:type="dxa"/>
            <w:tcBorders>
              <w:top w:val="nil"/>
              <w:left w:val="nil"/>
              <w:bottom w:val="single" w:color="auto" w:sz="4" w:space="0"/>
              <w:right w:val="single" w:color="auto" w:sz="4" w:space="0"/>
            </w:tcBorders>
            <w:shd w:val="clear" w:color="auto" w:fill="auto"/>
            <w:noWrap/>
            <w:vAlign w:val="center"/>
          </w:tcPr>
          <w:p>
            <w:pPr>
              <w:widowControl/>
              <w:adjustRightInd w:val="0"/>
              <w:snapToGrid w:val="0"/>
              <w:spacing w:line="240" w:lineRule="auto"/>
              <w:ind w:firstLine="0" w:firstLineChars="0"/>
              <w:jc w:val="center"/>
              <w:rPr>
                <w:rFonts w:cs="Times New Roman"/>
                <w:color w:val="000000"/>
                <w:kern w:val="0"/>
                <w:sz w:val="24"/>
                <w:szCs w:val="24"/>
                <w14:ligatures w14:val="none"/>
              </w:rPr>
            </w:pPr>
            <w:r>
              <w:rPr>
                <w:rFonts w:cs="Times New Roman"/>
                <w:color w:val="000000"/>
                <w:kern w:val="0"/>
                <w:sz w:val="24"/>
                <w:szCs w:val="24"/>
                <w14:ligatures w14:val="none"/>
              </w:rPr>
              <w:t>123,669,416.04</w:t>
            </w:r>
          </w:p>
        </w:tc>
      </w:tr>
      <w:tr>
        <w:tblPrEx>
          <w:tblCellMar>
            <w:top w:w="0" w:type="dxa"/>
            <w:left w:w="108" w:type="dxa"/>
            <w:bottom w:w="0" w:type="dxa"/>
            <w:right w:w="108" w:type="dxa"/>
          </w:tblCellMar>
        </w:tblPrEx>
        <w:trPr>
          <w:trHeight w:val="624" w:hRule="atLeast"/>
          <w:jc w:val="center"/>
        </w:trPr>
        <w:tc>
          <w:tcPr>
            <w:tcW w:w="1344" w:type="dxa"/>
            <w:tcBorders>
              <w:top w:val="nil"/>
              <w:left w:val="single" w:color="auto" w:sz="4" w:space="0"/>
              <w:bottom w:val="single" w:color="auto" w:sz="4" w:space="0"/>
              <w:right w:val="single" w:color="auto" w:sz="4" w:space="0"/>
            </w:tcBorders>
            <w:shd w:val="clear" w:color="auto" w:fill="auto"/>
            <w:noWrap/>
            <w:vAlign w:val="center"/>
          </w:tcPr>
          <w:p>
            <w:pPr>
              <w:widowControl/>
              <w:adjustRightInd w:val="0"/>
              <w:snapToGrid w:val="0"/>
              <w:spacing w:line="240" w:lineRule="auto"/>
              <w:ind w:firstLine="0" w:firstLineChars="0"/>
              <w:jc w:val="center"/>
              <w:rPr>
                <w:rFonts w:cs="Times New Roman"/>
                <w:color w:val="000000"/>
                <w:kern w:val="0"/>
                <w:sz w:val="24"/>
                <w:szCs w:val="24"/>
                <w14:ligatures w14:val="none"/>
              </w:rPr>
            </w:pPr>
            <w:r>
              <w:rPr>
                <w:rFonts w:cs="Times New Roman"/>
                <w:color w:val="000000"/>
                <w:kern w:val="0"/>
                <w:sz w:val="24"/>
                <w:szCs w:val="24"/>
                <w14:ligatures w14:val="none"/>
              </w:rPr>
              <w:t>4</w:t>
            </w:r>
          </w:p>
        </w:tc>
        <w:tc>
          <w:tcPr>
            <w:tcW w:w="4754" w:type="dxa"/>
            <w:tcBorders>
              <w:top w:val="nil"/>
              <w:left w:val="nil"/>
              <w:bottom w:val="single" w:color="auto" w:sz="4" w:space="0"/>
              <w:right w:val="single" w:color="auto" w:sz="4" w:space="0"/>
            </w:tcBorders>
            <w:shd w:val="clear" w:color="auto" w:fill="auto"/>
            <w:noWrap/>
            <w:vAlign w:val="center"/>
          </w:tcPr>
          <w:p>
            <w:pPr>
              <w:widowControl/>
              <w:adjustRightInd w:val="0"/>
              <w:snapToGrid w:val="0"/>
              <w:spacing w:line="240" w:lineRule="auto"/>
              <w:ind w:firstLine="0" w:firstLineChars="0"/>
              <w:jc w:val="center"/>
              <w:rPr>
                <w:rFonts w:cs="Times New Roman"/>
                <w:color w:val="000000"/>
                <w:kern w:val="0"/>
                <w:sz w:val="24"/>
                <w:szCs w:val="24"/>
                <w14:ligatures w14:val="none"/>
              </w:rPr>
            </w:pPr>
            <w:r>
              <w:rPr>
                <w:rFonts w:cs="Times New Roman"/>
                <w:color w:val="000000"/>
                <w:kern w:val="0"/>
                <w:sz w:val="24"/>
                <w:szCs w:val="24"/>
                <w14:ligatures w14:val="none"/>
              </w:rPr>
              <w:t>建设项目管理服务费</w:t>
            </w:r>
          </w:p>
        </w:tc>
        <w:tc>
          <w:tcPr>
            <w:tcW w:w="2718" w:type="dxa"/>
            <w:tcBorders>
              <w:top w:val="nil"/>
              <w:left w:val="nil"/>
              <w:bottom w:val="single" w:color="auto" w:sz="4" w:space="0"/>
              <w:right w:val="single" w:color="auto" w:sz="4" w:space="0"/>
            </w:tcBorders>
            <w:shd w:val="clear" w:color="auto" w:fill="auto"/>
            <w:noWrap/>
            <w:vAlign w:val="center"/>
          </w:tcPr>
          <w:p>
            <w:pPr>
              <w:widowControl/>
              <w:adjustRightInd w:val="0"/>
              <w:snapToGrid w:val="0"/>
              <w:spacing w:line="240" w:lineRule="auto"/>
              <w:ind w:firstLine="0" w:firstLineChars="0"/>
              <w:jc w:val="center"/>
              <w:rPr>
                <w:rFonts w:cs="Times New Roman"/>
                <w:color w:val="000000"/>
                <w:kern w:val="0"/>
                <w:sz w:val="24"/>
                <w:szCs w:val="24"/>
                <w14:ligatures w14:val="none"/>
              </w:rPr>
            </w:pPr>
            <w:r>
              <w:rPr>
                <w:rFonts w:cs="Times New Roman"/>
                <w:color w:val="000000"/>
                <w:kern w:val="0"/>
                <w:sz w:val="24"/>
                <w:szCs w:val="24"/>
                <w14:ligatures w14:val="none"/>
              </w:rPr>
              <w:t>247,147.27</w:t>
            </w:r>
          </w:p>
        </w:tc>
      </w:tr>
      <w:tr>
        <w:tblPrEx>
          <w:tblCellMar>
            <w:top w:w="0" w:type="dxa"/>
            <w:left w:w="108" w:type="dxa"/>
            <w:bottom w:w="0" w:type="dxa"/>
            <w:right w:w="108" w:type="dxa"/>
          </w:tblCellMar>
        </w:tblPrEx>
        <w:trPr>
          <w:trHeight w:val="624" w:hRule="atLeast"/>
          <w:jc w:val="center"/>
        </w:trPr>
        <w:tc>
          <w:tcPr>
            <w:tcW w:w="1344" w:type="dxa"/>
            <w:tcBorders>
              <w:top w:val="nil"/>
              <w:left w:val="single" w:color="auto" w:sz="4" w:space="0"/>
              <w:bottom w:val="single" w:color="auto" w:sz="4" w:space="0"/>
              <w:right w:val="single" w:color="auto" w:sz="4" w:space="0"/>
            </w:tcBorders>
            <w:shd w:val="clear" w:color="auto" w:fill="auto"/>
            <w:noWrap/>
            <w:vAlign w:val="center"/>
          </w:tcPr>
          <w:p>
            <w:pPr>
              <w:widowControl/>
              <w:adjustRightInd w:val="0"/>
              <w:snapToGrid w:val="0"/>
              <w:spacing w:line="240" w:lineRule="auto"/>
              <w:ind w:firstLine="0" w:firstLineChars="0"/>
              <w:jc w:val="center"/>
              <w:rPr>
                <w:rFonts w:cs="Times New Roman"/>
                <w:color w:val="000000"/>
                <w:kern w:val="0"/>
                <w:sz w:val="24"/>
                <w:szCs w:val="24"/>
                <w14:ligatures w14:val="none"/>
              </w:rPr>
            </w:pPr>
            <w:r>
              <w:rPr>
                <w:rFonts w:cs="Times New Roman"/>
                <w:color w:val="000000"/>
                <w:kern w:val="0"/>
                <w:sz w:val="24"/>
                <w:szCs w:val="24"/>
                <w14:ligatures w14:val="none"/>
              </w:rPr>
              <w:t>5</w:t>
            </w:r>
          </w:p>
        </w:tc>
        <w:tc>
          <w:tcPr>
            <w:tcW w:w="4754" w:type="dxa"/>
            <w:tcBorders>
              <w:top w:val="nil"/>
              <w:left w:val="nil"/>
              <w:bottom w:val="single" w:color="auto" w:sz="4" w:space="0"/>
              <w:right w:val="single" w:color="auto" w:sz="4" w:space="0"/>
            </w:tcBorders>
            <w:shd w:val="clear" w:color="auto" w:fill="auto"/>
            <w:noWrap/>
            <w:vAlign w:val="center"/>
          </w:tcPr>
          <w:p>
            <w:pPr>
              <w:widowControl/>
              <w:adjustRightInd w:val="0"/>
              <w:snapToGrid w:val="0"/>
              <w:spacing w:line="240" w:lineRule="auto"/>
              <w:ind w:firstLine="0" w:firstLineChars="0"/>
              <w:jc w:val="center"/>
              <w:rPr>
                <w:rFonts w:cs="Times New Roman"/>
                <w:color w:val="000000"/>
                <w:kern w:val="0"/>
                <w:sz w:val="24"/>
                <w:szCs w:val="24"/>
                <w14:ligatures w14:val="none"/>
              </w:rPr>
            </w:pPr>
            <w:r>
              <w:rPr>
                <w:rFonts w:cs="Times New Roman"/>
                <w:color w:val="000000"/>
                <w:kern w:val="0"/>
                <w:sz w:val="24"/>
                <w:szCs w:val="24"/>
                <w14:ligatures w14:val="none"/>
              </w:rPr>
              <w:t>检验监测费</w:t>
            </w:r>
          </w:p>
        </w:tc>
        <w:tc>
          <w:tcPr>
            <w:tcW w:w="2718" w:type="dxa"/>
            <w:tcBorders>
              <w:top w:val="nil"/>
              <w:left w:val="nil"/>
              <w:bottom w:val="single" w:color="auto" w:sz="4" w:space="0"/>
              <w:right w:val="single" w:color="auto" w:sz="4" w:space="0"/>
            </w:tcBorders>
            <w:shd w:val="clear" w:color="auto" w:fill="auto"/>
            <w:noWrap/>
            <w:vAlign w:val="center"/>
          </w:tcPr>
          <w:p>
            <w:pPr>
              <w:widowControl/>
              <w:adjustRightInd w:val="0"/>
              <w:snapToGrid w:val="0"/>
              <w:spacing w:line="240" w:lineRule="auto"/>
              <w:ind w:firstLine="0" w:firstLineChars="0"/>
              <w:jc w:val="center"/>
              <w:rPr>
                <w:rFonts w:cs="Times New Roman"/>
                <w:color w:val="000000"/>
                <w:kern w:val="0"/>
                <w:sz w:val="24"/>
                <w:szCs w:val="24"/>
                <w14:ligatures w14:val="none"/>
              </w:rPr>
            </w:pPr>
            <w:r>
              <w:rPr>
                <w:rFonts w:cs="Times New Roman"/>
                <w:color w:val="000000"/>
                <w:kern w:val="0"/>
                <w:sz w:val="24"/>
                <w:szCs w:val="24"/>
                <w14:ligatures w14:val="none"/>
              </w:rPr>
              <w:t>2,264,507.95</w:t>
            </w:r>
          </w:p>
        </w:tc>
      </w:tr>
      <w:tr>
        <w:tblPrEx>
          <w:tblCellMar>
            <w:top w:w="0" w:type="dxa"/>
            <w:left w:w="108" w:type="dxa"/>
            <w:bottom w:w="0" w:type="dxa"/>
            <w:right w:w="108" w:type="dxa"/>
          </w:tblCellMar>
        </w:tblPrEx>
        <w:trPr>
          <w:trHeight w:val="624" w:hRule="atLeast"/>
          <w:jc w:val="center"/>
        </w:trPr>
        <w:tc>
          <w:tcPr>
            <w:tcW w:w="1344" w:type="dxa"/>
            <w:tcBorders>
              <w:top w:val="nil"/>
              <w:left w:val="single" w:color="auto" w:sz="4" w:space="0"/>
              <w:bottom w:val="single" w:color="auto" w:sz="4" w:space="0"/>
              <w:right w:val="single" w:color="auto" w:sz="4" w:space="0"/>
            </w:tcBorders>
            <w:shd w:val="clear" w:color="auto" w:fill="auto"/>
            <w:noWrap/>
            <w:vAlign w:val="center"/>
          </w:tcPr>
          <w:p>
            <w:pPr>
              <w:widowControl/>
              <w:adjustRightInd w:val="0"/>
              <w:snapToGrid w:val="0"/>
              <w:spacing w:line="240" w:lineRule="auto"/>
              <w:ind w:firstLine="0" w:firstLineChars="0"/>
              <w:jc w:val="center"/>
              <w:rPr>
                <w:rFonts w:cs="Times New Roman"/>
                <w:color w:val="000000"/>
                <w:kern w:val="0"/>
                <w:sz w:val="24"/>
                <w:szCs w:val="24"/>
                <w14:ligatures w14:val="none"/>
              </w:rPr>
            </w:pPr>
            <w:r>
              <w:rPr>
                <w:rFonts w:cs="Times New Roman"/>
                <w:color w:val="000000"/>
                <w:kern w:val="0"/>
                <w:sz w:val="24"/>
                <w:szCs w:val="24"/>
                <w14:ligatures w14:val="none"/>
              </w:rPr>
              <w:t>6</w:t>
            </w:r>
          </w:p>
        </w:tc>
        <w:tc>
          <w:tcPr>
            <w:tcW w:w="4754" w:type="dxa"/>
            <w:tcBorders>
              <w:top w:val="nil"/>
              <w:left w:val="nil"/>
              <w:bottom w:val="single" w:color="auto" w:sz="4" w:space="0"/>
              <w:right w:val="single" w:color="auto" w:sz="4" w:space="0"/>
            </w:tcBorders>
            <w:shd w:val="clear" w:color="auto" w:fill="auto"/>
            <w:noWrap/>
            <w:vAlign w:val="center"/>
          </w:tcPr>
          <w:p>
            <w:pPr>
              <w:widowControl/>
              <w:adjustRightInd w:val="0"/>
              <w:snapToGrid w:val="0"/>
              <w:spacing w:line="240" w:lineRule="auto"/>
              <w:ind w:firstLine="0" w:firstLineChars="0"/>
              <w:jc w:val="center"/>
              <w:rPr>
                <w:rFonts w:cs="Times New Roman"/>
                <w:color w:val="000000"/>
                <w:kern w:val="0"/>
                <w:sz w:val="24"/>
                <w:szCs w:val="24"/>
                <w14:ligatures w14:val="none"/>
              </w:rPr>
            </w:pPr>
            <w:r>
              <w:rPr>
                <w:rFonts w:cs="Times New Roman"/>
                <w:color w:val="000000"/>
                <w:kern w:val="0"/>
                <w:sz w:val="24"/>
                <w:szCs w:val="24"/>
                <w14:ligatures w14:val="none"/>
              </w:rPr>
              <w:t>设计费</w:t>
            </w:r>
          </w:p>
        </w:tc>
        <w:tc>
          <w:tcPr>
            <w:tcW w:w="2718" w:type="dxa"/>
            <w:tcBorders>
              <w:top w:val="nil"/>
              <w:left w:val="nil"/>
              <w:bottom w:val="single" w:color="auto" w:sz="4" w:space="0"/>
              <w:right w:val="single" w:color="auto" w:sz="4" w:space="0"/>
            </w:tcBorders>
            <w:shd w:val="clear" w:color="auto" w:fill="auto"/>
            <w:noWrap/>
            <w:vAlign w:val="center"/>
          </w:tcPr>
          <w:p>
            <w:pPr>
              <w:widowControl/>
              <w:adjustRightInd w:val="0"/>
              <w:snapToGrid w:val="0"/>
              <w:spacing w:line="240" w:lineRule="auto"/>
              <w:ind w:firstLine="0" w:firstLineChars="0"/>
              <w:jc w:val="center"/>
              <w:rPr>
                <w:rFonts w:cs="Times New Roman"/>
                <w:color w:val="000000"/>
                <w:kern w:val="0"/>
                <w:sz w:val="24"/>
                <w:szCs w:val="24"/>
                <w14:ligatures w14:val="none"/>
              </w:rPr>
            </w:pPr>
            <w:r>
              <w:rPr>
                <w:rFonts w:cs="Times New Roman"/>
                <w:color w:val="000000"/>
                <w:kern w:val="0"/>
                <w:sz w:val="24"/>
                <w:szCs w:val="24"/>
                <w14:ligatures w14:val="none"/>
              </w:rPr>
              <w:t>4,525,218.13</w:t>
            </w:r>
          </w:p>
        </w:tc>
      </w:tr>
      <w:tr>
        <w:tblPrEx>
          <w:tblCellMar>
            <w:top w:w="0" w:type="dxa"/>
            <w:left w:w="108" w:type="dxa"/>
            <w:bottom w:w="0" w:type="dxa"/>
            <w:right w:w="108" w:type="dxa"/>
          </w:tblCellMar>
        </w:tblPrEx>
        <w:trPr>
          <w:trHeight w:val="624" w:hRule="atLeast"/>
          <w:jc w:val="center"/>
        </w:trPr>
        <w:tc>
          <w:tcPr>
            <w:tcW w:w="1344" w:type="dxa"/>
            <w:tcBorders>
              <w:top w:val="nil"/>
              <w:left w:val="single" w:color="auto" w:sz="4" w:space="0"/>
              <w:bottom w:val="single" w:color="auto" w:sz="4" w:space="0"/>
              <w:right w:val="single" w:color="auto" w:sz="4" w:space="0"/>
            </w:tcBorders>
            <w:shd w:val="clear" w:color="auto" w:fill="auto"/>
            <w:noWrap/>
            <w:vAlign w:val="center"/>
          </w:tcPr>
          <w:p>
            <w:pPr>
              <w:widowControl/>
              <w:adjustRightInd w:val="0"/>
              <w:snapToGrid w:val="0"/>
              <w:spacing w:line="240" w:lineRule="auto"/>
              <w:ind w:firstLine="0" w:firstLineChars="0"/>
              <w:jc w:val="center"/>
              <w:rPr>
                <w:rFonts w:cs="Times New Roman"/>
                <w:color w:val="000000"/>
                <w:kern w:val="0"/>
                <w:sz w:val="24"/>
                <w:szCs w:val="24"/>
                <w14:ligatures w14:val="none"/>
              </w:rPr>
            </w:pPr>
            <w:r>
              <w:rPr>
                <w:rFonts w:cs="Times New Roman"/>
                <w:color w:val="000000"/>
                <w:kern w:val="0"/>
                <w:sz w:val="24"/>
                <w:szCs w:val="24"/>
                <w14:ligatures w14:val="none"/>
              </w:rPr>
              <w:t>7</w:t>
            </w:r>
          </w:p>
        </w:tc>
        <w:tc>
          <w:tcPr>
            <w:tcW w:w="4754" w:type="dxa"/>
            <w:tcBorders>
              <w:top w:val="nil"/>
              <w:left w:val="nil"/>
              <w:bottom w:val="single" w:color="auto" w:sz="4" w:space="0"/>
              <w:right w:val="single" w:color="auto" w:sz="4" w:space="0"/>
            </w:tcBorders>
            <w:shd w:val="clear" w:color="auto" w:fill="auto"/>
            <w:noWrap/>
            <w:vAlign w:val="center"/>
          </w:tcPr>
          <w:p>
            <w:pPr>
              <w:widowControl/>
              <w:adjustRightInd w:val="0"/>
              <w:snapToGrid w:val="0"/>
              <w:spacing w:line="240" w:lineRule="auto"/>
              <w:ind w:firstLine="0" w:firstLineChars="0"/>
              <w:jc w:val="center"/>
              <w:rPr>
                <w:rFonts w:cs="Times New Roman"/>
                <w:color w:val="000000"/>
                <w:kern w:val="0"/>
                <w:sz w:val="24"/>
                <w:szCs w:val="24"/>
                <w14:ligatures w14:val="none"/>
              </w:rPr>
            </w:pPr>
            <w:r>
              <w:rPr>
                <w:rFonts w:cs="Times New Roman"/>
                <w:color w:val="000000"/>
                <w:kern w:val="0"/>
                <w:sz w:val="24"/>
                <w:szCs w:val="24"/>
                <w14:ligatures w14:val="none"/>
              </w:rPr>
              <w:t>勘察费</w:t>
            </w:r>
          </w:p>
        </w:tc>
        <w:tc>
          <w:tcPr>
            <w:tcW w:w="2718" w:type="dxa"/>
            <w:tcBorders>
              <w:top w:val="nil"/>
              <w:left w:val="nil"/>
              <w:bottom w:val="single" w:color="auto" w:sz="4" w:space="0"/>
              <w:right w:val="single" w:color="auto" w:sz="4" w:space="0"/>
            </w:tcBorders>
            <w:shd w:val="clear" w:color="auto" w:fill="auto"/>
            <w:noWrap/>
            <w:vAlign w:val="center"/>
          </w:tcPr>
          <w:p>
            <w:pPr>
              <w:widowControl/>
              <w:adjustRightInd w:val="0"/>
              <w:snapToGrid w:val="0"/>
              <w:spacing w:line="240" w:lineRule="auto"/>
              <w:ind w:firstLine="0" w:firstLineChars="0"/>
              <w:jc w:val="center"/>
              <w:rPr>
                <w:rFonts w:cs="Times New Roman"/>
                <w:color w:val="000000"/>
                <w:kern w:val="0"/>
                <w:sz w:val="24"/>
                <w:szCs w:val="24"/>
                <w14:ligatures w14:val="none"/>
              </w:rPr>
            </w:pPr>
            <w:r>
              <w:rPr>
                <w:rFonts w:cs="Times New Roman"/>
                <w:color w:val="000000"/>
                <w:kern w:val="0"/>
                <w:sz w:val="24"/>
                <w:szCs w:val="24"/>
                <w14:ligatures w14:val="none"/>
              </w:rPr>
              <w:t>1,053,560.48</w:t>
            </w:r>
          </w:p>
        </w:tc>
      </w:tr>
      <w:tr>
        <w:tblPrEx>
          <w:tblCellMar>
            <w:top w:w="0" w:type="dxa"/>
            <w:left w:w="108" w:type="dxa"/>
            <w:bottom w:w="0" w:type="dxa"/>
            <w:right w:w="108" w:type="dxa"/>
          </w:tblCellMar>
        </w:tblPrEx>
        <w:trPr>
          <w:trHeight w:val="624" w:hRule="atLeast"/>
          <w:jc w:val="center"/>
        </w:trPr>
        <w:tc>
          <w:tcPr>
            <w:tcW w:w="1344" w:type="dxa"/>
            <w:tcBorders>
              <w:top w:val="nil"/>
              <w:left w:val="single" w:color="auto" w:sz="4" w:space="0"/>
              <w:bottom w:val="single" w:color="auto" w:sz="4" w:space="0"/>
              <w:right w:val="single" w:color="auto" w:sz="4" w:space="0"/>
            </w:tcBorders>
            <w:shd w:val="clear" w:color="auto" w:fill="auto"/>
            <w:noWrap/>
            <w:vAlign w:val="center"/>
          </w:tcPr>
          <w:p>
            <w:pPr>
              <w:widowControl/>
              <w:adjustRightInd w:val="0"/>
              <w:snapToGrid w:val="0"/>
              <w:spacing w:line="240" w:lineRule="auto"/>
              <w:ind w:firstLine="0" w:firstLineChars="0"/>
              <w:jc w:val="center"/>
              <w:rPr>
                <w:rFonts w:cs="Times New Roman"/>
                <w:color w:val="000000"/>
                <w:kern w:val="0"/>
                <w:sz w:val="24"/>
                <w:szCs w:val="24"/>
                <w14:ligatures w14:val="none"/>
              </w:rPr>
            </w:pPr>
            <w:r>
              <w:rPr>
                <w:rFonts w:cs="Times New Roman"/>
                <w:color w:val="000000"/>
                <w:kern w:val="0"/>
                <w:sz w:val="24"/>
                <w:szCs w:val="24"/>
                <w14:ligatures w14:val="none"/>
              </w:rPr>
              <w:t>8</w:t>
            </w:r>
          </w:p>
        </w:tc>
        <w:tc>
          <w:tcPr>
            <w:tcW w:w="4754" w:type="dxa"/>
            <w:tcBorders>
              <w:top w:val="nil"/>
              <w:left w:val="nil"/>
              <w:bottom w:val="single" w:color="auto" w:sz="4" w:space="0"/>
              <w:right w:val="single" w:color="auto" w:sz="4" w:space="0"/>
            </w:tcBorders>
            <w:shd w:val="clear" w:color="auto" w:fill="auto"/>
            <w:noWrap/>
            <w:vAlign w:val="center"/>
          </w:tcPr>
          <w:p>
            <w:pPr>
              <w:widowControl/>
              <w:adjustRightInd w:val="0"/>
              <w:snapToGrid w:val="0"/>
              <w:spacing w:line="240" w:lineRule="auto"/>
              <w:ind w:firstLine="0" w:firstLineChars="0"/>
              <w:jc w:val="center"/>
              <w:rPr>
                <w:rFonts w:cs="Times New Roman"/>
                <w:color w:val="000000"/>
                <w:kern w:val="0"/>
                <w:sz w:val="24"/>
                <w:szCs w:val="24"/>
                <w14:ligatures w14:val="none"/>
              </w:rPr>
            </w:pPr>
            <w:r>
              <w:rPr>
                <w:rFonts w:cs="Times New Roman"/>
                <w:color w:val="000000"/>
                <w:kern w:val="0"/>
                <w:sz w:val="24"/>
                <w:szCs w:val="24"/>
                <w14:ligatures w14:val="none"/>
              </w:rPr>
              <w:t>造价控制服务费</w:t>
            </w:r>
          </w:p>
        </w:tc>
        <w:tc>
          <w:tcPr>
            <w:tcW w:w="2718" w:type="dxa"/>
            <w:tcBorders>
              <w:top w:val="nil"/>
              <w:left w:val="nil"/>
              <w:bottom w:val="single" w:color="auto" w:sz="4" w:space="0"/>
              <w:right w:val="single" w:color="auto" w:sz="4" w:space="0"/>
            </w:tcBorders>
            <w:shd w:val="clear" w:color="auto" w:fill="auto"/>
            <w:noWrap/>
            <w:vAlign w:val="center"/>
          </w:tcPr>
          <w:p>
            <w:pPr>
              <w:widowControl/>
              <w:adjustRightInd w:val="0"/>
              <w:snapToGrid w:val="0"/>
              <w:spacing w:line="240" w:lineRule="auto"/>
              <w:ind w:firstLine="0" w:firstLineChars="0"/>
              <w:jc w:val="center"/>
              <w:rPr>
                <w:rFonts w:cs="Times New Roman"/>
                <w:color w:val="000000"/>
                <w:kern w:val="0"/>
                <w:sz w:val="24"/>
                <w:szCs w:val="24"/>
                <w14:ligatures w14:val="none"/>
              </w:rPr>
            </w:pPr>
            <w:r>
              <w:rPr>
                <w:rFonts w:cs="Times New Roman"/>
                <w:color w:val="000000"/>
                <w:kern w:val="0"/>
                <w:sz w:val="24"/>
                <w:szCs w:val="24"/>
                <w14:ligatures w14:val="none"/>
              </w:rPr>
              <w:t>494,127.75</w:t>
            </w:r>
          </w:p>
        </w:tc>
      </w:tr>
      <w:tr>
        <w:tblPrEx>
          <w:tblCellMar>
            <w:top w:w="0" w:type="dxa"/>
            <w:left w:w="108" w:type="dxa"/>
            <w:bottom w:w="0" w:type="dxa"/>
            <w:right w:w="108" w:type="dxa"/>
          </w:tblCellMar>
        </w:tblPrEx>
        <w:trPr>
          <w:trHeight w:val="624" w:hRule="atLeast"/>
          <w:jc w:val="center"/>
        </w:trPr>
        <w:tc>
          <w:tcPr>
            <w:tcW w:w="1344" w:type="dxa"/>
            <w:tcBorders>
              <w:top w:val="nil"/>
              <w:left w:val="single" w:color="auto" w:sz="4" w:space="0"/>
              <w:bottom w:val="single" w:color="auto" w:sz="4" w:space="0"/>
              <w:right w:val="single" w:color="auto" w:sz="4" w:space="0"/>
            </w:tcBorders>
            <w:shd w:val="clear" w:color="auto" w:fill="auto"/>
            <w:noWrap/>
            <w:vAlign w:val="center"/>
          </w:tcPr>
          <w:p>
            <w:pPr>
              <w:widowControl/>
              <w:adjustRightInd w:val="0"/>
              <w:snapToGrid w:val="0"/>
              <w:spacing w:line="240" w:lineRule="auto"/>
              <w:ind w:firstLine="0" w:firstLineChars="0"/>
              <w:jc w:val="center"/>
              <w:rPr>
                <w:rFonts w:cs="Times New Roman"/>
                <w:color w:val="000000"/>
                <w:kern w:val="0"/>
                <w:sz w:val="24"/>
                <w:szCs w:val="24"/>
                <w14:ligatures w14:val="none"/>
              </w:rPr>
            </w:pPr>
            <w:r>
              <w:rPr>
                <w:rFonts w:cs="Times New Roman"/>
                <w:color w:val="000000"/>
                <w:kern w:val="0"/>
                <w:sz w:val="24"/>
                <w:szCs w:val="24"/>
                <w14:ligatures w14:val="none"/>
              </w:rPr>
              <w:t>9</w:t>
            </w:r>
          </w:p>
        </w:tc>
        <w:tc>
          <w:tcPr>
            <w:tcW w:w="4754" w:type="dxa"/>
            <w:tcBorders>
              <w:top w:val="nil"/>
              <w:left w:val="nil"/>
              <w:bottom w:val="single" w:color="auto" w:sz="4" w:space="0"/>
              <w:right w:val="single" w:color="auto" w:sz="4" w:space="0"/>
            </w:tcBorders>
            <w:shd w:val="clear" w:color="auto" w:fill="auto"/>
            <w:noWrap/>
            <w:vAlign w:val="center"/>
          </w:tcPr>
          <w:p>
            <w:pPr>
              <w:widowControl/>
              <w:adjustRightInd w:val="0"/>
              <w:snapToGrid w:val="0"/>
              <w:spacing w:line="240" w:lineRule="auto"/>
              <w:ind w:firstLine="0" w:firstLineChars="0"/>
              <w:jc w:val="center"/>
              <w:rPr>
                <w:rFonts w:cs="Times New Roman"/>
                <w:color w:val="000000"/>
                <w:kern w:val="0"/>
                <w:sz w:val="24"/>
                <w:szCs w:val="24"/>
                <w14:ligatures w14:val="none"/>
              </w:rPr>
            </w:pPr>
            <w:r>
              <w:rPr>
                <w:rFonts w:cs="Times New Roman"/>
                <w:color w:val="000000"/>
                <w:kern w:val="0"/>
                <w:sz w:val="24"/>
                <w:szCs w:val="24"/>
                <w14:ligatures w14:val="none"/>
              </w:rPr>
              <w:t>监理费</w:t>
            </w:r>
          </w:p>
        </w:tc>
        <w:tc>
          <w:tcPr>
            <w:tcW w:w="2718" w:type="dxa"/>
            <w:tcBorders>
              <w:top w:val="nil"/>
              <w:left w:val="nil"/>
              <w:bottom w:val="single" w:color="auto" w:sz="4" w:space="0"/>
              <w:right w:val="single" w:color="auto" w:sz="4" w:space="0"/>
            </w:tcBorders>
            <w:shd w:val="clear" w:color="auto" w:fill="auto"/>
            <w:noWrap/>
            <w:vAlign w:val="center"/>
          </w:tcPr>
          <w:p>
            <w:pPr>
              <w:widowControl/>
              <w:adjustRightInd w:val="0"/>
              <w:snapToGrid w:val="0"/>
              <w:spacing w:line="240" w:lineRule="auto"/>
              <w:ind w:firstLine="0" w:firstLineChars="0"/>
              <w:jc w:val="center"/>
              <w:rPr>
                <w:rFonts w:cs="Times New Roman"/>
                <w:color w:val="000000"/>
                <w:kern w:val="0"/>
                <w:sz w:val="24"/>
                <w:szCs w:val="24"/>
                <w14:ligatures w14:val="none"/>
              </w:rPr>
            </w:pPr>
            <w:r>
              <w:rPr>
                <w:rFonts w:cs="Times New Roman"/>
                <w:color w:val="000000"/>
                <w:kern w:val="0"/>
                <w:sz w:val="24"/>
                <w:szCs w:val="24"/>
                <w14:ligatures w14:val="none"/>
              </w:rPr>
              <w:t>2,800,057.26</w:t>
            </w:r>
          </w:p>
        </w:tc>
      </w:tr>
      <w:tr>
        <w:tblPrEx>
          <w:tblCellMar>
            <w:top w:w="0" w:type="dxa"/>
            <w:left w:w="108" w:type="dxa"/>
            <w:bottom w:w="0" w:type="dxa"/>
            <w:right w:w="108" w:type="dxa"/>
          </w:tblCellMar>
        </w:tblPrEx>
        <w:trPr>
          <w:trHeight w:val="624" w:hRule="atLeast"/>
          <w:jc w:val="center"/>
        </w:trPr>
        <w:tc>
          <w:tcPr>
            <w:tcW w:w="1344" w:type="dxa"/>
            <w:tcBorders>
              <w:top w:val="nil"/>
              <w:left w:val="single" w:color="auto" w:sz="4" w:space="0"/>
              <w:bottom w:val="single" w:color="auto" w:sz="4" w:space="0"/>
              <w:right w:val="single" w:color="auto" w:sz="4" w:space="0"/>
            </w:tcBorders>
            <w:shd w:val="clear" w:color="auto" w:fill="auto"/>
            <w:noWrap/>
            <w:vAlign w:val="center"/>
          </w:tcPr>
          <w:p>
            <w:pPr>
              <w:widowControl/>
              <w:adjustRightInd w:val="0"/>
              <w:snapToGrid w:val="0"/>
              <w:spacing w:line="240" w:lineRule="auto"/>
              <w:ind w:firstLine="0" w:firstLineChars="0"/>
              <w:jc w:val="center"/>
              <w:rPr>
                <w:rFonts w:cs="Times New Roman"/>
                <w:color w:val="000000"/>
                <w:kern w:val="0"/>
                <w:sz w:val="24"/>
                <w:szCs w:val="24"/>
                <w14:ligatures w14:val="none"/>
              </w:rPr>
            </w:pPr>
            <w:r>
              <w:rPr>
                <w:rFonts w:cs="Times New Roman"/>
                <w:color w:val="000000"/>
                <w:kern w:val="0"/>
                <w:sz w:val="24"/>
                <w:szCs w:val="24"/>
                <w14:ligatures w14:val="none"/>
              </w:rPr>
              <w:t>10</w:t>
            </w:r>
          </w:p>
        </w:tc>
        <w:tc>
          <w:tcPr>
            <w:tcW w:w="4754" w:type="dxa"/>
            <w:tcBorders>
              <w:top w:val="nil"/>
              <w:left w:val="nil"/>
              <w:bottom w:val="single" w:color="auto" w:sz="4" w:space="0"/>
              <w:right w:val="single" w:color="auto" w:sz="4" w:space="0"/>
            </w:tcBorders>
            <w:shd w:val="clear" w:color="auto" w:fill="auto"/>
            <w:noWrap/>
            <w:vAlign w:val="center"/>
          </w:tcPr>
          <w:p>
            <w:pPr>
              <w:widowControl/>
              <w:adjustRightInd w:val="0"/>
              <w:snapToGrid w:val="0"/>
              <w:spacing w:line="240" w:lineRule="auto"/>
              <w:ind w:firstLine="0" w:firstLineChars="0"/>
              <w:jc w:val="center"/>
              <w:rPr>
                <w:rFonts w:cs="Times New Roman"/>
                <w:color w:val="000000"/>
                <w:kern w:val="0"/>
                <w:sz w:val="24"/>
                <w:szCs w:val="24"/>
                <w14:ligatures w14:val="none"/>
              </w:rPr>
            </w:pPr>
            <w:r>
              <w:rPr>
                <w:rFonts w:cs="Times New Roman"/>
                <w:color w:val="000000"/>
                <w:kern w:val="0"/>
                <w:sz w:val="24"/>
                <w:szCs w:val="24"/>
                <w14:ligatures w14:val="none"/>
              </w:rPr>
              <w:t>法律顾问费</w:t>
            </w:r>
          </w:p>
        </w:tc>
        <w:tc>
          <w:tcPr>
            <w:tcW w:w="2718" w:type="dxa"/>
            <w:tcBorders>
              <w:top w:val="nil"/>
              <w:left w:val="nil"/>
              <w:bottom w:val="single" w:color="auto" w:sz="4" w:space="0"/>
              <w:right w:val="single" w:color="auto" w:sz="4" w:space="0"/>
            </w:tcBorders>
            <w:shd w:val="clear" w:color="auto" w:fill="auto"/>
            <w:noWrap/>
            <w:vAlign w:val="center"/>
          </w:tcPr>
          <w:p>
            <w:pPr>
              <w:widowControl/>
              <w:adjustRightInd w:val="0"/>
              <w:snapToGrid w:val="0"/>
              <w:spacing w:line="240" w:lineRule="auto"/>
              <w:ind w:firstLine="0" w:firstLineChars="0"/>
              <w:jc w:val="center"/>
              <w:rPr>
                <w:rFonts w:cs="Times New Roman"/>
                <w:color w:val="000000"/>
                <w:kern w:val="0"/>
                <w:sz w:val="24"/>
                <w:szCs w:val="24"/>
                <w14:ligatures w14:val="none"/>
              </w:rPr>
            </w:pPr>
            <w:r>
              <w:rPr>
                <w:rFonts w:cs="Times New Roman"/>
                <w:color w:val="000000"/>
                <w:kern w:val="0"/>
                <w:sz w:val="24"/>
                <w:szCs w:val="24"/>
                <w14:ligatures w14:val="none"/>
              </w:rPr>
              <w:t>10,000.00</w:t>
            </w:r>
          </w:p>
        </w:tc>
      </w:tr>
      <w:tr>
        <w:tblPrEx>
          <w:tblCellMar>
            <w:top w:w="0" w:type="dxa"/>
            <w:left w:w="108" w:type="dxa"/>
            <w:bottom w:w="0" w:type="dxa"/>
            <w:right w:w="108" w:type="dxa"/>
          </w:tblCellMar>
        </w:tblPrEx>
        <w:trPr>
          <w:trHeight w:val="624" w:hRule="atLeast"/>
          <w:jc w:val="center"/>
        </w:trPr>
        <w:tc>
          <w:tcPr>
            <w:tcW w:w="1344" w:type="dxa"/>
            <w:tcBorders>
              <w:top w:val="nil"/>
              <w:left w:val="single" w:color="auto" w:sz="4" w:space="0"/>
              <w:bottom w:val="single" w:color="auto" w:sz="4" w:space="0"/>
              <w:right w:val="single" w:color="auto" w:sz="4" w:space="0"/>
            </w:tcBorders>
            <w:shd w:val="clear" w:color="auto" w:fill="auto"/>
            <w:noWrap/>
            <w:vAlign w:val="center"/>
          </w:tcPr>
          <w:p>
            <w:pPr>
              <w:widowControl/>
              <w:adjustRightInd w:val="0"/>
              <w:snapToGrid w:val="0"/>
              <w:spacing w:line="240" w:lineRule="auto"/>
              <w:ind w:firstLine="0" w:firstLineChars="0"/>
              <w:jc w:val="center"/>
              <w:rPr>
                <w:rFonts w:cs="Times New Roman"/>
                <w:color w:val="000000"/>
                <w:kern w:val="0"/>
                <w:sz w:val="24"/>
                <w:szCs w:val="24"/>
                <w14:ligatures w14:val="none"/>
              </w:rPr>
            </w:pPr>
            <w:r>
              <w:rPr>
                <w:rFonts w:cs="Times New Roman"/>
                <w:color w:val="000000"/>
                <w:kern w:val="0"/>
                <w:sz w:val="24"/>
                <w:szCs w:val="24"/>
                <w14:ligatures w14:val="none"/>
              </w:rPr>
              <w:t>11</w:t>
            </w:r>
          </w:p>
        </w:tc>
        <w:tc>
          <w:tcPr>
            <w:tcW w:w="4754" w:type="dxa"/>
            <w:tcBorders>
              <w:top w:val="nil"/>
              <w:left w:val="nil"/>
              <w:bottom w:val="single" w:color="auto" w:sz="4" w:space="0"/>
              <w:right w:val="single" w:color="auto" w:sz="4" w:space="0"/>
            </w:tcBorders>
            <w:shd w:val="clear" w:color="auto" w:fill="auto"/>
            <w:noWrap/>
            <w:vAlign w:val="center"/>
          </w:tcPr>
          <w:p>
            <w:pPr>
              <w:widowControl/>
              <w:adjustRightInd w:val="0"/>
              <w:snapToGrid w:val="0"/>
              <w:spacing w:line="240" w:lineRule="auto"/>
              <w:ind w:firstLine="0" w:firstLineChars="0"/>
              <w:jc w:val="center"/>
              <w:rPr>
                <w:rFonts w:cs="Times New Roman"/>
                <w:color w:val="000000"/>
                <w:kern w:val="0"/>
                <w:sz w:val="24"/>
                <w:szCs w:val="24"/>
                <w14:ligatures w14:val="none"/>
              </w:rPr>
            </w:pPr>
            <w:r>
              <w:rPr>
                <w:rFonts w:cs="Times New Roman"/>
                <w:color w:val="000000"/>
                <w:kern w:val="0"/>
                <w:sz w:val="24"/>
                <w:szCs w:val="24"/>
                <w14:ligatures w14:val="none"/>
              </w:rPr>
              <w:t>可靠性电费</w:t>
            </w:r>
          </w:p>
        </w:tc>
        <w:tc>
          <w:tcPr>
            <w:tcW w:w="2718" w:type="dxa"/>
            <w:tcBorders>
              <w:top w:val="nil"/>
              <w:left w:val="nil"/>
              <w:bottom w:val="single" w:color="auto" w:sz="4" w:space="0"/>
              <w:right w:val="single" w:color="auto" w:sz="4" w:space="0"/>
            </w:tcBorders>
            <w:shd w:val="clear" w:color="auto" w:fill="auto"/>
            <w:noWrap/>
            <w:vAlign w:val="center"/>
          </w:tcPr>
          <w:p>
            <w:pPr>
              <w:widowControl/>
              <w:adjustRightInd w:val="0"/>
              <w:snapToGrid w:val="0"/>
              <w:spacing w:line="240" w:lineRule="auto"/>
              <w:ind w:firstLine="0" w:firstLineChars="0"/>
              <w:jc w:val="center"/>
              <w:rPr>
                <w:rFonts w:cs="Times New Roman"/>
                <w:color w:val="000000"/>
                <w:kern w:val="0"/>
                <w:sz w:val="24"/>
                <w:szCs w:val="24"/>
                <w14:ligatures w14:val="none"/>
              </w:rPr>
            </w:pPr>
            <w:r>
              <w:rPr>
                <w:rFonts w:cs="Times New Roman"/>
                <w:color w:val="000000"/>
                <w:kern w:val="0"/>
                <w:sz w:val="24"/>
                <w:szCs w:val="24"/>
                <w14:ligatures w14:val="none"/>
              </w:rPr>
              <w:t>756,000.00</w:t>
            </w:r>
          </w:p>
        </w:tc>
      </w:tr>
      <w:tr>
        <w:tblPrEx>
          <w:tblCellMar>
            <w:top w:w="0" w:type="dxa"/>
            <w:left w:w="108" w:type="dxa"/>
            <w:bottom w:w="0" w:type="dxa"/>
            <w:right w:w="108" w:type="dxa"/>
          </w:tblCellMar>
        </w:tblPrEx>
        <w:trPr>
          <w:trHeight w:val="624" w:hRule="atLeast"/>
          <w:jc w:val="center"/>
        </w:trPr>
        <w:tc>
          <w:tcPr>
            <w:tcW w:w="1344" w:type="dxa"/>
            <w:tcBorders>
              <w:top w:val="nil"/>
              <w:left w:val="single" w:color="auto" w:sz="4" w:space="0"/>
              <w:bottom w:val="single" w:color="auto" w:sz="4" w:space="0"/>
              <w:right w:val="single" w:color="auto" w:sz="4" w:space="0"/>
            </w:tcBorders>
            <w:shd w:val="clear" w:color="auto" w:fill="auto"/>
            <w:noWrap/>
            <w:vAlign w:val="center"/>
          </w:tcPr>
          <w:p>
            <w:pPr>
              <w:widowControl/>
              <w:adjustRightInd w:val="0"/>
              <w:snapToGrid w:val="0"/>
              <w:spacing w:line="240" w:lineRule="auto"/>
              <w:ind w:firstLine="0" w:firstLineChars="0"/>
              <w:jc w:val="center"/>
              <w:rPr>
                <w:rFonts w:cs="Times New Roman"/>
                <w:color w:val="000000"/>
                <w:kern w:val="0"/>
                <w:sz w:val="24"/>
                <w:szCs w:val="24"/>
                <w14:ligatures w14:val="none"/>
              </w:rPr>
            </w:pPr>
            <w:r>
              <w:rPr>
                <w:rFonts w:cs="Times New Roman"/>
                <w:color w:val="000000"/>
                <w:kern w:val="0"/>
                <w:sz w:val="24"/>
                <w:szCs w:val="24"/>
                <w14:ligatures w14:val="none"/>
              </w:rPr>
              <w:t>12</w:t>
            </w:r>
          </w:p>
        </w:tc>
        <w:tc>
          <w:tcPr>
            <w:tcW w:w="4754" w:type="dxa"/>
            <w:tcBorders>
              <w:top w:val="nil"/>
              <w:left w:val="nil"/>
              <w:bottom w:val="single" w:color="auto" w:sz="4" w:space="0"/>
              <w:right w:val="single" w:color="auto" w:sz="4" w:space="0"/>
            </w:tcBorders>
            <w:shd w:val="clear" w:color="auto" w:fill="auto"/>
            <w:noWrap/>
            <w:vAlign w:val="center"/>
          </w:tcPr>
          <w:p>
            <w:pPr>
              <w:widowControl/>
              <w:adjustRightInd w:val="0"/>
              <w:snapToGrid w:val="0"/>
              <w:spacing w:line="240" w:lineRule="auto"/>
              <w:ind w:firstLine="0" w:firstLineChars="0"/>
              <w:jc w:val="center"/>
              <w:rPr>
                <w:rFonts w:cs="Times New Roman"/>
                <w:color w:val="000000"/>
                <w:kern w:val="0"/>
                <w:sz w:val="24"/>
                <w:szCs w:val="24"/>
                <w14:ligatures w14:val="none"/>
              </w:rPr>
            </w:pPr>
            <w:r>
              <w:rPr>
                <w:rFonts w:cs="Times New Roman"/>
                <w:color w:val="000000"/>
                <w:kern w:val="0"/>
                <w:sz w:val="24"/>
                <w:szCs w:val="24"/>
                <w14:ligatures w14:val="none"/>
              </w:rPr>
              <w:t>教学设施设备费</w:t>
            </w:r>
          </w:p>
        </w:tc>
        <w:tc>
          <w:tcPr>
            <w:tcW w:w="2718" w:type="dxa"/>
            <w:tcBorders>
              <w:top w:val="nil"/>
              <w:left w:val="nil"/>
              <w:bottom w:val="single" w:color="auto" w:sz="4" w:space="0"/>
              <w:right w:val="single" w:color="auto" w:sz="4" w:space="0"/>
            </w:tcBorders>
            <w:shd w:val="clear" w:color="auto" w:fill="auto"/>
            <w:noWrap/>
            <w:vAlign w:val="center"/>
          </w:tcPr>
          <w:p>
            <w:pPr>
              <w:widowControl/>
              <w:adjustRightInd w:val="0"/>
              <w:snapToGrid w:val="0"/>
              <w:spacing w:line="240" w:lineRule="auto"/>
              <w:ind w:firstLine="0" w:firstLineChars="0"/>
              <w:jc w:val="center"/>
              <w:rPr>
                <w:rFonts w:cs="Times New Roman"/>
                <w:color w:val="000000"/>
                <w:kern w:val="0"/>
                <w:sz w:val="24"/>
                <w:szCs w:val="24"/>
                <w14:ligatures w14:val="none"/>
              </w:rPr>
            </w:pPr>
            <w:r>
              <w:rPr>
                <w:rFonts w:cs="Times New Roman"/>
                <w:color w:val="000000"/>
                <w:kern w:val="0"/>
                <w:sz w:val="24"/>
                <w:szCs w:val="24"/>
                <w14:ligatures w14:val="none"/>
              </w:rPr>
              <w:t>8,036,446.98</w:t>
            </w:r>
          </w:p>
        </w:tc>
      </w:tr>
      <w:tr>
        <w:tblPrEx>
          <w:tblCellMar>
            <w:top w:w="0" w:type="dxa"/>
            <w:left w:w="108" w:type="dxa"/>
            <w:bottom w:w="0" w:type="dxa"/>
            <w:right w:w="108" w:type="dxa"/>
          </w:tblCellMar>
        </w:tblPrEx>
        <w:trPr>
          <w:trHeight w:val="624" w:hRule="atLeast"/>
          <w:jc w:val="center"/>
        </w:trPr>
        <w:tc>
          <w:tcPr>
            <w:tcW w:w="1344" w:type="dxa"/>
            <w:tcBorders>
              <w:top w:val="nil"/>
              <w:left w:val="single" w:color="auto" w:sz="4" w:space="0"/>
              <w:bottom w:val="single" w:color="auto" w:sz="4" w:space="0"/>
              <w:right w:val="single" w:color="auto" w:sz="4" w:space="0"/>
            </w:tcBorders>
            <w:shd w:val="clear" w:color="auto" w:fill="auto"/>
            <w:noWrap/>
            <w:vAlign w:val="center"/>
          </w:tcPr>
          <w:p>
            <w:pPr>
              <w:widowControl/>
              <w:adjustRightInd w:val="0"/>
              <w:snapToGrid w:val="0"/>
              <w:spacing w:line="240" w:lineRule="auto"/>
              <w:ind w:firstLine="0" w:firstLineChars="0"/>
              <w:jc w:val="center"/>
              <w:rPr>
                <w:rFonts w:cs="Times New Roman"/>
                <w:color w:val="000000"/>
                <w:kern w:val="0"/>
                <w:sz w:val="24"/>
                <w:szCs w:val="24"/>
                <w14:ligatures w14:val="none"/>
              </w:rPr>
            </w:pPr>
            <w:r>
              <w:rPr>
                <w:rFonts w:cs="Times New Roman"/>
                <w:color w:val="000000"/>
                <w:kern w:val="0"/>
                <w:sz w:val="24"/>
                <w:szCs w:val="24"/>
                <w14:ligatures w14:val="none"/>
              </w:rPr>
              <w:t>13</w:t>
            </w:r>
          </w:p>
        </w:tc>
        <w:tc>
          <w:tcPr>
            <w:tcW w:w="4754" w:type="dxa"/>
            <w:tcBorders>
              <w:top w:val="nil"/>
              <w:left w:val="nil"/>
              <w:bottom w:val="single" w:color="auto" w:sz="4" w:space="0"/>
              <w:right w:val="single" w:color="auto" w:sz="4" w:space="0"/>
            </w:tcBorders>
            <w:shd w:val="clear" w:color="auto" w:fill="auto"/>
            <w:noWrap/>
            <w:vAlign w:val="center"/>
          </w:tcPr>
          <w:p>
            <w:pPr>
              <w:widowControl/>
              <w:adjustRightInd w:val="0"/>
              <w:snapToGrid w:val="0"/>
              <w:spacing w:line="240" w:lineRule="auto"/>
              <w:ind w:firstLine="0" w:firstLineChars="0"/>
              <w:jc w:val="center"/>
              <w:rPr>
                <w:rFonts w:cs="Times New Roman"/>
                <w:color w:val="000000"/>
                <w:kern w:val="0"/>
                <w:sz w:val="24"/>
                <w:szCs w:val="24"/>
                <w14:ligatures w14:val="none"/>
              </w:rPr>
            </w:pPr>
            <w:r>
              <w:rPr>
                <w:rFonts w:cs="Times New Roman"/>
                <w:color w:val="000000"/>
                <w:kern w:val="0"/>
                <w:sz w:val="24"/>
                <w:szCs w:val="24"/>
                <w14:ligatures w14:val="none"/>
              </w:rPr>
              <w:t>可行性研究编制费</w:t>
            </w:r>
          </w:p>
        </w:tc>
        <w:tc>
          <w:tcPr>
            <w:tcW w:w="2718" w:type="dxa"/>
            <w:tcBorders>
              <w:top w:val="nil"/>
              <w:left w:val="nil"/>
              <w:bottom w:val="single" w:color="auto" w:sz="4" w:space="0"/>
              <w:right w:val="single" w:color="auto" w:sz="4" w:space="0"/>
            </w:tcBorders>
            <w:shd w:val="clear" w:color="auto" w:fill="auto"/>
            <w:noWrap/>
            <w:vAlign w:val="center"/>
          </w:tcPr>
          <w:p>
            <w:pPr>
              <w:widowControl/>
              <w:adjustRightInd w:val="0"/>
              <w:snapToGrid w:val="0"/>
              <w:spacing w:line="240" w:lineRule="auto"/>
              <w:ind w:firstLine="0" w:firstLineChars="0"/>
              <w:jc w:val="center"/>
              <w:rPr>
                <w:rFonts w:cs="Times New Roman"/>
                <w:color w:val="000000"/>
                <w:kern w:val="0"/>
                <w:sz w:val="24"/>
                <w:szCs w:val="24"/>
                <w14:ligatures w14:val="none"/>
              </w:rPr>
            </w:pPr>
            <w:r>
              <w:rPr>
                <w:rFonts w:cs="Times New Roman"/>
                <w:color w:val="000000"/>
                <w:kern w:val="0"/>
                <w:sz w:val="24"/>
                <w:szCs w:val="24"/>
                <w14:ligatures w14:val="none"/>
              </w:rPr>
              <w:t>351,772.80</w:t>
            </w:r>
          </w:p>
        </w:tc>
      </w:tr>
      <w:tr>
        <w:tblPrEx>
          <w:tblCellMar>
            <w:top w:w="0" w:type="dxa"/>
            <w:left w:w="108" w:type="dxa"/>
            <w:bottom w:w="0" w:type="dxa"/>
            <w:right w:w="108" w:type="dxa"/>
          </w:tblCellMar>
        </w:tblPrEx>
        <w:trPr>
          <w:trHeight w:val="624" w:hRule="atLeast"/>
          <w:jc w:val="center"/>
        </w:trPr>
        <w:tc>
          <w:tcPr>
            <w:tcW w:w="1344" w:type="dxa"/>
            <w:tcBorders>
              <w:top w:val="nil"/>
              <w:left w:val="single" w:color="auto" w:sz="4" w:space="0"/>
              <w:bottom w:val="single" w:color="auto" w:sz="4" w:space="0"/>
              <w:right w:val="single" w:color="auto" w:sz="4" w:space="0"/>
            </w:tcBorders>
            <w:shd w:val="clear" w:color="auto" w:fill="auto"/>
            <w:noWrap/>
            <w:vAlign w:val="center"/>
          </w:tcPr>
          <w:p>
            <w:pPr>
              <w:widowControl/>
              <w:adjustRightInd w:val="0"/>
              <w:snapToGrid w:val="0"/>
              <w:spacing w:line="240" w:lineRule="auto"/>
              <w:ind w:firstLine="0" w:firstLineChars="0"/>
              <w:jc w:val="center"/>
              <w:rPr>
                <w:rFonts w:cs="Times New Roman"/>
                <w:color w:val="000000"/>
                <w:kern w:val="0"/>
                <w:sz w:val="24"/>
                <w:szCs w:val="24"/>
                <w14:ligatures w14:val="none"/>
              </w:rPr>
            </w:pPr>
            <w:r>
              <w:rPr>
                <w:rFonts w:cs="Times New Roman"/>
                <w:color w:val="000000"/>
                <w:kern w:val="0"/>
                <w:sz w:val="24"/>
                <w:szCs w:val="24"/>
                <w14:ligatures w14:val="none"/>
              </w:rPr>
              <w:t>14</w:t>
            </w:r>
          </w:p>
        </w:tc>
        <w:tc>
          <w:tcPr>
            <w:tcW w:w="4754" w:type="dxa"/>
            <w:tcBorders>
              <w:top w:val="nil"/>
              <w:left w:val="nil"/>
              <w:bottom w:val="single" w:color="auto" w:sz="4" w:space="0"/>
              <w:right w:val="single" w:color="auto" w:sz="4" w:space="0"/>
            </w:tcBorders>
            <w:shd w:val="clear" w:color="auto" w:fill="auto"/>
            <w:noWrap/>
            <w:vAlign w:val="center"/>
          </w:tcPr>
          <w:p>
            <w:pPr>
              <w:widowControl/>
              <w:adjustRightInd w:val="0"/>
              <w:snapToGrid w:val="0"/>
              <w:spacing w:line="240" w:lineRule="auto"/>
              <w:ind w:firstLine="0" w:firstLineChars="0"/>
              <w:jc w:val="center"/>
              <w:rPr>
                <w:rFonts w:cs="Times New Roman"/>
                <w:color w:val="000000"/>
                <w:kern w:val="0"/>
                <w:sz w:val="24"/>
                <w:szCs w:val="24"/>
                <w14:ligatures w14:val="none"/>
              </w:rPr>
            </w:pPr>
            <w:r>
              <w:rPr>
                <w:rFonts w:cs="Times New Roman"/>
                <w:color w:val="000000"/>
                <w:kern w:val="0"/>
                <w:sz w:val="24"/>
                <w:szCs w:val="24"/>
                <w14:ligatures w14:val="none"/>
              </w:rPr>
              <w:t>概算审核费</w:t>
            </w:r>
          </w:p>
        </w:tc>
        <w:tc>
          <w:tcPr>
            <w:tcW w:w="2718" w:type="dxa"/>
            <w:tcBorders>
              <w:top w:val="nil"/>
              <w:left w:val="nil"/>
              <w:bottom w:val="single" w:color="auto" w:sz="4" w:space="0"/>
              <w:right w:val="single" w:color="auto" w:sz="4" w:space="0"/>
            </w:tcBorders>
            <w:shd w:val="clear" w:color="auto" w:fill="auto"/>
            <w:noWrap/>
            <w:vAlign w:val="center"/>
          </w:tcPr>
          <w:p>
            <w:pPr>
              <w:widowControl/>
              <w:adjustRightInd w:val="0"/>
              <w:snapToGrid w:val="0"/>
              <w:spacing w:line="240" w:lineRule="auto"/>
              <w:ind w:firstLine="0" w:firstLineChars="0"/>
              <w:jc w:val="center"/>
              <w:rPr>
                <w:rFonts w:cs="Times New Roman"/>
                <w:color w:val="000000"/>
                <w:kern w:val="0"/>
                <w:sz w:val="24"/>
                <w:szCs w:val="24"/>
                <w14:ligatures w14:val="none"/>
              </w:rPr>
            </w:pPr>
            <w:r>
              <w:rPr>
                <w:rFonts w:cs="Times New Roman"/>
                <w:color w:val="000000"/>
                <w:kern w:val="0"/>
                <w:sz w:val="24"/>
                <w:szCs w:val="24"/>
                <w14:ligatures w14:val="none"/>
              </w:rPr>
              <w:t>500,000.00</w:t>
            </w:r>
          </w:p>
        </w:tc>
      </w:tr>
      <w:tr>
        <w:tblPrEx>
          <w:tblCellMar>
            <w:top w:w="0" w:type="dxa"/>
            <w:left w:w="108" w:type="dxa"/>
            <w:bottom w:w="0" w:type="dxa"/>
            <w:right w:w="108" w:type="dxa"/>
          </w:tblCellMar>
        </w:tblPrEx>
        <w:trPr>
          <w:trHeight w:val="624" w:hRule="atLeast"/>
          <w:jc w:val="center"/>
        </w:trPr>
        <w:tc>
          <w:tcPr>
            <w:tcW w:w="1344" w:type="dxa"/>
            <w:tcBorders>
              <w:top w:val="nil"/>
              <w:left w:val="single" w:color="auto" w:sz="4" w:space="0"/>
              <w:bottom w:val="single" w:color="auto" w:sz="4" w:space="0"/>
              <w:right w:val="single" w:color="auto" w:sz="4" w:space="0"/>
            </w:tcBorders>
            <w:shd w:val="clear" w:color="auto" w:fill="auto"/>
            <w:noWrap/>
            <w:vAlign w:val="center"/>
          </w:tcPr>
          <w:p>
            <w:pPr>
              <w:widowControl/>
              <w:adjustRightInd w:val="0"/>
              <w:snapToGrid w:val="0"/>
              <w:spacing w:line="240" w:lineRule="auto"/>
              <w:ind w:firstLine="0" w:firstLineChars="0"/>
              <w:jc w:val="center"/>
              <w:rPr>
                <w:rFonts w:cs="Times New Roman"/>
                <w:color w:val="000000"/>
                <w:kern w:val="0"/>
                <w:sz w:val="24"/>
                <w:szCs w:val="24"/>
                <w14:ligatures w14:val="none"/>
              </w:rPr>
            </w:pPr>
            <w:r>
              <w:rPr>
                <w:rFonts w:cs="Times New Roman"/>
                <w:color w:val="000000"/>
                <w:kern w:val="0"/>
                <w:sz w:val="24"/>
                <w:szCs w:val="24"/>
                <w14:ligatures w14:val="none"/>
              </w:rPr>
              <w:t>15</w:t>
            </w:r>
          </w:p>
        </w:tc>
        <w:tc>
          <w:tcPr>
            <w:tcW w:w="4754" w:type="dxa"/>
            <w:tcBorders>
              <w:top w:val="nil"/>
              <w:left w:val="nil"/>
              <w:bottom w:val="single" w:color="auto" w:sz="4" w:space="0"/>
              <w:right w:val="single" w:color="auto" w:sz="4" w:space="0"/>
            </w:tcBorders>
            <w:shd w:val="clear" w:color="auto" w:fill="auto"/>
            <w:noWrap/>
            <w:vAlign w:val="center"/>
          </w:tcPr>
          <w:p>
            <w:pPr>
              <w:widowControl/>
              <w:adjustRightInd w:val="0"/>
              <w:snapToGrid w:val="0"/>
              <w:spacing w:line="240" w:lineRule="auto"/>
              <w:ind w:firstLine="0" w:firstLineChars="0"/>
              <w:jc w:val="center"/>
              <w:rPr>
                <w:rFonts w:cs="Times New Roman"/>
                <w:color w:val="000000"/>
                <w:kern w:val="0"/>
                <w:sz w:val="24"/>
                <w:szCs w:val="24"/>
                <w14:ligatures w14:val="none"/>
              </w:rPr>
            </w:pPr>
            <w:r>
              <w:rPr>
                <w:rFonts w:cs="Times New Roman"/>
                <w:color w:val="000000"/>
                <w:kern w:val="0"/>
                <w:sz w:val="24"/>
                <w:szCs w:val="24"/>
                <w14:ligatures w14:val="none"/>
              </w:rPr>
              <w:t>工程量清单编制费</w:t>
            </w:r>
          </w:p>
        </w:tc>
        <w:tc>
          <w:tcPr>
            <w:tcW w:w="2718" w:type="dxa"/>
            <w:tcBorders>
              <w:top w:val="nil"/>
              <w:left w:val="nil"/>
              <w:bottom w:val="single" w:color="auto" w:sz="4" w:space="0"/>
              <w:right w:val="single" w:color="auto" w:sz="4" w:space="0"/>
            </w:tcBorders>
            <w:shd w:val="clear" w:color="auto" w:fill="auto"/>
            <w:noWrap/>
            <w:vAlign w:val="center"/>
          </w:tcPr>
          <w:p>
            <w:pPr>
              <w:widowControl/>
              <w:adjustRightInd w:val="0"/>
              <w:snapToGrid w:val="0"/>
              <w:spacing w:line="240" w:lineRule="auto"/>
              <w:ind w:firstLine="0" w:firstLineChars="0"/>
              <w:jc w:val="center"/>
              <w:rPr>
                <w:rFonts w:cs="Times New Roman"/>
                <w:color w:val="000000"/>
                <w:kern w:val="0"/>
                <w:sz w:val="24"/>
                <w:szCs w:val="24"/>
                <w14:ligatures w14:val="none"/>
              </w:rPr>
            </w:pPr>
            <w:r>
              <w:rPr>
                <w:rFonts w:cs="Times New Roman"/>
                <w:color w:val="000000"/>
                <w:kern w:val="0"/>
                <w:sz w:val="24"/>
                <w:szCs w:val="24"/>
                <w14:ligatures w14:val="none"/>
              </w:rPr>
              <w:t>457,599.40</w:t>
            </w:r>
          </w:p>
        </w:tc>
      </w:tr>
      <w:tr>
        <w:tblPrEx>
          <w:tblCellMar>
            <w:top w:w="0" w:type="dxa"/>
            <w:left w:w="108" w:type="dxa"/>
            <w:bottom w:w="0" w:type="dxa"/>
            <w:right w:w="108" w:type="dxa"/>
          </w:tblCellMar>
        </w:tblPrEx>
        <w:trPr>
          <w:trHeight w:val="624" w:hRule="atLeast"/>
          <w:jc w:val="center"/>
        </w:trPr>
        <w:tc>
          <w:tcPr>
            <w:tcW w:w="1344" w:type="dxa"/>
            <w:tcBorders>
              <w:top w:val="nil"/>
              <w:left w:val="single" w:color="auto" w:sz="4" w:space="0"/>
              <w:bottom w:val="single" w:color="auto" w:sz="4" w:space="0"/>
              <w:right w:val="single" w:color="auto" w:sz="4" w:space="0"/>
            </w:tcBorders>
            <w:shd w:val="clear" w:color="auto" w:fill="auto"/>
            <w:noWrap/>
            <w:vAlign w:val="center"/>
          </w:tcPr>
          <w:p>
            <w:pPr>
              <w:widowControl/>
              <w:adjustRightInd w:val="0"/>
              <w:snapToGrid w:val="0"/>
              <w:spacing w:line="240" w:lineRule="auto"/>
              <w:ind w:firstLine="0" w:firstLineChars="0"/>
              <w:jc w:val="center"/>
              <w:rPr>
                <w:rFonts w:cs="Times New Roman"/>
                <w:color w:val="000000"/>
                <w:kern w:val="0"/>
                <w:sz w:val="24"/>
                <w:szCs w:val="24"/>
                <w14:ligatures w14:val="none"/>
              </w:rPr>
            </w:pPr>
            <w:r>
              <w:rPr>
                <w:rFonts w:cs="Times New Roman"/>
                <w:color w:val="000000"/>
                <w:kern w:val="0"/>
                <w:sz w:val="24"/>
                <w:szCs w:val="24"/>
                <w14:ligatures w14:val="none"/>
              </w:rPr>
              <w:t>16</w:t>
            </w:r>
          </w:p>
        </w:tc>
        <w:tc>
          <w:tcPr>
            <w:tcW w:w="4754" w:type="dxa"/>
            <w:tcBorders>
              <w:top w:val="nil"/>
              <w:left w:val="nil"/>
              <w:bottom w:val="single" w:color="auto" w:sz="4" w:space="0"/>
              <w:right w:val="single" w:color="auto" w:sz="4" w:space="0"/>
            </w:tcBorders>
            <w:shd w:val="clear" w:color="auto" w:fill="auto"/>
            <w:noWrap/>
            <w:vAlign w:val="center"/>
          </w:tcPr>
          <w:p>
            <w:pPr>
              <w:widowControl/>
              <w:adjustRightInd w:val="0"/>
              <w:snapToGrid w:val="0"/>
              <w:spacing w:line="240" w:lineRule="auto"/>
              <w:ind w:firstLine="0" w:firstLineChars="0"/>
              <w:jc w:val="center"/>
              <w:rPr>
                <w:rFonts w:cs="Times New Roman"/>
                <w:color w:val="000000"/>
                <w:kern w:val="0"/>
                <w:sz w:val="24"/>
                <w:szCs w:val="24"/>
                <w14:ligatures w14:val="none"/>
              </w:rPr>
            </w:pPr>
            <w:r>
              <w:rPr>
                <w:rFonts w:cs="Times New Roman"/>
                <w:color w:val="000000"/>
                <w:kern w:val="0"/>
                <w:sz w:val="24"/>
                <w:szCs w:val="24"/>
                <w14:ligatures w14:val="none"/>
              </w:rPr>
              <w:t>白蚁防治服务费</w:t>
            </w:r>
          </w:p>
        </w:tc>
        <w:tc>
          <w:tcPr>
            <w:tcW w:w="2718" w:type="dxa"/>
            <w:tcBorders>
              <w:top w:val="nil"/>
              <w:left w:val="nil"/>
              <w:bottom w:val="single" w:color="auto" w:sz="4" w:space="0"/>
              <w:right w:val="single" w:color="auto" w:sz="4" w:space="0"/>
            </w:tcBorders>
            <w:shd w:val="clear" w:color="auto" w:fill="auto"/>
            <w:noWrap/>
            <w:vAlign w:val="center"/>
          </w:tcPr>
          <w:p>
            <w:pPr>
              <w:widowControl/>
              <w:adjustRightInd w:val="0"/>
              <w:snapToGrid w:val="0"/>
              <w:spacing w:line="240" w:lineRule="auto"/>
              <w:ind w:firstLine="0" w:firstLineChars="0"/>
              <w:jc w:val="center"/>
              <w:rPr>
                <w:rFonts w:cs="Times New Roman"/>
                <w:color w:val="000000"/>
                <w:kern w:val="0"/>
                <w:sz w:val="24"/>
                <w:szCs w:val="24"/>
                <w14:ligatures w14:val="none"/>
              </w:rPr>
            </w:pPr>
            <w:r>
              <w:rPr>
                <w:rFonts w:cs="Times New Roman"/>
                <w:color w:val="000000"/>
                <w:kern w:val="0"/>
                <w:sz w:val="24"/>
                <w:szCs w:val="24"/>
                <w14:ligatures w14:val="none"/>
              </w:rPr>
              <w:t>146,874.96</w:t>
            </w:r>
          </w:p>
        </w:tc>
      </w:tr>
      <w:tr>
        <w:tblPrEx>
          <w:tblCellMar>
            <w:top w:w="0" w:type="dxa"/>
            <w:left w:w="108" w:type="dxa"/>
            <w:bottom w:w="0" w:type="dxa"/>
            <w:right w:w="108" w:type="dxa"/>
          </w:tblCellMar>
        </w:tblPrEx>
        <w:trPr>
          <w:trHeight w:val="624" w:hRule="atLeast"/>
          <w:jc w:val="center"/>
        </w:trPr>
        <w:tc>
          <w:tcPr>
            <w:tcW w:w="1344" w:type="dxa"/>
            <w:tcBorders>
              <w:top w:val="nil"/>
              <w:left w:val="single" w:color="auto" w:sz="4" w:space="0"/>
              <w:bottom w:val="single" w:color="auto" w:sz="4" w:space="0"/>
              <w:right w:val="single" w:color="auto" w:sz="4" w:space="0"/>
            </w:tcBorders>
            <w:shd w:val="clear" w:color="auto" w:fill="auto"/>
            <w:noWrap/>
            <w:vAlign w:val="center"/>
          </w:tcPr>
          <w:p>
            <w:pPr>
              <w:widowControl/>
              <w:adjustRightInd w:val="0"/>
              <w:snapToGrid w:val="0"/>
              <w:spacing w:line="240" w:lineRule="auto"/>
              <w:ind w:firstLine="0" w:firstLineChars="0"/>
              <w:jc w:val="center"/>
              <w:rPr>
                <w:rFonts w:cs="Times New Roman"/>
                <w:color w:val="000000"/>
                <w:kern w:val="0"/>
                <w:sz w:val="24"/>
                <w:szCs w:val="24"/>
                <w14:ligatures w14:val="none"/>
              </w:rPr>
            </w:pPr>
            <w:r>
              <w:rPr>
                <w:rFonts w:cs="Times New Roman"/>
                <w:color w:val="000000"/>
                <w:kern w:val="0"/>
                <w:sz w:val="24"/>
                <w:szCs w:val="24"/>
                <w14:ligatures w14:val="none"/>
              </w:rPr>
              <w:t>17</w:t>
            </w:r>
          </w:p>
        </w:tc>
        <w:tc>
          <w:tcPr>
            <w:tcW w:w="4754" w:type="dxa"/>
            <w:tcBorders>
              <w:top w:val="nil"/>
              <w:left w:val="nil"/>
              <w:bottom w:val="single" w:color="auto" w:sz="4" w:space="0"/>
              <w:right w:val="single" w:color="auto" w:sz="4" w:space="0"/>
            </w:tcBorders>
            <w:shd w:val="clear" w:color="auto" w:fill="auto"/>
            <w:noWrap/>
            <w:vAlign w:val="center"/>
          </w:tcPr>
          <w:p>
            <w:pPr>
              <w:widowControl/>
              <w:adjustRightInd w:val="0"/>
              <w:snapToGrid w:val="0"/>
              <w:spacing w:line="240" w:lineRule="auto"/>
              <w:ind w:firstLine="0" w:firstLineChars="0"/>
              <w:jc w:val="center"/>
              <w:rPr>
                <w:rFonts w:cs="Times New Roman"/>
                <w:color w:val="000000"/>
                <w:kern w:val="0"/>
                <w:sz w:val="24"/>
                <w:szCs w:val="24"/>
                <w14:ligatures w14:val="none"/>
              </w:rPr>
            </w:pPr>
            <w:r>
              <w:rPr>
                <w:rFonts w:cs="Times New Roman"/>
                <w:color w:val="000000"/>
                <w:kern w:val="0"/>
                <w:sz w:val="24"/>
                <w:szCs w:val="24"/>
                <w14:ligatures w14:val="none"/>
              </w:rPr>
              <w:t>招标代理费</w:t>
            </w:r>
          </w:p>
        </w:tc>
        <w:tc>
          <w:tcPr>
            <w:tcW w:w="2718" w:type="dxa"/>
            <w:tcBorders>
              <w:top w:val="nil"/>
              <w:left w:val="nil"/>
              <w:bottom w:val="single" w:color="auto" w:sz="4" w:space="0"/>
              <w:right w:val="single" w:color="auto" w:sz="4" w:space="0"/>
            </w:tcBorders>
            <w:shd w:val="clear" w:color="auto" w:fill="auto"/>
            <w:noWrap/>
            <w:vAlign w:val="center"/>
          </w:tcPr>
          <w:p>
            <w:pPr>
              <w:widowControl/>
              <w:adjustRightInd w:val="0"/>
              <w:snapToGrid w:val="0"/>
              <w:spacing w:line="240" w:lineRule="auto"/>
              <w:ind w:firstLine="0" w:firstLineChars="0"/>
              <w:jc w:val="center"/>
              <w:rPr>
                <w:rFonts w:cs="Times New Roman"/>
                <w:color w:val="000000"/>
                <w:kern w:val="0"/>
                <w:sz w:val="24"/>
                <w:szCs w:val="24"/>
                <w14:ligatures w14:val="none"/>
              </w:rPr>
            </w:pPr>
            <w:r>
              <w:rPr>
                <w:rFonts w:cs="Times New Roman"/>
                <w:color w:val="000000"/>
                <w:kern w:val="0"/>
                <w:sz w:val="24"/>
                <w:szCs w:val="24"/>
                <w14:ligatures w14:val="none"/>
              </w:rPr>
              <w:t>474,978.65</w:t>
            </w:r>
          </w:p>
        </w:tc>
      </w:tr>
      <w:tr>
        <w:tblPrEx>
          <w:tblCellMar>
            <w:top w:w="0" w:type="dxa"/>
            <w:left w:w="108" w:type="dxa"/>
            <w:bottom w:w="0" w:type="dxa"/>
            <w:right w:w="108" w:type="dxa"/>
          </w:tblCellMar>
        </w:tblPrEx>
        <w:trPr>
          <w:trHeight w:val="624" w:hRule="atLeast"/>
          <w:jc w:val="center"/>
        </w:trPr>
        <w:tc>
          <w:tcPr>
            <w:tcW w:w="1344" w:type="dxa"/>
            <w:tcBorders>
              <w:top w:val="nil"/>
              <w:left w:val="single" w:color="auto" w:sz="4" w:space="0"/>
              <w:bottom w:val="single" w:color="auto" w:sz="4" w:space="0"/>
              <w:right w:val="single" w:color="auto" w:sz="4" w:space="0"/>
            </w:tcBorders>
            <w:shd w:val="clear" w:color="auto" w:fill="auto"/>
            <w:noWrap/>
            <w:vAlign w:val="center"/>
          </w:tcPr>
          <w:p>
            <w:pPr>
              <w:widowControl/>
              <w:adjustRightInd w:val="0"/>
              <w:snapToGrid w:val="0"/>
              <w:spacing w:line="240" w:lineRule="auto"/>
              <w:ind w:firstLine="0" w:firstLineChars="0"/>
              <w:jc w:val="center"/>
              <w:rPr>
                <w:rFonts w:cs="Times New Roman"/>
                <w:color w:val="000000"/>
                <w:kern w:val="0"/>
                <w:sz w:val="24"/>
                <w:szCs w:val="24"/>
                <w14:ligatures w14:val="none"/>
              </w:rPr>
            </w:pPr>
            <w:r>
              <w:rPr>
                <w:rFonts w:cs="Times New Roman"/>
                <w:color w:val="000000"/>
                <w:kern w:val="0"/>
                <w:sz w:val="24"/>
                <w:szCs w:val="24"/>
                <w14:ligatures w14:val="none"/>
              </w:rPr>
              <w:t>18</w:t>
            </w:r>
          </w:p>
        </w:tc>
        <w:tc>
          <w:tcPr>
            <w:tcW w:w="4754" w:type="dxa"/>
            <w:tcBorders>
              <w:top w:val="nil"/>
              <w:left w:val="nil"/>
              <w:bottom w:val="single" w:color="auto" w:sz="4" w:space="0"/>
              <w:right w:val="single" w:color="auto" w:sz="4" w:space="0"/>
            </w:tcBorders>
            <w:shd w:val="clear" w:color="auto" w:fill="auto"/>
            <w:noWrap/>
            <w:vAlign w:val="center"/>
          </w:tcPr>
          <w:p>
            <w:pPr>
              <w:widowControl/>
              <w:adjustRightInd w:val="0"/>
              <w:snapToGrid w:val="0"/>
              <w:spacing w:line="240" w:lineRule="auto"/>
              <w:ind w:firstLine="0" w:firstLineChars="0"/>
              <w:jc w:val="center"/>
              <w:rPr>
                <w:rFonts w:cs="Times New Roman"/>
                <w:color w:val="000000"/>
                <w:kern w:val="0"/>
                <w:sz w:val="24"/>
                <w:szCs w:val="24"/>
                <w14:ligatures w14:val="none"/>
              </w:rPr>
            </w:pPr>
            <w:r>
              <w:rPr>
                <w:rFonts w:cs="Times New Roman"/>
                <w:color w:val="000000"/>
                <w:kern w:val="0"/>
                <w:sz w:val="24"/>
                <w:szCs w:val="24"/>
                <w14:ligatures w14:val="none"/>
              </w:rPr>
              <w:t>评估报告编制费</w:t>
            </w:r>
          </w:p>
        </w:tc>
        <w:tc>
          <w:tcPr>
            <w:tcW w:w="2718" w:type="dxa"/>
            <w:tcBorders>
              <w:top w:val="nil"/>
              <w:left w:val="nil"/>
              <w:bottom w:val="single" w:color="auto" w:sz="4" w:space="0"/>
              <w:right w:val="single" w:color="auto" w:sz="4" w:space="0"/>
            </w:tcBorders>
            <w:shd w:val="clear" w:color="auto" w:fill="auto"/>
            <w:noWrap/>
            <w:vAlign w:val="center"/>
          </w:tcPr>
          <w:p>
            <w:pPr>
              <w:widowControl/>
              <w:adjustRightInd w:val="0"/>
              <w:snapToGrid w:val="0"/>
              <w:spacing w:line="240" w:lineRule="auto"/>
              <w:ind w:firstLine="0" w:firstLineChars="0"/>
              <w:jc w:val="center"/>
              <w:rPr>
                <w:rFonts w:cs="Times New Roman"/>
                <w:color w:val="000000"/>
                <w:kern w:val="0"/>
                <w:sz w:val="24"/>
                <w:szCs w:val="24"/>
                <w14:ligatures w14:val="none"/>
              </w:rPr>
            </w:pPr>
            <w:r>
              <w:rPr>
                <w:rFonts w:cs="Times New Roman"/>
                <w:color w:val="000000"/>
                <w:kern w:val="0"/>
                <w:sz w:val="24"/>
                <w:szCs w:val="24"/>
                <w14:ligatures w14:val="none"/>
              </w:rPr>
              <w:t>35,760.00</w:t>
            </w:r>
          </w:p>
        </w:tc>
      </w:tr>
      <w:tr>
        <w:tblPrEx>
          <w:tblCellMar>
            <w:top w:w="0" w:type="dxa"/>
            <w:left w:w="108" w:type="dxa"/>
            <w:bottom w:w="0" w:type="dxa"/>
            <w:right w:w="108" w:type="dxa"/>
          </w:tblCellMar>
        </w:tblPrEx>
        <w:trPr>
          <w:trHeight w:val="624" w:hRule="atLeast"/>
          <w:jc w:val="center"/>
        </w:trPr>
        <w:tc>
          <w:tcPr>
            <w:tcW w:w="1344" w:type="dxa"/>
            <w:tcBorders>
              <w:top w:val="nil"/>
              <w:left w:val="single" w:color="auto" w:sz="4" w:space="0"/>
              <w:bottom w:val="single" w:color="auto" w:sz="4" w:space="0"/>
              <w:right w:val="single" w:color="auto" w:sz="4" w:space="0"/>
            </w:tcBorders>
            <w:shd w:val="clear" w:color="auto" w:fill="auto"/>
            <w:noWrap/>
            <w:vAlign w:val="center"/>
          </w:tcPr>
          <w:p>
            <w:pPr>
              <w:widowControl/>
              <w:adjustRightInd w:val="0"/>
              <w:snapToGrid w:val="0"/>
              <w:spacing w:line="240" w:lineRule="auto"/>
              <w:ind w:firstLine="0" w:firstLineChars="0"/>
              <w:jc w:val="center"/>
              <w:rPr>
                <w:rFonts w:cs="Times New Roman"/>
                <w:color w:val="000000"/>
                <w:kern w:val="0"/>
                <w:sz w:val="24"/>
                <w:szCs w:val="24"/>
                <w14:ligatures w14:val="none"/>
              </w:rPr>
            </w:pPr>
            <w:r>
              <w:rPr>
                <w:rFonts w:cs="Times New Roman"/>
                <w:color w:val="000000"/>
                <w:kern w:val="0"/>
                <w:sz w:val="24"/>
                <w:szCs w:val="24"/>
                <w14:ligatures w14:val="none"/>
              </w:rPr>
              <w:t>19</w:t>
            </w:r>
          </w:p>
        </w:tc>
        <w:tc>
          <w:tcPr>
            <w:tcW w:w="4754" w:type="dxa"/>
            <w:tcBorders>
              <w:top w:val="nil"/>
              <w:left w:val="nil"/>
              <w:bottom w:val="single" w:color="auto" w:sz="4" w:space="0"/>
              <w:right w:val="single" w:color="auto" w:sz="4" w:space="0"/>
            </w:tcBorders>
            <w:shd w:val="clear" w:color="auto" w:fill="auto"/>
            <w:noWrap/>
            <w:vAlign w:val="center"/>
          </w:tcPr>
          <w:p>
            <w:pPr>
              <w:widowControl/>
              <w:adjustRightInd w:val="0"/>
              <w:snapToGrid w:val="0"/>
              <w:spacing w:line="240" w:lineRule="auto"/>
              <w:ind w:firstLine="0" w:firstLineChars="0"/>
              <w:jc w:val="center"/>
              <w:rPr>
                <w:rFonts w:cs="Times New Roman"/>
                <w:color w:val="000000"/>
                <w:kern w:val="0"/>
                <w:sz w:val="24"/>
                <w:szCs w:val="24"/>
                <w14:ligatures w14:val="none"/>
              </w:rPr>
            </w:pPr>
            <w:r>
              <w:rPr>
                <w:rFonts w:cs="Times New Roman"/>
                <w:color w:val="000000"/>
                <w:kern w:val="0"/>
                <w:sz w:val="24"/>
                <w:szCs w:val="24"/>
                <w14:ligatures w14:val="none"/>
              </w:rPr>
              <w:t>树木专章编制费</w:t>
            </w:r>
          </w:p>
        </w:tc>
        <w:tc>
          <w:tcPr>
            <w:tcW w:w="2718" w:type="dxa"/>
            <w:tcBorders>
              <w:top w:val="nil"/>
              <w:left w:val="nil"/>
              <w:bottom w:val="single" w:color="auto" w:sz="4" w:space="0"/>
              <w:right w:val="single" w:color="auto" w:sz="4" w:space="0"/>
            </w:tcBorders>
            <w:shd w:val="clear" w:color="auto" w:fill="auto"/>
            <w:noWrap/>
            <w:vAlign w:val="center"/>
          </w:tcPr>
          <w:p>
            <w:pPr>
              <w:widowControl/>
              <w:adjustRightInd w:val="0"/>
              <w:snapToGrid w:val="0"/>
              <w:spacing w:line="240" w:lineRule="auto"/>
              <w:ind w:firstLine="0" w:firstLineChars="0"/>
              <w:jc w:val="center"/>
              <w:rPr>
                <w:rFonts w:cs="Times New Roman"/>
                <w:color w:val="000000"/>
                <w:kern w:val="0"/>
                <w:sz w:val="24"/>
                <w:szCs w:val="24"/>
                <w14:ligatures w14:val="none"/>
              </w:rPr>
            </w:pPr>
            <w:r>
              <w:rPr>
                <w:rFonts w:cs="Times New Roman"/>
                <w:color w:val="000000"/>
                <w:kern w:val="0"/>
                <w:sz w:val="24"/>
                <w:szCs w:val="24"/>
                <w14:ligatures w14:val="none"/>
              </w:rPr>
              <w:t>68,870.00</w:t>
            </w:r>
          </w:p>
        </w:tc>
      </w:tr>
      <w:tr>
        <w:tblPrEx>
          <w:tblCellMar>
            <w:top w:w="0" w:type="dxa"/>
            <w:left w:w="108" w:type="dxa"/>
            <w:bottom w:w="0" w:type="dxa"/>
            <w:right w:w="108" w:type="dxa"/>
          </w:tblCellMar>
        </w:tblPrEx>
        <w:trPr>
          <w:trHeight w:val="624" w:hRule="atLeast"/>
          <w:jc w:val="center"/>
        </w:trPr>
        <w:tc>
          <w:tcPr>
            <w:tcW w:w="1344" w:type="dxa"/>
            <w:tcBorders>
              <w:top w:val="nil"/>
              <w:left w:val="single" w:color="auto" w:sz="4" w:space="0"/>
              <w:bottom w:val="single" w:color="auto" w:sz="4" w:space="0"/>
              <w:right w:val="single" w:color="auto" w:sz="4" w:space="0"/>
            </w:tcBorders>
            <w:shd w:val="clear" w:color="auto" w:fill="auto"/>
            <w:noWrap/>
            <w:vAlign w:val="center"/>
          </w:tcPr>
          <w:p>
            <w:pPr>
              <w:widowControl/>
              <w:adjustRightInd w:val="0"/>
              <w:snapToGrid w:val="0"/>
              <w:spacing w:line="240" w:lineRule="auto"/>
              <w:ind w:firstLine="0" w:firstLineChars="0"/>
              <w:jc w:val="center"/>
              <w:rPr>
                <w:rFonts w:cs="Times New Roman"/>
                <w:color w:val="000000"/>
                <w:kern w:val="0"/>
                <w:sz w:val="24"/>
                <w:szCs w:val="24"/>
                <w14:ligatures w14:val="none"/>
              </w:rPr>
            </w:pPr>
            <w:r>
              <w:rPr>
                <w:rFonts w:cs="Times New Roman"/>
                <w:color w:val="000000"/>
                <w:kern w:val="0"/>
                <w:sz w:val="24"/>
                <w:szCs w:val="24"/>
                <w14:ligatures w14:val="none"/>
              </w:rPr>
              <w:t>20</w:t>
            </w:r>
          </w:p>
        </w:tc>
        <w:tc>
          <w:tcPr>
            <w:tcW w:w="4754" w:type="dxa"/>
            <w:tcBorders>
              <w:top w:val="nil"/>
              <w:left w:val="nil"/>
              <w:bottom w:val="single" w:color="auto" w:sz="4" w:space="0"/>
              <w:right w:val="single" w:color="auto" w:sz="4" w:space="0"/>
            </w:tcBorders>
            <w:shd w:val="clear" w:color="auto" w:fill="auto"/>
            <w:noWrap/>
            <w:vAlign w:val="center"/>
          </w:tcPr>
          <w:p>
            <w:pPr>
              <w:widowControl/>
              <w:adjustRightInd w:val="0"/>
              <w:snapToGrid w:val="0"/>
              <w:spacing w:line="240" w:lineRule="auto"/>
              <w:ind w:firstLine="0" w:firstLineChars="0"/>
              <w:jc w:val="center"/>
              <w:rPr>
                <w:rFonts w:cs="Times New Roman"/>
                <w:color w:val="000000"/>
                <w:kern w:val="0"/>
                <w:sz w:val="24"/>
                <w:szCs w:val="24"/>
                <w14:ligatures w14:val="none"/>
              </w:rPr>
            </w:pPr>
            <w:r>
              <w:rPr>
                <w:rFonts w:cs="Times New Roman"/>
                <w:color w:val="000000"/>
                <w:kern w:val="0"/>
                <w:sz w:val="24"/>
                <w:szCs w:val="24"/>
                <w14:ligatures w14:val="none"/>
              </w:rPr>
              <w:t>施工图审查服务费</w:t>
            </w:r>
          </w:p>
        </w:tc>
        <w:tc>
          <w:tcPr>
            <w:tcW w:w="2718" w:type="dxa"/>
            <w:tcBorders>
              <w:top w:val="nil"/>
              <w:left w:val="nil"/>
              <w:bottom w:val="single" w:color="auto" w:sz="4" w:space="0"/>
              <w:right w:val="single" w:color="auto" w:sz="4" w:space="0"/>
            </w:tcBorders>
            <w:shd w:val="clear" w:color="auto" w:fill="auto"/>
            <w:noWrap/>
            <w:vAlign w:val="center"/>
          </w:tcPr>
          <w:p>
            <w:pPr>
              <w:widowControl/>
              <w:adjustRightInd w:val="0"/>
              <w:snapToGrid w:val="0"/>
              <w:spacing w:line="240" w:lineRule="auto"/>
              <w:ind w:firstLine="0" w:firstLineChars="0"/>
              <w:jc w:val="center"/>
              <w:rPr>
                <w:rFonts w:cs="Times New Roman"/>
                <w:color w:val="000000"/>
                <w:kern w:val="0"/>
                <w:sz w:val="24"/>
                <w:szCs w:val="24"/>
                <w14:ligatures w14:val="none"/>
              </w:rPr>
            </w:pPr>
            <w:r>
              <w:rPr>
                <w:rFonts w:cs="Times New Roman"/>
                <w:color w:val="000000"/>
                <w:kern w:val="0"/>
                <w:sz w:val="24"/>
                <w:szCs w:val="24"/>
                <w14:ligatures w14:val="none"/>
              </w:rPr>
              <w:t>333,254.25</w:t>
            </w:r>
          </w:p>
        </w:tc>
      </w:tr>
      <w:tr>
        <w:tblPrEx>
          <w:tblCellMar>
            <w:top w:w="0" w:type="dxa"/>
            <w:left w:w="108" w:type="dxa"/>
            <w:bottom w:w="0" w:type="dxa"/>
            <w:right w:w="108" w:type="dxa"/>
          </w:tblCellMar>
        </w:tblPrEx>
        <w:trPr>
          <w:trHeight w:val="624" w:hRule="atLeast"/>
          <w:jc w:val="center"/>
        </w:trPr>
        <w:tc>
          <w:tcPr>
            <w:tcW w:w="1344" w:type="dxa"/>
            <w:tcBorders>
              <w:top w:val="nil"/>
              <w:left w:val="single" w:color="auto" w:sz="4" w:space="0"/>
              <w:bottom w:val="single" w:color="auto" w:sz="4" w:space="0"/>
              <w:right w:val="single" w:color="auto" w:sz="4" w:space="0"/>
            </w:tcBorders>
            <w:shd w:val="clear" w:color="auto" w:fill="auto"/>
            <w:noWrap/>
            <w:vAlign w:val="center"/>
          </w:tcPr>
          <w:p>
            <w:pPr>
              <w:widowControl/>
              <w:adjustRightInd w:val="0"/>
              <w:snapToGrid w:val="0"/>
              <w:spacing w:line="240" w:lineRule="auto"/>
              <w:ind w:firstLine="0" w:firstLineChars="0"/>
              <w:jc w:val="center"/>
              <w:rPr>
                <w:rFonts w:cs="Times New Roman"/>
                <w:color w:val="000000"/>
                <w:kern w:val="0"/>
                <w:sz w:val="24"/>
                <w:szCs w:val="24"/>
                <w14:ligatures w14:val="none"/>
              </w:rPr>
            </w:pPr>
            <w:r>
              <w:rPr>
                <w:rFonts w:cs="Times New Roman"/>
                <w:color w:val="000000"/>
                <w:kern w:val="0"/>
                <w:sz w:val="24"/>
                <w:szCs w:val="24"/>
                <w14:ligatures w14:val="none"/>
              </w:rPr>
              <w:t>21</w:t>
            </w:r>
          </w:p>
        </w:tc>
        <w:tc>
          <w:tcPr>
            <w:tcW w:w="4754" w:type="dxa"/>
            <w:tcBorders>
              <w:top w:val="nil"/>
              <w:left w:val="nil"/>
              <w:bottom w:val="single" w:color="auto" w:sz="4" w:space="0"/>
              <w:right w:val="single" w:color="auto" w:sz="4" w:space="0"/>
            </w:tcBorders>
            <w:shd w:val="clear" w:color="auto" w:fill="auto"/>
            <w:noWrap/>
            <w:vAlign w:val="center"/>
          </w:tcPr>
          <w:p>
            <w:pPr>
              <w:widowControl/>
              <w:adjustRightInd w:val="0"/>
              <w:snapToGrid w:val="0"/>
              <w:spacing w:line="240" w:lineRule="auto"/>
              <w:ind w:firstLine="0" w:firstLineChars="0"/>
              <w:jc w:val="center"/>
              <w:rPr>
                <w:rFonts w:cs="Times New Roman"/>
                <w:color w:val="000000"/>
                <w:kern w:val="0"/>
                <w:sz w:val="24"/>
                <w:szCs w:val="24"/>
                <w14:ligatures w14:val="none"/>
              </w:rPr>
            </w:pPr>
            <w:r>
              <w:rPr>
                <w:rFonts w:cs="Times New Roman"/>
                <w:color w:val="000000"/>
                <w:kern w:val="0"/>
                <w:sz w:val="24"/>
                <w:szCs w:val="24"/>
                <w14:ligatures w14:val="none"/>
              </w:rPr>
              <w:t>洪涝安全评估编制服务费</w:t>
            </w:r>
          </w:p>
        </w:tc>
        <w:tc>
          <w:tcPr>
            <w:tcW w:w="2718" w:type="dxa"/>
            <w:tcBorders>
              <w:top w:val="nil"/>
              <w:left w:val="nil"/>
              <w:bottom w:val="single" w:color="auto" w:sz="4" w:space="0"/>
              <w:right w:val="single" w:color="auto" w:sz="4" w:space="0"/>
            </w:tcBorders>
            <w:shd w:val="clear" w:color="auto" w:fill="auto"/>
            <w:noWrap/>
            <w:vAlign w:val="center"/>
          </w:tcPr>
          <w:p>
            <w:pPr>
              <w:widowControl/>
              <w:adjustRightInd w:val="0"/>
              <w:snapToGrid w:val="0"/>
              <w:spacing w:line="240" w:lineRule="auto"/>
              <w:ind w:firstLine="0" w:firstLineChars="0"/>
              <w:jc w:val="center"/>
              <w:rPr>
                <w:rFonts w:cs="Times New Roman"/>
                <w:color w:val="000000"/>
                <w:kern w:val="0"/>
                <w:sz w:val="24"/>
                <w:szCs w:val="24"/>
                <w14:ligatures w14:val="none"/>
              </w:rPr>
            </w:pPr>
            <w:r>
              <w:rPr>
                <w:rFonts w:cs="Times New Roman"/>
                <w:color w:val="000000"/>
                <w:kern w:val="0"/>
                <w:sz w:val="24"/>
                <w:szCs w:val="24"/>
                <w14:ligatures w14:val="none"/>
              </w:rPr>
              <w:t>110,000.00</w:t>
            </w:r>
          </w:p>
        </w:tc>
      </w:tr>
      <w:tr>
        <w:tblPrEx>
          <w:tblCellMar>
            <w:top w:w="0" w:type="dxa"/>
            <w:left w:w="108" w:type="dxa"/>
            <w:bottom w:w="0" w:type="dxa"/>
            <w:right w:w="108" w:type="dxa"/>
          </w:tblCellMar>
        </w:tblPrEx>
        <w:trPr>
          <w:trHeight w:val="624" w:hRule="atLeast"/>
          <w:jc w:val="center"/>
        </w:trPr>
        <w:tc>
          <w:tcPr>
            <w:tcW w:w="1344" w:type="dxa"/>
            <w:tcBorders>
              <w:top w:val="nil"/>
              <w:left w:val="single" w:color="auto" w:sz="4" w:space="0"/>
              <w:bottom w:val="single" w:color="auto" w:sz="4" w:space="0"/>
              <w:right w:val="single" w:color="auto" w:sz="4" w:space="0"/>
            </w:tcBorders>
            <w:shd w:val="clear" w:color="auto" w:fill="auto"/>
            <w:noWrap/>
            <w:vAlign w:val="center"/>
          </w:tcPr>
          <w:p>
            <w:pPr>
              <w:widowControl/>
              <w:adjustRightInd w:val="0"/>
              <w:snapToGrid w:val="0"/>
              <w:spacing w:line="240" w:lineRule="auto"/>
              <w:ind w:firstLine="0" w:firstLineChars="0"/>
              <w:jc w:val="center"/>
              <w:rPr>
                <w:rFonts w:cs="Times New Roman"/>
                <w:color w:val="000000"/>
                <w:kern w:val="0"/>
                <w:sz w:val="24"/>
                <w:szCs w:val="24"/>
                <w14:ligatures w14:val="none"/>
              </w:rPr>
            </w:pPr>
            <w:r>
              <w:rPr>
                <w:rFonts w:cs="Times New Roman"/>
                <w:color w:val="000000"/>
                <w:kern w:val="0"/>
                <w:sz w:val="24"/>
                <w:szCs w:val="24"/>
                <w14:ligatures w14:val="none"/>
              </w:rPr>
              <w:t>22</w:t>
            </w:r>
          </w:p>
        </w:tc>
        <w:tc>
          <w:tcPr>
            <w:tcW w:w="4754" w:type="dxa"/>
            <w:tcBorders>
              <w:top w:val="nil"/>
              <w:left w:val="nil"/>
              <w:bottom w:val="single" w:color="auto" w:sz="4" w:space="0"/>
              <w:right w:val="single" w:color="auto" w:sz="4" w:space="0"/>
            </w:tcBorders>
            <w:shd w:val="clear" w:color="auto" w:fill="auto"/>
            <w:noWrap/>
            <w:vAlign w:val="center"/>
          </w:tcPr>
          <w:p>
            <w:pPr>
              <w:widowControl/>
              <w:adjustRightInd w:val="0"/>
              <w:snapToGrid w:val="0"/>
              <w:spacing w:line="240" w:lineRule="auto"/>
              <w:ind w:firstLine="0" w:firstLineChars="0"/>
              <w:jc w:val="center"/>
              <w:rPr>
                <w:rFonts w:cs="Times New Roman"/>
                <w:color w:val="000000"/>
                <w:kern w:val="0"/>
                <w:sz w:val="24"/>
                <w:szCs w:val="24"/>
                <w14:ligatures w14:val="none"/>
              </w:rPr>
            </w:pPr>
            <w:r>
              <w:rPr>
                <w:rFonts w:cs="Times New Roman"/>
                <w:color w:val="000000"/>
                <w:kern w:val="0"/>
                <w:sz w:val="24"/>
                <w:szCs w:val="24"/>
                <w14:ligatures w14:val="none"/>
              </w:rPr>
              <w:t>环评监测编制费</w:t>
            </w:r>
          </w:p>
        </w:tc>
        <w:tc>
          <w:tcPr>
            <w:tcW w:w="2718" w:type="dxa"/>
            <w:tcBorders>
              <w:top w:val="nil"/>
              <w:left w:val="nil"/>
              <w:bottom w:val="single" w:color="auto" w:sz="4" w:space="0"/>
              <w:right w:val="single" w:color="auto" w:sz="4" w:space="0"/>
            </w:tcBorders>
            <w:shd w:val="clear" w:color="auto" w:fill="auto"/>
            <w:noWrap/>
            <w:vAlign w:val="center"/>
          </w:tcPr>
          <w:p>
            <w:pPr>
              <w:widowControl/>
              <w:adjustRightInd w:val="0"/>
              <w:snapToGrid w:val="0"/>
              <w:spacing w:line="240" w:lineRule="auto"/>
              <w:ind w:firstLine="0" w:firstLineChars="0"/>
              <w:jc w:val="center"/>
              <w:rPr>
                <w:rFonts w:cs="Times New Roman"/>
                <w:color w:val="000000"/>
                <w:kern w:val="0"/>
                <w:sz w:val="24"/>
                <w:szCs w:val="24"/>
                <w14:ligatures w14:val="none"/>
              </w:rPr>
            </w:pPr>
            <w:r>
              <w:rPr>
                <w:rFonts w:cs="Times New Roman"/>
                <w:color w:val="000000"/>
                <w:kern w:val="0"/>
                <w:sz w:val="24"/>
                <w:szCs w:val="24"/>
                <w14:ligatures w14:val="none"/>
              </w:rPr>
              <w:t>81,200.00</w:t>
            </w:r>
          </w:p>
        </w:tc>
      </w:tr>
      <w:tr>
        <w:tblPrEx>
          <w:tblCellMar>
            <w:top w:w="0" w:type="dxa"/>
            <w:left w:w="108" w:type="dxa"/>
            <w:bottom w:w="0" w:type="dxa"/>
            <w:right w:w="108" w:type="dxa"/>
          </w:tblCellMar>
        </w:tblPrEx>
        <w:trPr>
          <w:trHeight w:val="624" w:hRule="atLeast"/>
          <w:jc w:val="center"/>
        </w:trPr>
        <w:tc>
          <w:tcPr>
            <w:tcW w:w="1344" w:type="dxa"/>
            <w:tcBorders>
              <w:top w:val="nil"/>
              <w:left w:val="single" w:color="auto" w:sz="4" w:space="0"/>
              <w:bottom w:val="single" w:color="auto" w:sz="4" w:space="0"/>
              <w:right w:val="single" w:color="auto" w:sz="4" w:space="0"/>
            </w:tcBorders>
            <w:shd w:val="clear" w:color="auto" w:fill="auto"/>
            <w:noWrap/>
            <w:vAlign w:val="center"/>
          </w:tcPr>
          <w:p>
            <w:pPr>
              <w:widowControl/>
              <w:adjustRightInd w:val="0"/>
              <w:snapToGrid w:val="0"/>
              <w:spacing w:line="240" w:lineRule="auto"/>
              <w:ind w:firstLine="0" w:firstLineChars="0"/>
              <w:jc w:val="center"/>
              <w:rPr>
                <w:rFonts w:cs="Times New Roman"/>
                <w:color w:val="000000"/>
                <w:kern w:val="0"/>
                <w:sz w:val="24"/>
                <w:szCs w:val="24"/>
                <w14:ligatures w14:val="none"/>
              </w:rPr>
            </w:pPr>
            <w:r>
              <w:rPr>
                <w:rFonts w:cs="Times New Roman"/>
                <w:color w:val="000000"/>
                <w:kern w:val="0"/>
                <w:sz w:val="24"/>
                <w:szCs w:val="24"/>
                <w14:ligatures w14:val="none"/>
              </w:rPr>
              <w:t>23</w:t>
            </w:r>
          </w:p>
        </w:tc>
        <w:tc>
          <w:tcPr>
            <w:tcW w:w="4754" w:type="dxa"/>
            <w:tcBorders>
              <w:top w:val="nil"/>
              <w:left w:val="nil"/>
              <w:bottom w:val="single" w:color="auto" w:sz="4" w:space="0"/>
              <w:right w:val="single" w:color="auto" w:sz="4" w:space="0"/>
            </w:tcBorders>
            <w:shd w:val="clear" w:color="auto" w:fill="auto"/>
            <w:noWrap/>
            <w:vAlign w:val="center"/>
          </w:tcPr>
          <w:p>
            <w:pPr>
              <w:widowControl/>
              <w:adjustRightInd w:val="0"/>
              <w:snapToGrid w:val="0"/>
              <w:spacing w:line="240" w:lineRule="auto"/>
              <w:ind w:firstLine="0" w:firstLineChars="0"/>
              <w:jc w:val="center"/>
              <w:rPr>
                <w:rFonts w:cs="Times New Roman"/>
                <w:color w:val="000000"/>
                <w:kern w:val="0"/>
                <w:sz w:val="24"/>
                <w:szCs w:val="24"/>
                <w14:ligatures w14:val="none"/>
              </w:rPr>
            </w:pPr>
            <w:r>
              <w:rPr>
                <w:rFonts w:cs="Times New Roman"/>
                <w:color w:val="000000"/>
                <w:kern w:val="0"/>
                <w:sz w:val="24"/>
                <w:szCs w:val="24"/>
                <w14:ligatures w14:val="none"/>
              </w:rPr>
              <w:t>放线册测绘费</w:t>
            </w:r>
          </w:p>
        </w:tc>
        <w:tc>
          <w:tcPr>
            <w:tcW w:w="2718" w:type="dxa"/>
            <w:tcBorders>
              <w:top w:val="nil"/>
              <w:left w:val="nil"/>
              <w:bottom w:val="single" w:color="auto" w:sz="4" w:space="0"/>
              <w:right w:val="single" w:color="auto" w:sz="4" w:space="0"/>
            </w:tcBorders>
            <w:shd w:val="clear" w:color="auto" w:fill="auto"/>
            <w:noWrap/>
            <w:vAlign w:val="center"/>
          </w:tcPr>
          <w:p>
            <w:pPr>
              <w:widowControl/>
              <w:adjustRightInd w:val="0"/>
              <w:snapToGrid w:val="0"/>
              <w:spacing w:line="240" w:lineRule="auto"/>
              <w:ind w:firstLine="0" w:firstLineChars="0"/>
              <w:jc w:val="center"/>
              <w:rPr>
                <w:rFonts w:cs="Times New Roman"/>
                <w:color w:val="000000"/>
                <w:kern w:val="0"/>
                <w:sz w:val="24"/>
                <w:szCs w:val="24"/>
                <w14:ligatures w14:val="none"/>
              </w:rPr>
            </w:pPr>
            <w:r>
              <w:rPr>
                <w:rFonts w:cs="Times New Roman"/>
                <w:color w:val="000000"/>
                <w:kern w:val="0"/>
                <w:sz w:val="24"/>
                <w:szCs w:val="24"/>
                <w14:ligatures w14:val="none"/>
              </w:rPr>
              <w:t>61,624.18</w:t>
            </w:r>
          </w:p>
        </w:tc>
      </w:tr>
      <w:tr>
        <w:tblPrEx>
          <w:tblCellMar>
            <w:top w:w="0" w:type="dxa"/>
            <w:left w:w="108" w:type="dxa"/>
            <w:bottom w:w="0" w:type="dxa"/>
            <w:right w:w="108" w:type="dxa"/>
          </w:tblCellMar>
        </w:tblPrEx>
        <w:trPr>
          <w:trHeight w:val="624" w:hRule="atLeast"/>
          <w:jc w:val="center"/>
        </w:trPr>
        <w:tc>
          <w:tcPr>
            <w:tcW w:w="1344" w:type="dxa"/>
            <w:tcBorders>
              <w:top w:val="nil"/>
              <w:left w:val="single" w:color="auto" w:sz="4" w:space="0"/>
              <w:bottom w:val="single" w:color="auto" w:sz="4" w:space="0"/>
              <w:right w:val="single" w:color="auto" w:sz="4" w:space="0"/>
            </w:tcBorders>
            <w:shd w:val="clear" w:color="auto" w:fill="auto"/>
            <w:noWrap/>
            <w:vAlign w:val="center"/>
          </w:tcPr>
          <w:p>
            <w:pPr>
              <w:widowControl/>
              <w:adjustRightInd w:val="0"/>
              <w:snapToGrid w:val="0"/>
              <w:spacing w:line="240" w:lineRule="auto"/>
              <w:ind w:firstLine="0" w:firstLineChars="0"/>
              <w:jc w:val="center"/>
              <w:rPr>
                <w:rFonts w:cs="Times New Roman"/>
                <w:color w:val="000000"/>
                <w:kern w:val="0"/>
                <w:sz w:val="24"/>
                <w:szCs w:val="24"/>
                <w14:ligatures w14:val="none"/>
              </w:rPr>
            </w:pPr>
            <w:r>
              <w:rPr>
                <w:rFonts w:cs="Times New Roman"/>
                <w:color w:val="000000"/>
                <w:kern w:val="0"/>
                <w:sz w:val="24"/>
                <w:szCs w:val="24"/>
                <w14:ligatures w14:val="none"/>
              </w:rPr>
              <w:t>24</w:t>
            </w:r>
          </w:p>
        </w:tc>
        <w:tc>
          <w:tcPr>
            <w:tcW w:w="4754" w:type="dxa"/>
            <w:tcBorders>
              <w:top w:val="nil"/>
              <w:left w:val="nil"/>
              <w:bottom w:val="single" w:color="auto" w:sz="4" w:space="0"/>
              <w:right w:val="single" w:color="auto" w:sz="4" w:space="0"/>
            </w:tcBorders>
            <w:shd w:val="clear" w:color="auto" w:fill="auto"/>
            <w:noWrap/>
            <w:vAlign w:val="center"/>
          </w:tcPr>
          <w:p>
            <w:pPr>
              <w:widowControl/>
              <w:adjustRightInd w:val="0"/>
              <w:snapToGrid w:val="0"/>
              <w:spacing w:line="240" w:lineRule="auto"/>
              <w:ind w:firstLine="0" w:firstLineChars="0"/>
              <w:jc w:val="center"/>
              <w:rPr>
                <w:rFonts w:cs="Times New Roman"/>
                <w:color w:val="000000"/>
                <w:kern w:val="0"/>
                <w:sz w:val="24"/>
                <w:szCs w:val="24"/>
                <w14:ligatures w14:val="none"/>
              </w:rPr>
            </w:pPr>
            <w:r>
              <w:rPr>
                <w:rFonts w:cs="Times New Roman"/>
                <w:color w:val="000000"/>
                <w:kern w:val="0"/>
                <w:sz w:val="24"/>
                <w:szCs w:val="24"/>
                <w14:ligatures w14:val="none"/>
              </w:rPr>
              <w:t>红线示意图测绘费</w:t>
            </w:r>
          </w:p>
        </w:tc>
        <w:tc>
          <w:tcPr>
            <w:tcW w:w="2718" w:type="dxa"/>
            <w:tcBorders>
              <w:top w:val="nil"/>
              <w:left w:val="nil"/>
              <w:bottom w:val="single" w:color="auto" w:sz="4" w:space="0"/>
              <w:right w:val="single" w:color="auto" w:sz="4" w:space="0"/>
            </w:tcBorders>
            <w:shd w:val="clear" w:color="auto" w:fill="auto"/>
            <w:noWrap/>
            <w:vAlign w:val="center"/>
          </w:tcPr>
          <w:p>
            <w:pPr>
              <w:widowControl/>
              <w:adjustRightInd w:val="0"/>
              <w:snapToGrid w:val="0"/>
              <w:spacing w:line="240" w:lineRule="auto"/>
              <w:ind w:firstLine="0" w:firstLineChars="0"/>
              <w:jc w:val="center"/>
              <w:rPr>
                <w:rFonts w:cs="Times New Roman"/>
                <w:color w:val="000000"/>
                <w:kern w:val="0"/>
                <w:sz w:val="24"/>
                <w:szCs w:val="24"/>
                <w14:ligatures w14:val="none"/>
              </w:rPr>
            </w:pPr>
            <w:r>
              <w:rPr>
                <w:rFonts w:cs="Times New Roman"/>
                <w:color w:val="000000"/>
                <w:kern w:val="0"/>
                <w:sz w:val="24"/>
                <w:szCs w:val="24"/>
                <w14:ligatures w14:val="none"/>
              </w:rPr>
              <w:t>946.96</w:t>
            </w:r>
          </w:p>
        </w:tc>
      </w:tr>
      <w:tr>
        <w:tblPrEx>
          <w:tblCellMar>
            <w:top w:w="0" w:type="dxa"/>
            <w:left w:w="108" w:type="dxa"/>
            <w:bottom w:w="0" w:type="dxa"/>
            <w:right w:w="108" w:type="dxa"/>
          </w:tblCellMar>
        </w:tblPrEx>
        <w:trPr>
          <w:trHeight w:val="624" w:hRule="atLeast"/>
          <w:jc w:val="center"/>
        </w:trPr>
        <w:tc>
          <w:tcPr>
            <w:tcW w:w="1344" w:type="dxa"/>
            <w:tcBorders>
              <w:top w:val="nil"/>
              <w:left w:val="single" w:color="auto" w:sz="4" w:space="0"/>
              <w:bottom w:val="single" w:color="auto" w:sz="4" w:space="0"/>
              <w:right w:val="single" w:color="auto" w:sz="4" w:space="0"/>
            </w:tcBorders>
            <w:shd w:val="clear" w:color="auto" w:fill="auto"/>
            <w:noWrap/>
            <w:vAlign w:val="center"/>
          </w:tcPr>
          <w:p>
            <w:pPr>
              <w:widowControl/>
              <w:adjustRightInd w:val="0"/>
              <w:snapToGrid w:val="0"/>
              <w:spacing w:line="240" w:lineRule="auto"/>
              <w:ind w:firstLine="0" w:firstLineChars="0"/>
              <w:jc w:val="center"/>
              <w:rPr>
                <w:rFonts w:cs="Times New Roman"/>
                <w:color w:val="000000"/>
                <w:kern w:val="0"/>
                <w:sz w:val="24"/>
                <w:szCs w:val="24"/>
                <w14:ligatures w14:val="none"/>
              </w:rPr>
            </w:pPr>
            <w:r>
              <w:rPr>
                <w:rFonts w:cs="Times New Roman"/>
                <w:color w:val="000000"/>
                <w:kern w:val="0"/>
                <w:sz w:val="24"/>
                <w:szCs w:val="24"/>
                <w14:ligatures w14:val="none"/>
              </w:rPr>
              <w:t>25</w:t>
            </w:r>
          </w:p>
        </w:tc>
        <w:tc>
          <w:tcPr>
            <w:tcW w:w="4754" w:type="dxa"/>
            <w:tcBorders>
              <w:top w:val="nil"/>
              <w:left w:val="nil"/>
              <w:bottom w:val="single" w:color="auto" w:sz="4" w:space="0"/>
              <w:right w:val="single" w:color="auto" w:sz="4" w:space="0"/>
            </w:tcBorders>
            <w:shd w:val="clear" w:color="auto" w:fill="auto"/>
            <w:noWrap/>
            <w:vAlign w:val="center"/>
          </w:tcPr>
          <w:p>
            <w:pPr>
              <w:widowControl/>
              <w:adjustRightInd w:val="0"/>
              <w:snapToGrid w:val="0"/>
              <w:spacing w:line="240" w:lineRule="auto"/>
              <w:ind w:firstLine="0" w:firstLineChars="0"/>
              <w:jc w:val="center"/>
              <w:rPr>
                <w:rFonts w:cs="Times New Roman"/>
                <w:color w:val="000000"/>
                <w:kern w:val="0"/>
                <w:sz w:val="24"/>
                <w:szCs w:val="24"/>
                <w14:ligatures w14:val="none"/>
              </w:rPr>
            </w:pPr>
            <w:r>
              <w:rPr>
                <w:rFonts w:cs="Times New Roman"/>
                <w:color w:val="000000"/>
                <w:kern w:val="0"/>
                <w:sz w:val="24"/>
                <w:szCs w:val="24"/>
                <w14:ligatures w14:val="none"/>
              </w:rPr>
              <w:t>土壤污染状况初步调查费</w:t>
            </w:r>
          </w:p>
        </w:tc>
        <w:tc>
          <w:tcPr>
            <w:tcW w:w="2718" w:type="dxa"/>
            <w:tcBorders>
              <w:top w:val="nil"/>
              <w:left w:val="nil"/>
              <w:bottom w:val="single" w:color="auto" w:sz="4" w:space="0"/>
              <w:right w:val="single" w:color="auto" w:sz="4" w:space="0"/>
            </w:tcBorders>
            <w:shd w:val="clear" w:color="auto" w:fill="auto"/>
            <w:noWrap/>
            <w:vAlign w:val="center"/>
          </w:tcPr>
          <w:p>
            <w:pPr>
              <w:widowControl/>
              <w:adjustRightInd w:val="0"/>
              <w:snapToGrid w:val="0"/>
              <w:spacing w:line="240" w:lineRule="auto"/>
              <w:ind w:firstLine="0" w:firstLineChars="0"/>
              <w:jc w:val="center"/>
              <w:rPr>
                <w:rFonts w:cs="Times New Roman"/>
                <w:color w:val="000000"/>
                <w:kern w:val="0"/>
                <w:sz w:val="24"/>
                <w:szCs w:val="24"/>
                <w14:ligatures w14:val="none"/>
              </w:rPr>
            </w:pPr>
            <w:r>
              <w:rPr>
                <w:rFonts w:cs="Times New Roman"/>
                <w:color w:val="000000"/>
                <w:kern w:val="0"/>
                <w:sz w:val="24"/>
                <w:szCs w:val="24"/>
                <w14:ligatures w14:val="none"/>
              </w:rPr>
              <w:t>158,850.00</w:t>
            </w:r>
          </w:p>
        </w:tc>
      </w:tr>
      <w:tr>
        <w:tblPrEx>
          <w:tblCellMar>
            <w:top w:w="0" w:type="dxa"/>
            <w:left w:w="108" w:type="dxa"/>
            <w:bottom w:w="0" w:type="dxa"/>
            <w:right w:w="108" w:type="dxa"/>
          </w:tblCellMar>
        </w:tblPrEx>
        <w:trPr>
          <w:trHeight w:val="624" w:hRule="atLeast"/>
          <w:jc w:val="center"/>
        </w:trPr>
        <w:tc>
          <w:tcPr>
            <w:tcW w:w="1344" w:type="dxa"/>
            <w:tcBorders>
              <w:top w:val="nil"/>
              <w:left w:val="single" w:color="auto" w:sz="4" w:space="0"/>
              <w:bottom w:val="single" w:color="auto" w:sz="4" w:space="0"/>
              <w:right w:val="single" w:color="auto" w:sz="4" w:space="0"/>
            </w:tcBorders>
            <w:shd w:val="clear" w:color="auto" w:fill="auto"/>
            <w:noWrap/>
            <w:vAlign w:val="center"/>
          </w:tcPr>
          <w:p>
            <w:pPr>
              <w:widowControl/>
              <w:adjustRightInd w:val="0"/>
              <w:snapToGrid w:val="0"/>
              <w:spacing w:line="240" w:lineRule="auto"/>
              <w:ind w:firstLine="0" w:firstLineChars="0"/>
              <w:jc w:val="center"/>
              <w:rPr>
                <w:rFonts w:cs="Times New Roman"/>
                <w:color w:val="000000"/>
                <w:kern w:val="0"/>
                <w:sz w:val="24"/>
                <w:szCs w:val="24"/>
                <w14:ligatures w14:val="none"/>
              </w:rPr>
            </w:pPr>
            <w:r>
              <w:rPr>
                <w:rFonts w:cs="Times New Roman"/>
                <w:color w:val="000000"/>
                <w:kern w:val="0"/>
                <w:sz w:val="24"/>
                <w:szCs w:val="24"/>
                <w14:ligatures w14:val="none"/>
              </w:rPr>
              <w:t>26</w:t>
            </w:r>
          </w:p>
        </w:tc>
        <w:tc>
          <w:tcPr>
            <w:tcW w:w="4754" w:type="dxa"/>
            <w:tcBorders>
              <w:top w:val="nil"/>
              <w:left w:val="nil"/>
              <w:bottom w:val="single" w:color="auto" w:sz="4" w:space="0"/>
              <w:right w:val="single" w:color="auto" w:sz="4" w:space="0"/>
            </w:tcBorders>
            <w:shd w:val="clear" w:color="auto" w:fill="auto"/>
            <w:vAlign w:val="center"/>
          </w:tcPr>
          <w:p>
            <w:pPr>
              <w:widowControl/>
              <w:adjustRightInd w:val="0"/>
              <w:snapToGrid w:val="0"/>
              <w:spacing w:line="240" w:lineRule="auto"/>
              <w:ind w:firstLine="0" w:firstLineChars="0"/>
              <w:jc w:val="center"/>
              <w:rPr>
                <w:rFonts w:cs="Times New Roman"/>
                <w:color w:val="000000"/>
                <w:kern w:val="0"/>
                <w:sz w:val="24"/>
                <w:szCs w:val="24"/>
                <w14:ligatures w14:val="none"/>
              </w:rPr>
            </w:pPr>
            <w:r>
              <w:rPr>
                <w:rFonts w:cs="Times New Roman"/>
                <w:color w:val="000000"/>
                <w:kern w:val="0"/>
                <w:sz w:val="24"/>
                <w:szCs w:val="24"/>
                <w14:ligatures w14:val="none"/>
              </w:rPr>
              <w:t>车辆租赁费（2022.12.6-2023.9.5）</w:t>
            </w:r>
          </w:p>
        </w:tc>
        <w:tc>
          <w:tcPr>
            <w:tcW w:w="2718" w:type="dxa"/>
            <w:tcBorders>
              <w:top w:val="nil"/>
              <w:left w:val="nil"/>
              <w:bottom w:val="single" w:color="auto" w:sz="4" w:space="0"/>
              <w:right w:val="single" w:color="auto" w:sz="4" w:space="0"/>
            </w:tcBorders>
            <w:shd w:val="clear" w:color="auto" w:fill="auto"/>
            <w:vAlign w:val="center"/>
          </w:tcPr>
          <w:p>
            <w:pPr>
              <w:widowControl/>
              <w:adjustRightInd w:val="0"/>
              <w:snapToGrid w:val="0"/>
              <w:spacing w:line="240" w:lineRule="auto"/>
              <w:ind w:firstLine="0" w:firstLineChars="0"/>
              <w:jc w:val="center"/>
              <w:rPr>
                <w:rFonts w:cs="Times New Roman"/>
                <w:color w:val="000000"/>
                <w:kern w:val="0"/>
                <w:sz w:val="24"/>
                <w:szCs w:val="24"/>
                <w14:ligatures w14:val="none"/>
              </w:rPr>
            </w:pPr>
            <w:r>
              <w:rPr>
                <w:rFonts w:cs="Times New Roman"/>
                <w:color w:val="000000"/>
                <w:kern w:val="0"/>
                <w:sz w:val="24"/>
                <w:szCs w:val="24"/>
                <w14:ligatures w14:val="none"/>
              </w:rPr>
              <w:t>58,760.00</w:t>
            </w:r>
          </w:p>
        </w:tc>
      </w:tr>
      <w:tr>
        <w:tblPrEx>
          <w:tblCellMar>
            <w:top w:w="0" w:type="dxa"/>
            <w:left w:w="108" w:type="dxa"/>
            <w:bottom w:w="0" w:type="dxa"/>
            <w:right w:w="108" w:type="dxa"/>
          </w:tblCellMar>
        </w:tblPrEx>
        <w:trPr>
          <w:trHeight w:val="624" w:hRule="atLeast"/>
          <w:jc w:val="center"/>
        </w:trPr>
        <w:tc>
          <w:tcPr>
            <w:tcW w:w="1344" w:type="dxa"/>
            <w:tcBorders>
              <w:top w:val="nil"/>
              <w:left w:val="single" w:color="auto" w:sz="4" w:space="0"/>
              <w:bottom w:val="single" w:color="auto" w:sz="4" w:space="0"/>
              <w:right w:val="single" w:color="auto" w:sz="4" w:space="0"/>
            </w:tcBorders>
            <w:shd w:val="clear" w:color="auto" w:fill="auto"/>
            <w:noWrap/>
            <w:vAlign w:val="center"/>
          </w:tcPr>
          <w:p>
            <w:pPr>
              <w:widowControl/>
              <w:adjustRightInd w:val="0"/>
              <w:snapToGrid w:val="0"/>
              <w:spacing w:line="240" w:lineRule="auto"/>
              <w:ind w:firstLine="0" w:firstLineChars="0"/>
              <w:jc w:val="center"/>
              <w:rPr>
                <w:rFonts w:cs="Times New Roman"/>
                <w:color w:val="000000"/>
                <w:kern w:val="0"/>
                <w:sz w:val="24"/>
                <w:szCs w:val="24"/>
                <w14:ligatures w14:val="none"/>
              </w:rPr>
            </w:pPr>
            <w:r>
              <w:rPr>
                <w:rFonts w:cs="Times New Roman"/>
                <w:color w:val="000000"/>
                <w:kern w:val="0"/>
                <w:sz w:val="24"/>
                <w:szCs w:val="24"/>
                <w14:ligatures w14:val="none"/>
              </w:rPr>
              <w:t>27</w:t>
            </w:r>
          </w:p>
        </w:tc>
        <w:tc>
          <w:tcPr>
            <w:tcW w:w="4754" w:type="dxa"/>
            <w:tcBorders>
              <w:top w:val="nil"/>
              <w:left w:val="nil"/>
              <w:bottom w:val="single" w:color="auto" w:sz="4" w:space="0"/>
              <w:right w:val="single" w:color="auto" w:sz="4" w:space="0"/>
            </w:tcBorders>
            <w:shd w:val="clear" w:color="auto" w:fill="auto"/>
            <w:noWrap/>
            <w:vAlign w:val="center"/>
          </w:tcPr>
          <w:p>
            <w:pPr>
              <w:widowControl/>
              <w:adjustRightInd w:val="0"/>
              <w:snapToGrid w:val="0"/>
              <w:spacing w:line="240" w:lineRule="auto"/>
              <w:ind w:firstLine="0" w:firstLineChars="0"/>
              <w:jc w:val="center"/>
              <w:rPr>
                <w:rFonts w:cs="Times New Roman"/>
                <w:color w:val="000000"/>
                <w:kern w:val="0"/>
                <w:sz w:val="24"/>
                <w:szCs w:val="24"/>
                <w14:ligatures w14:val="none"/>
              </w:rPr>
            </w:pPr>
            <w:r>
              <w:rPr>
                <w:rFonts w:cs="Times New Roman"/>
                <w:color w:val="000000"/>
                <w:kern w:val="0"/>
                <w:sz w:val="24"/>
                <w:szCs w:val="24"/>
                <w14:ligatures w14:val="none"/>
              </w:rPr>
              <w:t>日用品款</w:t>
            </w:r>
          </w:p>
        </w:tc>
        <w:tc>
          <w:tcPr>
            <w:tcW w:w="2718" w:type="dxa"/>
            <w:tcBorders>
              <w:top w:val="nil"/>
              <w:left w:val="nil"/>
              <w:bottom w:val="single" w:color="auto" w:sz="4" w:space="0"/>
              <w:right w:val="single" w:color="auto" w:sz="4" w:space="0"/>
            </w:tcBorders>
            <w:shd w:val="clear" w:color="auto" w:fill="auto"/>
            <w:noWrap/>
            <w:vAlign w:val="center"/>
          </w:tcPr>
          <w:p>
            <w:pPr>
              <w:widowControl/>
              <w:adjustRightInd w:val="0"/>
              <w:snapToGrid w:val="0"/>
              <w:spacing w:line="240" w:lineRule="auto"/>
              <w:ind w:firstLine="0" w:firstLineChars="0"/>
              <w:jc w:val="center"/>
              <w:rPr>
                <w:rFonts w:cs="Times New Roman"/>
                <w:color w:val="000000"/>
                <w:kern w:val="0"/>
                <w:sz w:val="24"/>
                <w:szCs w:val="24"/>
                <w14:ligatures w14:val="none"/>
              </w:rPr>
            </w:pPr>
            <w:r>
              <w:rPr>
                <w:rFonts w:cs="Times New Roman"/>
                <w:color w:val="000000"/>
                <w:kern w:val="0"/>
                <w:sz w:val="24"/>
                <w:szCs w:val="24"/>
                <w14:ligatures w14:val="none"/>
              </w:rPr>
              <w:t>1,120.00</w:t>
            </w:r>
          </w:p>
        </w:tc>
      </w:tr>
      <w:tr>
        <w:tblPrEx>
          <w:tblCellMar>
            <w:top w:w="0" w:type="dxa"/>
            <w:left w:w="108" w:type="dxa"/>
            <w:bottom w:w="0" w:type="dxa"/>
            <w:right w:w="108" w:type="dxa"/>
          </w:tblCellMar>
        </w:tblPrEx>
        <w:trPr>
          <w:trHeight w:val="624" w:hRule="atLeast"/>
          <w:jc w:val="center"/>
        </w:trPr>
        <w:tc>
          <w:tcPr>
            <w:tcW w:w="1344" w:type="dxa"/>
            <w:tcBorders>
              <w:top w:val="nil"/>
              <w:left w:val="single" w:color="auto" w:sz="4" w:space="0"/>
              <w:bottom w:val="single" w:color="auto" w:sz="4" w:space="0"/>
              <w:right w:val="single" w:color="auto" w:sz="4" w:space="0"/>
            </w:tcBorders>
            <w:shd w:val="clear" w:color="auto" w:fill="auto"/>
            <w:noWrap/>
            <w:vAlign w:val="center"/>
          </w:tcPr>
          <w:p>
            <w:pPr>
              <w:widowControl/>
              <w:adjustRightInd w:val="0"/>
              <w:snapToGrid w:val="0"/>
              <w:spacing w:line="240" w:lineRule="auto"/>
              <w:ind w:firstLine="0" w:firstLineChars="0"/>
              <w:jc w:val="center"/>
              <w:rPr>
                <w:rFonts w:cs="Times New Roman"/>
                <w:color w:val="000000"/>
                <w:kern w:val="0"/>
                <w:sz w:val="24"/>
                <w:szCs w:val="24"/>
                <w14:ligatures w14:val="none"/>
              </w:rPr>
            </w:pPr>
            <w:r>
              <w:rPr>
                <w:rFonts w:cs="Times New Roman"/>
                <w:color w:val="000000"/>
                <w:kern w:val="0"/>
                <w:sz w:val="24"/>
                <w:szCs w:val="24"/>
                <w14:ligatures w14:val="none"/>
              </w:rPr>
              <w:t>28</w:t>
            </w:r>
          </w:p>
        </w:tc>
        <w:tc>
          <w:tcPr>
            <w:tcW w:w="4754" w:type="dxa"/>
            <w:tcBorders>
              <w:top w:val="nil"/>
              <w:left w:val="nil"/>
              <w:bottom w:val="single" w:color="auto" w:sz="4" w:space="0"/>
              <w:right w:val="single" w:color="auto" w:sz="4" w:space="0"/>
            </w:tcBorders>
            <w:shd w:val="clear" w:color="auto" w:fill="auto"/>
            <w:noWrap/>
            <w:vAlign w:val="center"/>
          </w:tcPr>
          <w:p>
            <w:pPr>
              <w:widowControl/>
              <w:adjustRightInd w:val="0"/>
              <w:snapToGrid w:val="0"/>
              <w:spacing w:line="240" w:lineRule="auto"/>
              <w:ind w:firstLine="0" w:firstLineChars="0"/>
              <w:jc w:val="center"/>
              <w:rPr>
                <w:rFonts w:cs="Times New Roman"/>
                <w:color w:val="000000"/>
                <w:kern w:val="0"/>
                <w:sz w:val="24"/>
                <w:szCs w:val="24"/>
                <w14:ligatures w14:val="none"/>
              </w:rPr>
            </w:pPr>
            <w:r>
              <w:rPr>
                <w:rFonts w:cs="Times New Roman"/>
                <w:color w:val="000000"/>
                <w:kern w:val="0"/>
                <w:sz w:val="24"/>
                <w:szCs w:val="24"/>
                <w14:ligatures w14:val="none"/>
              </w:rPr>
              <w:t>审计服务费</w:t>
            </w:r>
          </w:p>
        </w:tc>
        <w:tc>
          <w:tcPr>
            <w:tcW w:w="2718" w:type="dxa"/>
            <w:tcBorders>
              <w:top w:val="nil"/>
              <w:left w:val="nil"/>
              <w:bottom w:val="single" w:color="auto" w:sz="4" w:space="0"/>
              <w:right w:val="single" w:color="auto" w:sz="4" w:space="0"/>
            </w:tcBorders>
            <w:shd w:val="clear" w:color="auto" w:fill="auto"/>
            <w:noWrap/>
            <w:vAlign w:val="center"/>
          </w:tcPr>
          <w:p>
            <w:pPr>
              <w:widowControl/>
              <w:adjustRightInd w:val="0"/>
              <w:snapToGrid w:val="0"/>
              <w:spacing w:line="240" w:lineRule="auto"/>
              <w:ind w:firstLine="0" w:firstLineChars="0"/>
              <w:jc w:val="center"/>
              <w:rPr>
                <w:rFonts w:cs="Times New Roman"/>
                <w:color w:val="000000"/>
                <w:kern w:val="0"/>
                <w:sz w:val="24"/>
                <w:szCs w:val="24"/>
                <w14:ligatures w14:val="none"/>
              </w:rPr>
            </w:pPr>
            <w:r>
              <w:rPr>
                <w:rFonts w:cs="Times New Roman"/>
                <w:color w:val="000000"/>
                <w:kern w:val="0"/>
                <w:sz w:val="24"/>
                <w:szCs w:val="24"/>
                <w14:ligatures w14:val="none"/>
              </w:rPr>
              <w:t>16,000.00</w:t>
            </w:r>
          </w:p>
        </w:tc>
      </w:tr>
      <w:tr>
        <w:tblPrEx>
          <w:tblCellMar>
            <w:top w:w="0" w:type="dxa"/>
            <w:left w:w="108" w:type="dxa"/>
            <w:bottom w:w="0" w:type="dxa"/>
            <w:right w:w="108" w:type="dxa"/>
          </w:tblCellMar>
        </w:tblPrEx>
        <w:trPr>
          <w:trHeight w:val="624" w:hRule="atLeast"/>
          <w:jc w:val="center"/>
        </w:trPr>
        <w:tc>
          <w:tcPr>
            <w:tcW w:w="1344" w:type="dxa"/>
            <w:tcBorders>
              <w:top w:val="nil"/>
              <w:left w:val="single" w:color="auto" w:sz="4" w:space="0"/>
              <w:bottom w:val="single" w:color="auto" w:sz="4" w:space="0"/>
              <w:right w:val="single" w:color="auto" w:sz="4" w:space="0"/>
            </w:tcBorders>
            <w:shd w:val="clear" w:color="auto" w:fill="auto"/>
            <w:noWrap/>
            <w:vAlign w:val="center"/>
          </w:tcPr>
          <w:p>
            <w:pPr>
              <w:widowControl/>
              <w:adjustRightInd w:val="0"/>
              <w:snapToGrid w:val="0"/>
              <w:spacing w:line="240" w:lineRule="auto"/>
              <w:ind w:firstLine="0" w:firstLineChars="0"/>
              <w:jc w:val="center"/>
              <w:rPr>
                <w:rFonts w:cs="Times New Roman"/>
                <w:color w:val="000000"/>
                <w:kern w:val="0"/>
                <w:sz w:val="24"/>
                <w:szCs w:val="24"/>
                <w14:ligatures w14:val="none"/>
              </w:rPr>
            </w:pPr>
            <w:r>
              <w:rPr>
                <w:rFonts w:cs="Times New Roman"/>
                <w:color w:val="000000"/>
                <w:kern w:val="0"/>
                <w:sz w:val="24"/>
                <w:szCs w:val="24"/>
                <w14:ligatures w14:val="none"/>
              </w:rPr>
              <w:t>29</w:t>
            </w:r>
          </w:p>
        </w:tc>
        <w:tc>
          <w:tcPr>
            <w:tcW w:w="4754" w:type="dxa"/>
            <w:tcBorders>
              <w:top w:val="nil"/>
              <w:left w:val="nil"/>
              <w:bottom w:val="single" w:color="auto" w:sz="4" w:space="0"/>
              <w:right w:val="single" w:color="auto" w:sz="4" w:space="0"/>
            </w:tcBorders>
            <w:shd w:val="clear" w:color="auto" w:fill="auto"/>
            <w:noWrap/>
            <w:vAlign w:val="center"/>
          </w:tcPr>
          <w:p>
            <w:pPr>
              <w:widowControl/>
              <w:adjustRightInd w:val="0"/>
              <w:snapToGrid w:val="0"/>
              <w:spacing w:line="240" w:lineRule="auto"/>
              <w:ind w:firstLine="0" w:firstLineChars="0"/>
              <w:jc w:val="center"/>
              <w:rPr>
                <w:rFonts w:cs="Times New Roman"/>
                <w:color w:val="000000"/>
                <w:kern w:val="0"/>
                <w:sz w:val="24"/>
                <w:szCs w:val="24"/>
                <w14:ligatures w14:val="none"/>
              </w:rPr>
            </w:pPr>
            <w:r>
              <w:rPr>
                <w:rFonts w:cs="Times New Roman"/>
                <w:color w:val="000000"/>
                <w:kern w:val="0"/>
                <w:sz w:val="24"/>
                <w:szCs w:val="24"/>
                <w14:ligatures w14:val="none"/>
              </w:rPr>
              <w:t>办公耗材费</w:t>
            </w:r>
          </w:p>
        </w:tc>
        <w:tc>
          <w:tcPr>
            <w:tcW w:w="2718" w:type="dxa"/>
            <w:tcBorders>
              <w:top w:val="nil"/>
              <w:left w:val="nil"/>
              <w:bottom w:val="single" w:color="auto" w:sz="4" w:space="0"/>
              <w:right w:val="single" w:color="auto" w:sz="4" w:space="0"/>
            </w:tcBorders>
            <w:shd w:val="clear" w:color="auto" w:fill="auto"/>
            <w:noWrap/>
            <w:vAlign w:val="center"/>
          </w:tcPr>
          <w:p>
            <w:pPr>
              <w:widowControl/>
              <w:adjustRightInd w:val="0"/>
              <w:snapToGrid w:val="0"/>
              <w:spacing w:line="240" w:lineRule="auto"/>
              <w:ind w:firstLine="0" w:firstLineChars="0"/>
              <w:jc w:val="center"/>
              <w:rPr>
                <w:rFonts w:cs="Times New Roman"/>
                <w:color w:val="000000"/>
                <w:kern w:val="0"/>
                <w:sz w:val="24"/>
                <w:szCs w:val="24"/>
                <w14:ligatures w14:val="none"/>
              </w:rPr>
            </w:pPr>
            <w:r>
              <w:rPr>
                <w:rFonts w:cs="Times New Roman"/>
                <w:color w:val="000000"/>
                <w:kern w:val="0"/>
                <w:sz w:val="24"/>
                <w:szCs w:val="24"/>
                <w14:ligatures w14:val="none"/>
              </w:rPr>
              <w:t>1,990.00</w:t>
            </w:r>
          </w:p>
        </w:tc>
      </w:tr>
      <w:tr>
        <w:tblPrEx>
          <w:tblCellMar>
            <w:top w:w="0" w:type="dxa"/>
            <w:left w:w="108" w:type="dxa"/>
            <w:bottom w:w="0" w:type="dxa"/>
            <w:right w:w="108" w:type="dxa"/>
          </w:tblCellMar>
        </w:tblPrEx>
        <w:trPr>
          <w:trHeight w:val="624" w:hRule="atLeast"/>
          <w:jc w:val="center"/>
        </w:trPr>
        <w:tc>
          <w:tcPr>
            <w:tcW w:w="1344" w:type="dxa"/>
            <w:tcBorders>
              <w:top w:val="nil"/>
              <w:left w:val="single" w:color="auto" w:sz="4" w:space="0"/>
              <w:bottom w:val="single" w:color="auto" w:sz="4" w:space="0"/>
              <w:right w:val="single" w:color="auto" w:sz="4" w:space="0"/>
            </w:tcBorders>
            <w:shd w:val="clear" w:color="auto" w:fill="auto"/>
            <w:noWrap/>
            <w:vAlign w:val="center"/>
          </w:tcPr>
          <w:p>
            <w:pPr>
              <w:widowControl/>
              <w:adjustRightInd w:val="0"/>
              <w:snapToGrid w:val="0"/>
              <w:spacing w:line="240" w:lineRule="auto"/>
              <w:ind w:firstLine="0" w:firstLineChars="0"/>
              <w:jc w:val="center"/>
              <w:rPr>
                <w:rFonts w:cs="Times New Roman"/>
                <w:color w:val="000000"/>
                <w:kern w:val="0"/>
                <w:sz w:val="24"/>
                <w:szCs w:val="24"/>
                <w14:ligatures w14:val="none"/>
              </w:rPr>
            </w:pPr>
            <w:r>
              <w:rPr>
                <w:rFonts w:cs="Times New Roman"/>
                <w:color w:val="000000"/>
                <w:kern w:val="0"/>
                <w:sz w:val="24"/>
                <w:szCs w:val="24"/>
                <w14:ligatures w14:val="none"/>
              </w:rPr>
              <w:t>30</w:t>
            </w:r>
          </w:p>
        </w:tc>
        <w:tc>
          <w:tcPr>
            <w:tcW w:w="4754" w:type="dxa"/>
            <w:tcBorders>
              <w:top w:val="nil"/>
              <w:left w:val="nil"/>
              <w:bottom w:val="single" w:color="auto" w:sz="4" w:space="0"/>
              <w:right w:val="single" w:color="auto" w:sz="4" w:space="0"/>
            </w:tcBorders>
            <w:shd w:val="clear" w:color="auto" w:fill="auto"/>
            <w:noWrap/>
            <w:vAlign w:val="center"/>
          </w:tcPr>
          <w:p>
            <w:pPr>
              <w:widowControl/>
              <w:adjustRightInd w:val="0"/>
              <w:snapToGrid w:val="0"/>
              <w:spacing w:line="240" w:lineRule="auto"/>
              <w:ind w:firstLine="0" w:firstLineChars="0"/>
              <w:jc w:val="center"/>
              <w:rPr>
                <w:rFonts w:cs="Times New Roman"/>
                <w:color w:val="000000"/>
                <w:kern w:val="0"/>
                <w:sz w:val="24"/>
                <w:szCs w:val="24"/>
                <w14:ligatures w14:val="none"/>
              </w:rPr>
            </w:pPr>
            <w:r>
              <w:rPr>
                <w:rFonts w:cs="Times New Roman"/>
                <w:color w:val="000000"/>
                <w:kern w:val="0"/>
                <w:sz w:val="24"/>
                <w:szCs w:val="24"/>
                <w14:ligatures w14:val="none"/>
              </w:rPr>
              <w:t>电信通信服务费</w:t>
            </w:r>
          </w:p>
        </w:tc>
        <w:tc>
          <w:tcPr>
            <w:tcW w:w="2718" w:type="dxa"/>
            <w:tcBorders>
              <w:top w:val="nil"/>
              <w:left w:val="nil"/>
              <w:bottom w:val="single" w:color="auto" w:sz="4" w:space="0"/>
              <w:right w:val="single" w:color="auto" w:sz="4" w:space="0"/>
            </w:tcBorders>
            <w:shd w:val="clear" w:color="auto" w:fill="auto"/>
            <w:noWrap/>
            <w:vAlign w:val="center"/>
          </w:tcPr>
          <w:p>
            <w:pPr>
              <w:widowControl/>
              <w:adjustRightInd w:val="0"/>
              <w:snapToGrid w:val="0"/>
              <w:spacing w:line="240" w:lineRule="auto"/>
              <w:ind w:firstLine="0" w:firstLineChars="0"/>
              <w:jc w:val="center"/>
              <w:rPr>
                <w:rFonts w:cs="Times New Roman"/>
                <w:color w:val="000000"/>
                <w:kern w:val="0"/>
                <w:sz w:val="24"/>
                <w:szCs w:val="24"/>
                <w14:ligatures w14:val="none"/>
              </w:rPr>
            </w:pPr>
            <w:r>
              <w:rPr>
                <w:rFonts w:cs="Times New Roman"/>
                <w:color w:val="000000"/>
                <w:kern w:val="0"/>
                <w:sz w:val="24"/>
                <w:szCs w:val="24"/>
                <w14:ligatures w14:val="none"/>
              </w:rPr>
              <w:t>719.40</w:t>
            </w:r>
          </w:p>
        </w:tc>
      </w:tr>
      <w:tr>
        <w:tblPrEx>
          <w:tblCellMar>
            <w:top w:w="0" w:type="dxa"/>
            <w:left w:w="108" w:type="dxa"/>
            <w:bottom w:w="0" w:type="dxa"/>
            <w:right w:w="108" w:type="dxa"/>
          </w:tblCellMar>
        </w:tblPrEx>
        <w:trPr>
          <w:trHeight w:val="624" w:hRule="atLeast"/>
          <w:jc w:val="center"/>
        </w:trPr>
        <w:tc>
          <w:tcPr>
            <w:tcW w:w="1344" w:type="dxa"/>
            <w:tcBorders>
              <w:top w:val="nil"/>
              <w:left w:val="single" w:color="auto" w:sz="4" w:space="0"/>
              <w:bottom w:val="single" w:color="auto" w:sz="4" w:space="0"/>
              <w:right w:val="single" w:color="auto" w:sz="4" w:space="0"/>
            </w:tcBorders>
            <w:shd w:val="clear" w:color="auto" w:fill="auto"/>
            <w:noWrap/>
            <w:vAlign w:val="center"/>
          </w:tcPr>
          <w:p>
            <w:pPr>
              <w:widowControl/>
              <w:adjustRightInd w:val="0"/>
              <w:snapToGrid w:val="0"/>
              <w:spacing w:line="240" w:lineRule="auto"/>
              <w:ind w:firstLine="0" w:firstLineChars="0"/>
              <w:jc w:val="center"/>
              <w:rPr>
                <w:rFonts w:cs="Times New Roman"/>
                <w:color w:val="000000"/>
                <w:kern w:val="0"/>
                <w:sz w:val="24"/>
                <w:szCs w:val="24"/>
                <w14:ligatures w14:val="none"/>
              </w:rPr>
            </w:pPr>
            <w:r>
              <w:rPr>
                <w:rFonts w:cs="Times New Roman"/>
                <w:color w:val="000000"/>
                <w:kern w:val="0"/>
                <w:sz w:val="24"/>
                <w:szCs w:val="24"/>
                <w14:ligatures w14:val="none"/>
              </w:rPr>
              <w:t>31</w:t>
            </w:r>
          </w:p>
        </w:tc>
        <w:tc>
          <w:tcPr>
            <w:tcW w:w="4754" w:type="dxa"/>
            <w:tcBorders>
              <w:top w:val="nil"/>
              <w:left w:val="nil"/>
              <w:bottom w:val="single" w:color="auto" w:sz="4" w:space="0"/>
              <w:right w:val="single" w:color="auto" w:sz="4" w:space="0"/>
            </w:tcBorders>
            <w:shd w:val="clear" w:color="auto" w:fill="auto"/>
            <w:noWrap/>
            <w:vAlign w:val="center"/>
          </w:tcPr>
          <w:p>
            <w:pPr>
              <w:widowControl/>
              <w:adjustRightInd w:val="0"/>
              <w:snapToGrid w:val="0"/>
              <w:spacing w:line="240" w:lineRule="auto"/>
              <w:ind w:firstLine="0" w:firstLineChars="0"/>
              <w:jc w:val="center"/>
              <w:rPr>
                <w:rFonts w:cs="Times New Roman"/>
                <w:color w:val="000000"/>
                <w:kern w:val="0"/>
                <w:sz w:val="24"/>
                <w:szCs w:val="24"/>
                <w14:ligatures w14:val="none"/>
              </w:rPr>
            </w:pPr>
            <w:r>
              <w:rPr>
                <w:rFonts w:cs="Times New Roman"/>
                <w:color w:val="000000"/>
                <w:kern w:val="0"/>
                <w:sz w:val="24"/>
                <w:szCs w:val="24"/>
                <w14:ligatures w14:val="none"/>
              </w:rPr>
              <w:t>办公费</w:t>
            </w:r>
          </w:p>
        </w:tc>
        <w:tc>
          <w:tcPr>
            <w:tcW w:w="2718" w:type="dxa"/>
            <w:tcBorders>
              <w:top w:val="nil"/>
              <w:left w:val="nil"/>
              <w:bottom w:val="single" w:color="auto" w:sz="4" w:space="0"/>
              <w:right w:val="single" w:color="auto" w:sz="4" w:space="0"/>
            </w:tcBorders>
            <w:shd w:val="clear" w:color="auto" w:fill="auto"/>
            <w:noWrap/>
            <w:vAlign w:val="center"/>
          </w:tcPr>
          <w:p>
            <w:pPr>
              <w:widowControl/>
              <w:adjustRightInd w:val="0"/>
              <w:snapToGrid w:val="0"/>
              <w:spacing w:line="240" w:lineRule="auto"/>
              <w:ind w:firstLine="0" w:firstLineChars="0"/>
              <w:jc w:val="center"/>
              <w:rPr>
                <w:rFonts w:cs="Times New Roman"/>
                <w:color w:val="000000"/>
                <w:kern w:val="0"/>
                <w:sz w:val="24"/>
                <w:szCs w:val="24"/>
                <w14:ligatures w14:val="none"/>
              </w:rPr>
            </w:pPr>
            <w:r>
              <w:rPr>
                <w:rFonts w:cs="Times New Roman"/>
                <w:color w:val="000000"/>
                <w:kern w:val="0"/>
                <w:sz w:val="24"/>
                <w:szCs w:val="24"/>
                <w14:ligatures w14:val="none"/>
              </w:rPr>
              <w:t>260.00</w:t>
            </w:r>
          </w:p>
        </w:tc>
      </w:tr>
      <w:tr>
        <w:tblPrEx>
          <w:tblCellMar>
            <w:top w:w="0" w:type="dxa"/>
            <w:left w:w="108" w:type="dxa"/>
            <w:bottom w:w="0" w:type="dxa"/>
            <w:right w:w="108" w:type="dxa"/>
          </w:tblCellMar>
        </w:tblPrEx>
        <w:trPr>
          <w:trHeight w:val="624" w:hRule="atLeast"/>
          <w:jc w:val="center"/>
        </w:trPr>
        <w:tc>
          <w:tcPr>
            <w:tcW w:w="1344" w:type="dxa"/>
            <w:tcBorders>
              <w:top w:val="nil"/>
              <w:left w:val="single" w:color="auto" w:sz="4" w:space="0"/>
              <w:bottom w:val="single" w:color="auto" w:sz="4" w:space="0"/>
              <w:right w:val="single" w:color="auto" w:sz="4" w:space="0"/>
            </w:tcBorders>
            <w:shd w:val="clear" w:color="auto" w:fill="auto"/>
            <w:noWrap/>
            <w:vAlign w:val="center"/>
          </w:tcPr>
          <w:p>
            <w:pPr>
              <w:widowControl/>
              <w:adjustRightInd w:val="0"/>
              <w:snapToGrid w:val="0"/>
              <w:spacing w:line="240" w:lineRule="auto"/>
              <w:ind w:firstLine="0" w:firstLineChars="0"/>
              <w:jc w:val="center"/>
              <w:rPr>
                <w:rFonts w:cs="Times New Roman"/>
                <w:color w:val="000000"/>
                <w:kern w:val="0"/>
                <w:sz w:val="24"/>
                <w:szCs w:val="24"/>
                <w14:ligatures w14:val="none"/>
              </w:rPr>
            </w:pPr>
            <w:r>
              <w:rPr>
                <w:rFonts w:cs="Times New Roman"/>
                <w:color w:val="000000"/>
                <w:kern w:val="0"/>
                <w:sz w:val="24"/>
                <w:szCs w:val="24"/>
                <w14:ligatures w14:val="none"/>
              </w:rPr>
              <w:t>32</w:t>
            </w:r>
          </w:p>
        </w:tc>
        <w:tc>
          <w:tcPr>
            <w:tcW w:w="4754" w:type="dxa"/>
            <w:tcBorders>
              <w:top w:val="nil"/>
              <w:left w:val="nil"/>
              <w:bottom w:val="single" w:color="auto" w:sz="4" w:space="0"/>
              <w:right w:val="single" w:color="auto" w:sz="4" w:space="0"/>
            </w:tcBorders>
            <w:shd w:val="clear" w:color="auto" w:fill="auto"/>
            <w:noWrap/>
            <w:vAlign w:val="center"/>
          </w:tcPr>
          <w:p>
            <w:pPr>
              <w:widowControl/>
              <w:adjustRightInd w:val="0"/>
              <w:snapToGrid w:val="0"/>
              <w:spacing w:line="240" w:lineRule="auto"/>
              <w:ind w:firstLine="0" w:firstLineChars="0"/>
              <w:jc w:val="center"/>
              <w:rPr>
                <w:rFonts w:cs="Times New Roman"/>
                <w:color w:val="000000"/>
                <w:kern w:val="0"/>
                <w:sz w:val="24"/>
                <w:szCs w:val="24"/>
                <w14:ligatures w14:val="none"/>
              </w:rPr>
            </w:pPr>
            <w:r>
              <w:rPr>
                <w:rFonts w:cs="Times New Roman"/>
                <w:color w:val="000000"/>
                <w:kern w:val="0"/>
                <w:sz w:val="24"/>
                <w:szCs w:val="24"/>
                <w14:ligatures w14:val="none"/>
              </w:rPr>
              <w:t>桶装水款</w:t>
            </w:r>
          </w:p>
        </w:tc>
        <w:tc>
          <w:tcPr>
            <w:tcW w:w="2718" w:type="dxa"/>
            <w:tcBorders>
              <w:top w:val="nil"/>
              <w:left w:val="nil"/>
              <w:bottom w:val="single" w:color="auto" w:sz="4" w:space="0"/>
              <w:right w:val="single" w:color="auto" w:sz="4" w:space="0"/>
            </w:tcBorders>
            <w:shd w:val="clear" w:color="auto" w:fill="auto"/>
            <w:noWrap/>
            <w:vAlign w:val="center"/>
          </w:tcPr>
          <w:p>
            <w:pPr>
              <w:widowControl/>
              <w:adjustRightInd w:val="0"/>
              <w:snapToGrid w:val="0"/>
              <w:spacing w:line="240" w:lineRule="auto"/>
              <w:ind w:firstLine="0" w:firstLineChars="0"/>
              <w:jc w:val="center"/>
              <w:rPr>
                <w:rFonts w:cs="Times New Roman"/>
                <w:color w:val="000000"/>
                <w:kern w:val="0"/>
                <w:sz w:val="24"/>
                <w:szCs w:val="24"/>
                <w14:ligatures w14:val="none"/>
              </w:rPr>
            </w:pPr>
            <w:r>
              <w:rPr>
                <w:rFonts w:cs="Times New Roman"/>
                <w:color w:val="000000"/>
                <w:kern w:val="0"/>
                <w:sz w:val="24"/>
                <w:szCs w:val="24"/>
                <w14:ligatures w14:val="none"/>
              </w:rPr>
              <w:t>465.00</w:t>
            </w:r>
          </w:p>
        </w:tc>
      </w:tr>
      <w:tr>
        <w:tblPrEx>
          <w:tblCellMar>
            <w:top w:w="0" w:type="dxa"/>
            <w:left w:w="108" w:type="dxa"/>
            <w:bottom w:w="0" w:type="dxa"/>
            <w:right w:w="108" w:type="dxa"/>
          </w:tblCellMar>
        </w:tblPrEx>
        <w:trPr>
          <w:trHeight w:val="624" w:hRule="atLeast"/>
          <w:jc w:val="center"/>
        </w:trPr>
        <w:tc>
          <w:tcPr>
            <w:tcW w:w="1344" w:type="dxa"/>
            <w:tcBorders>
              <w:top w:val="nil"/>
              <w:left w:val="single" w:color="auto" w:sz="4" w:space="0"/>
              <w:bottom w:val="single" w:color="auto" w:sz="4" w:space="0"/>
              <w:right w:val="single" w:color="auto" w:sz="4" w:space="0"/>
            </w:tcBorders>
            <w:shd w:val="clear" w:color="auto" w:fill="auto"/>
            <w:noWrap/>
            <w:vAlign w:val="center"/>
          </w:tcPr>
          <w:p>
            <w:pPr>
              <w:widowControl/>
              <w:adjustRightInd w:val="0"/>
              <w:snapToGrid w:val="0"/>
              <w:spacing w:line="240" w:lineRule="auto"/>
              <w:ind w:firstLine="0" w:firstLineChars="0"/>
              <w:jc w:val="center"/>
              <w:rPr>
                <w:rFonts w:cs="Times New Roman"/>
                <w:color w:val="000000"/>
                <w:kern w:val="0"/>
                <w:sz w:val="24"/>
                <w:szCs w:val="24"/>
                <w14:ligatures w14:val="none"/>
              </w:rPr>
            </w:pPr>
            <w:r>
              <w:rPr>
                <w:rFonts w:cs="Times New Roman"/>
                <w:color w:val="000000"/>
                <w:kern w:val="0"/>
                <w:sz w:val="24"/>
                <w:szCs w:val="24"/>
                <w14:ligatures w14:val="none"/>
              </w:rPr>
              <w:t>33</w:t>
            </w:r>
          </w:p>
        </w:tc>
        <w:tc>
          <w:tcPr>
            <w:tcW w:w="4754" w:type="dxa"/>
            <w:tcBorders>
              <w:top w:val="nil"/>
              <w:left w:val="nil"/>
              <w:bottom w:val="single" w:color="auto" w:sz="4" w:space="0"/>
              <w:right w:val="single" w:color="auto" w:sz="4" w:space="0"/>
            </w:tcBorders>
            <w:shd w:val="clear" w:color="auto" w:fill="auto"/>
            <w:noWrap/>
            <w:vAlign w:val="center"/>
          </w:tcPr>
          <w:p>
            <w:pPr>
              <w:widowControl/>
              <w:adjustRightInd w:val="0"/>
              <w:snapToGrid w:val="0"/>
              <w:spacing w:line="240" w:lineRule="auto"/>
              <w:ind w:firstLine="0" w:firstLineChars="0"/>
              <w:jc w:val="center"/>
              <w:rPr>
                <w:rFonts w:cs="Times New Roman"/>
                <w:color w:val="000000"/>
                <w:kern w:val="0"/>
                <w:sz w:val="24"/>
                <w:szCs w:val="24"/>
                <w14:ligatures w14:val="none"/>
              </w:rPr>
            </w:pPr>
            <w:r>
              <w:rPr>
                <w:rFonts w:cs="Times New Roman"/>
                <w:color w:val="000000"/>
                <w:kern w:val="0"/>
                <w:sz w:val="24"/>
                <w:szCs w:val="24"/>
                <w14:ligatures w14:val="none"/>
              </w:rPr>
              <w:t>空调采购安装费</w:t>
            </w:r>
          </w:p>
        </w:tc>
        <w:tc>
          <w:tcPr>
            <w:tcW w:w="2718" w:type="dxa"/>
            <w:tcBorders>
              <w:top w:val="nil"/>
              <w:left w:val="nil"/>
              <w:bottom w:val="single" w:color="auto" w:sz="4" w:space="0"/>
              <w:right w:val="single" w:color="auto" w:sz="4" w:space="0"/>
            </w:tcBorders>
            <w:shd w:val="clear" w:color="auto" w:fill="auto"/>
            <w:noWrap/>
            <w:vAlign w:val="center"/>
          </w:tcPr>
          <w:p>
            <w:pPr>
              <w:widowControl/>
              <w:adjustRightInd w:val="0"/>
              <w:snapToGrid w:val="0"/>
              <w:spacing w:line="240" w:lineRule="auto"/>
              <w:ind w:firstLine="0" w:firstLineChars="0"/>
              <w:jc w:val="center"/>
              <w:rPr>
                <w:rFonts w:cs="Times New Roman"/>
                <w:color w:val="000000"/>
                <w:kern w:val="0"/>
                <w:sz w:val="24"/>
                <w:szCs w:val="24"/>
                <w14:ligatures w14:val="none"/>
              </w:rPr>
            </w:pPr>
            <w:r>
              <w:rPr>
                <w:rFonts w:cs="Times New Roman"/>
                <w:color w:val="000000"/>
                <w:kern w:val="0"/>
                <w:sz w:val="24"/>
                <w:szCs w:val="24"/>
                <w14:ligatures w14:val="none"/>
              </w:rPr>
              <w:t>175,600.00</w:t>
            </w:r>
          </w:p>
        </w:tc>
      </w:tr>
      <w:tr>
        <w:tblPrEx>
          <w:tblCellMar>
            <w:top w:w="0" w:type="dxa"/>
            <w:left w:w="108" w:type="dxa"/>
            <w:bottom w:w="0" w:type="dxa"/>
            <w:right w:w="108" w:type="dxa"/>
          </w:tblCellMar>
        </w:tblPrEx>
        <w:trPr>
          <w:trHeight w:val="624" w:hRule="atLeast"/>
          <w:jc w:val="center"/>
        </w:trPr>
        <w:tc>
          <w:tcPr>
            <w:tcW w:w="1344" w:type="dxa"/>
            <w:tcBorders>
              <w:top w:val="nil"/>
              <w:left w:val="single" w:color="auto" w:sz="4" w:space="0"/>
              <w:bottom w:val="single" w:color="auto" w:sz="4" w:space="0"/>
              <w:right w:val="single" w:color="auto" w:sz="4" w:space="0"/>
            </w:tcBorders>
            <w:shd w:val="clear" w:color="auto" w:fill="auto"/>
            <w:noWrap/>
            <w:vAlign w:val="center"/>
          </w:tcPr>
          <w:p>
            <w:pPr>
              <w:widowControl/>
              <w:adjustRightInd w:val="0"/>
              <w:snapToGrid w:val="0"/>
              <w:spacing w:line="240" w:lineRule="auto"/>
              <w:ind w:firstLine="0" w:firstLineChars="0"/>
              <w:jc w:val="center"/>
              <w:rPr>
                <w:rFonts w:cs="Times New Roman"/>
                <w:color w:val="000000"/>
                <w:kern w:val="0"/>
                <w:sz w:val="24"/>
                <w:szCs w:val="24"/>
                <w14:ligatures w14:val="none"/>
              </w:rPr>
            </w:pPr>
            <w:r>
              <w:rPr>
                <w:rFonts w:cs="Times New Roman"/>
                <w:color w:val="000000"/>
                <w:kern w:val="0"/>
                <w:sz w:val="24"/>
                <w:szCs w:val="24"/>
                <w14:ligatures w14:val="none"/>
              </w:rPr>
              <w:t>34</w:t>
            </w:r>
          </w:p>
        </w:tc>
        <w:tc>
          <w:tcPr>
            <w:tcW w:w="4754" w:type="dxa"/>
            <w:tcBorders>
              <w:top w:val="nil"/>
              <w:left w:val="nil"/>
              <w:bottom w:val="single" w:color="auto" w:sz="4" w:space="0"/>
              <w:right w:val="single" w:color="auto" w:sz="4" w:space="0"/>
            </w:tcBorders>
            <w:shd w:val="clear" w:color="auto" w:fill="auto"/>
            <w:noWrap/>
            <w:vAlign w:val="center"/>
          </w:tcPr>
          <w:p>
            <w:pPr>
              <w:widowControl/>
              <w:adjustRightInd w:val="0"/>
              <w:snapToGrid w:val="0"/>
              <w:spacing w:line="240" w:lineRule="auto"/>
              <w:ind w:firstLine="0" w:firstLineChars="0"/>
              <w:jc w:val="center"/>
              <w:rPr>
                <w:rFonts w:cs="Times New Roman"/>
                <w:color w:val="000000"/>
                <w:kern w:val="0"/>
                <w:sz w:val="24"/>
                <w:szCs w:val="24"/>
                <w14:ligatures w14:val="none"/>
              </w:rPr>
            </w:pPr>
            <w:r>
              <w:rPr>
                <w:rFonts w:cs="Times New Roman"/>
                <w:color w:val="000000"/>
                <w:kern w:val="0"/>
                <w:sz w:val="24"/>
                <w:szCs w:val="24"/>
                <w14:ligatures w14:val="none"/>
              </w:rPr>
              <w:t>印刷服务费</w:t>
            </w:r>
          </w:p>
        </w:tc>
        <w:tc>
          <w:tcPr>
            <w:tcW w:w="2718" w:type="dxa"/>
            <w:tcBorders>
              <w:top w:val="nil"/>
              <w:left w:val="nil"/>
              <w:bottom w:val="single" w:color="auto" w:sz="4" w:space="0"/>
              <w:right w:val="single" w:color="auto" w:sz="4" w:space="0"/>
            </w:tcBorders>
            <w:shd w:val="clear" w:color="auto" w:fill="auto"/>
            <w:noWrap/>
            <w:vAlign w:val="center"/>
          </w:tcPr>
          <w:p>
            <w:pPr>
              <w:widowControl/>
              <w:adjustRightInd w:val="0"/>
              <w:snapToGrid w:val="0"/>
              <w:spacing w:line="240" w:lineRule="auto"/>
              <w:ind w:firstLine="0" w:firstLineChars="0"/>
              <w:jc w:val="center"/>
              <w:rPr>
                <w:rFonts w:cs="Times New Roman"/>
                <w:color w:val="000000"/>
                <w:kern w:val="0"/>
                <w:sz w:val="24"/>
                <w:szCs w:val="24"/>
                <w14:ligatures w14:val="none"/>
              </w:rPr>
            </w:pPr>
            <w:r>
              <w:rPr>
                <w:rFonts w:cs="Times New Roman"/>
                <w:color w:val="000000"/>
                <w:kern w:val="0"/>
                <w:sz w:val="24"/>
                <w:szCs w:val="24"/>
                <w14:ligatures w14:val="none"/>
              </w:rPr>
              <w:t>600.00</w:t>
            </w:r>
          </w:p>
        </w:tc>
      </w:tr>
      <w:tr>
        <w:tblPrEx>
          <w:tblCellMar>
            <w:top w:w="0" w:type="dxa"/>
            <w:left w:w="108" w:type="dxa"/>
            <w:bottom w:w="0" w:type="dxa"/>
            <w:right w:w="108" w:type="dxa"/>
          </w:tblCellMar>
        </w:tblPrEx>
        <w:trPr>
          <w:trHeight w:val="624" w:hRule="atLeast"/>
          <w:jc w:val="center"/>
        </w:trPr>
        <w:tc>
          <w:tcPr>
            <w:tcW w:w="1344" w:type="dxa"/>
            <w:tcBorders>
              <w:top w:val="nil"/>
              <w:left w:val="single" w:color="auto" w:sz="4" w:space="0"/>
              <w:bottom w:val="single" w:color="auto" w:sz="4" w:space="0"/>
              <w:right w:val="single" w:color="auto" w:sz="4" w:space="0"/>
            </w:tcBorders>
            <w:shd w:val="clear" w:color="auto" w:fill="auto"/>
            <w:noWrap/>
            <w:vAlign w:val="center"/>
          </w:tcPr>
          <w:p>
            <w:pPr>
              <w:widowControl/>
              <w:adjustRightInd w:val="0"/>
              <w:snapToGrid w:val="0"/>
              <w:spacing w:line="240" w:lineRule="auto"/>
              <w:ind w:firstLine="0" w:firstLineChars="0"/>
              <w:jc w:val="center"/>
              <w:rPr>
                <w:rFonts w:cs="Times New Roman"/>
                <w:color w:val="000000"/>
                <w:kern w:val="0"/>
                <w:sz w:val="24"/>
                <w:szCs w:val="24"/>
                <w14:ligatures w14:val="none"/>
              </w:rPr>
            </w:pPr>
            <w:r>
              <w:rPr>
                <w:rFonts w:cs="Times New Roman"/>
                <w:color w:val="000000"/>
                <w:kern w:val="0"/>
                <w:sz w:val="24"/>
                <w:szCs w:val="24"/>
                <w14:ligatures w14:val="none"/>
              </w:rPr>
              <w:t>35</w:t>
            </w:r>
          </w:p>
        </w:tc>
        <w:tc>
          <w:tcPr>
            <w:tcW w:w="4754" w:type="dxa"/>
            <w:tcBorders>
              <w:top w:val="nil"/>
              <w:left w:val="nil"/>
              <w:bottom w:val="single" w:color="auto" w:sz="4" w:space="0"/>
              <w:right w:val="single" w:color="auto" w:sz="4" w:space="0"/>
            </w:tcBorders>
            <w:shd w:val="clear" w:color="auto" w:fill="auto"/>
            <w:noWrap/>
            <w:vAlign w:val="center"/>
          </w:tcPr>
          <w:p>
            <w:pPr>
              <w:widowControl/>
              <w:adjustRightInd w:val="0"/>
              <w:snapToGrid w:val="0"/>
              <w:spacing w:line="240" w:lineRule="auto"/>
              <w:ind w:firstLine="0" w:firstLineChars="0"/>
              <w:jc w:val="center"/>
              <w:rPr>
                <w:rFonts w:cs="Times New Roman"/>
                <w:color w:val="000000"/>
                <w:kern w:val="0"/>
                <w:sz w:val="24"/>
                <w:szCs w:val="24"/>
                <w14:ligatures w14:val="none"/>
              </w:rPr>
            </w:pPr>
            <w:r>
              <w:rPr>
                <w:rFonts w:cs="Times New Roman"/>
                <w:color w:val="000000"/>
                <w:kern w:val="0"/>
                <w:sz w:val="24"/>
                <w:szCs w:val="24"/>
                <w14:ligatures w14:val="none"/>
              </w:rPr>
              <w:t>信息技术服务费</w:t>
            </w:r>
          </w:p>
        </w:tc>
        <w:tc>
          <w:tcPr>
            <w:tcW w:w="2718" w:type="dxa"/>
            <w:tcBorders>
              <w:top w:val="nil"/>
              <w:left w:val="nil"/>
              <w:bottom w:val="single" w:color="auto" w:sz="4" w:space="0"/>
              <w:right w:val="single" w:color="auto" w:sz="4" w:space="0"/>
            </w:tcBorders>
            <w:shd w:val="clear" w:color="auto" w:fill="auto"/>
            <w:noWrap/>
            <w:vAlign w:val="center"/>
          </w:tcPr>
          <w:p>
            <w:pPr>
              <w:widowControl/>
              <w:adjustRightInd w:val="0"/>
              <w:snapToGrid w:val="0"/>
              <w:spacing w:line="240" w:lineRule="auto"/>
              <w:ind w:firstLine="0" w:firstLineChars="0"/>
              <w:jc w:val="center"/>
              <w:rPr>
                <w:rFonts w:cs="Times New Roman"/>
                <w:color w:val="000000"/>
                <w:kern w:val="0"/>
                <w:sz w:val="24"/>
                <w:szCs w:val="24"/>
                <w14:ligatures w14:val="none"/>
              </w:rPr>
            </w:pPr>
            <w:r>
              <w:rPr>
                <w:rFonts w:cs="Times New Roman"/>
                <w:color w:val="000000"/>
                <w:kern w:val="0"/>
                <w:sz w:val="24"/>
                <w:szCs w:val="24"/>
                <w14:ligatures w14:val="none"/>
              </w:rPr>
              <w:t>684.00</w:t>
            </w:r>
          </w:p>
        </w:tc>
      </w:tr>
      <w:tr>
        <w:tblPrEx>
          <w:tblCellMar>
            <w:top w:w="0" w:type="dxa"/>
            <w:left w:w="108" w:type="dxa"/>
            <w:bottom w:w="0" w:type="dxa"/>
            <w:right w:w="108" w:type="dxa"/>
          </w:tblCellMar>
        </w:tblPrEx>
        <w:trPr>
          <w:trHeight w:val="624" w:hRule="atLeast"/>
          <w:jc w:val="center"/>
        </w:trPr>
        <w:tc>
          <w:tcPr>
            <w:tcW w:w="6098" w:type="dxa"/>
            <w:gridSpan w:val="2"/>
            <w:tcBorders>
              <w:top w:val="single" w:color="auto" w:sz="4" w:space="0"/>
              <w:left w:val="single" w:color="auto" w:sz="4" w:space="0"/>
              <w:bottom w:val="single" w:color="auto" w:sz="4" w:space="0"/>
              <w:right w:val="single" w:color="000000" w:sz="4" w:space="0"/>
            </w:tcBorders>
            <w:shd w:val="clear" w:color="auto" w:fill="auto"/>
            <w:noWrap/>
            <w:vAlign w:val="center"/>
          </w:tcPr>
          <w:p>
            <w:pPr>
              <w:widowControl/>
              <w:adjustRightInd w:val="0"/>
              <w:snapToGrid w:val="0"/>
              <w:spacing w:line="240" w:lineRule="auto"/>
              <w:ind w:firstLine="0" w:firstLineChars="0"/>
              <w:jc w:val="center"/>
              <w:rPr>
                <w:rFonts w:cs="Times New Roman"/>
                <w:b/>
                <w:bCs/>
                <w:color w:val="000000"/>
                <w:kern w:val="0"/>
                <w:sz w:val="24"/>
                <w:szCs w:val="24"/>
                <w14:ligatures w14:val="none"/>
              </w:rPr>
            </w:pPr>
            <w:r>
              <w:rPr>
                <w:rFonts w:cs="Times New Roman"/>
                <w:b/>
                <w:bCs/>
                <w:color w:val="000000"/>
                <w:kern w:val="0"/>
                <w:sz w:val="24"/>
                <w:szCs w:val="24"/>
                <w14:ligatures w14:val="none"/>
              </w:rPr>
              <w:t>合计</w:t>
            </w:r>
          </w:p>
        </w:tc>
        <w:tc>
          <w:tcPr>
            <w:tcW w:w="2718" w:type="dxa"/>
            <w:tcBorders>
              <w:top w:val="nil"/>
              <w:left w:val="nil"/>
              <w:bottom w:val="single" w:color="auto" w:sz="4" w:space="0"/>
              <w:right w:val="single" w:color="auto" w:sz="4" w:space="0"/>
            </w:tcBorders>
            <w:shd w:val="clear" w:color="auto" w:fill="auto"/>
            <w:noWrap/>
            <w:vAlign w:val="center"/>
          </w:tcPr>
          <w:p>
            <w:pPr>
              <w:widowControl/>
              <w:adjustRightInd w:val="0"/>
              <w:snapToGrid w:val="0"/>
              <w:spacing w:line="240" w:lineRule="auto"/>
              <w:ind w:firstLine="0" w:firstLineChars="0"/>
              <w:jc w:val="center"/>
              <w:rPr>
                <w:rFonts w:cs="Times New Roman"/>
                <w:color w:val="000000"/>
                <w:kern w:val="0"/>
                <w:sz w:val="24"/>
                <w:szCs w:val="24"/>
                <w14:ligatures w14:val="none"/>
              </w:rPr>
            </w:pPr>
            <w:r>
              <w:rPr>
                <w:rFonts w:cs="Times New Roman"/>
                <w:color w:val="000000"/>
                <w:kern w:val="0"/>
                <w:sz w:val="24"/>
                <w:szCs w:val="24"/>
                <w14:ligatures w14:val="none"/>
              </w:rPr>
              <w:t>291,864,071.55</w:t>
            </w:r>
          </w:p>
        </w:tc>
      </w:tr>
    </w:tbl>
    <w:p>
      <w:pPr>
        <w:ind w:firstLine="632"/>
        <w:rPr>
          <w:rFonts w:cs="Times New Roman"/>
        </w:rPr>
      </w:pPr>
    </w:p>
    <w:p>
      <w:pPr>
        <w:pStyle w:val="3"/>
        <w:ind w:firstLine="632"/>
        <w:rPr>
          <w:rFonts w:cs="Times New Roman"/>
        </w:rPr>
      </w:pPr>
      <w:bookmarkStart w:id="5" w:name="_Toc177204520"/>
      <w:r>
        <w:rPr>
          <w:rFonts w:cs="Times New Roman"/>
        </w:rPr>
        <w:t>（五）项目实施情况。</w:t>
      </w:r>
      <w:bookmarkEnd w:id="5"/>
    </w:p>
    <w:p>
      <w:pPr>
        <w:ind w:firstLine="632"/>
        <w:rPr>
          <w:rFonts w:cs="Times New Roman"/>
        </w:rPr>
      </w:pPr>
      <w:r>
        <w:rPr>
          <w:rFonts w:cs="Times New Roman"/>
        </w:rPr>
        <w:t>根据《广州市增城区发展和改革局关于增城区应元学校高中部建设项目可行性研究报告的复函》（穗增发改投批〔2022〕21号），项目由</w:t>
      </w:r>
      <w:r>
        <w:rPr>
          <w:rFonts w:cs="Times New Roman"/>
          <w:szCs w:val="32"/>
        </w:rPr>
        <w:t>区公共建设项目管理服务中心组织实施建设，采用公开招标的方式确定勘察、设计、建筑工程、安装工程、监理单位。</w:t>
      </w:r>
    </w:p>
    <w:p>
      <w:pPr>
        <w:ind w:firstLine="632"/>
        <w:rPr>
          <w:rFonts w:cs="Times New Roman"/>
        </w:rPr>
      </w:pPr>
      <w:r>
        <w:rPr>
          <w:rFonts w:cs="Times New Roman"/>
        </w:rPr>
        <w:t>2021年11月，确定勘查、设计单位中标单位为（主）深圳市华阳国际工程设计股份有限公司、（成）建勘勘测有限公司，于2021年11月25日签订《勘查、设计合同》；2022年6月确定施工中标单位为（主）深圳市建工集团股份有限公司、（成）深建工（广州）建设有限公司，于2022年7月12日签订《广州市建设工程施工合同》，项目工程合同工期总日历天数为355天；2022年7月确定施工监理及施工过程造价控制服务中标单位为（主）广东省建筑工程监理有限公司、（成）建成工程咨询股份有限公司，2022年7月12日签订《广州市建设工程施工监理及施工过程造价控制服务合同》。</w:t>
      </w:r>
    </w:p>
    <w:p>
      <w:pPr>
        <w:ind w:firstLine="632"/>
        <w:rPr>
          <w:rFonts w:cs="Times New Roman"/>
        </w:rPr>
      </w:pPr>
      <w:r>
        <w:rPr>
          <w:rFonts w:cs="Times New Roman"/>
        </w:rPr>
        <w:t>根据</w:t>
      </w:r>
      <w:r>
        <w:rPr>
          <w:rFonts w:cs="Times New Roman"/>
          <w:szCs w:val="32"/>
        </w:rPr>
        <w:t>区公共建设项目管理服务中心提供的</w:t>
      </w:r>
      <w:r>
        <w:rPr>
          <w:rFonts w:cs="Times New Roman"/>
        </w:rPr>
        <w:t>《工程开工令》2022年8月5日，项目经监理单位批复正式开工。根据</w:t>
      </w:r>
      <w:r>
        <w:rPr>
          <w:rFonts w:cs="Times New Roman"/>
          <w:szCs w:val="32"/>
        </w:rPr>
        <w:t>区公共建设项目管理服务中心提供的</w:t>
      </w:r>
      <w:r>
        <w:rPr>
          <w:rFonts w:cs="Times New Roman"/>
        </w:rPr>
        <w:t>《单位（子单位）竣工验收报告》，2023年7月25日增城区应元学校高中部建设项目施工总承包【±0.000以下】及增城区应元学校高中部建设项目施工总承包-体育馆、行政楼、艺术楼、图书馆、科技楼教学楼、学生公寓、教师公寓、设备房、门楼、架空大平台、地下室（自编号1#~12#，DX1）【±0.000以上】完成竣工验收，项目实际工期为354个日历天，项目实际工期未超出合同计划工期。</w:t>
      </w:r>
    </w:p>
    <w:p>
      <w:pPr>
        <w:ind w:firstLine="632"/>
        <w:rPr>
          <w:rFonts w:cs="Times New Roman"/>
        </w:rPr>
      </w:pPr>
      <w:r>
        <w:rPr>
          <w:rFonts w:cs="Times New Roman"/>
        </w:rPr>
        <w:t>根据</w:t>
      </w:r>
      <w:r>
        <w:rPr>
          <w:rFonts w:cs="Times New Roman"/>
          <w:szCs w:val="32"/>
        </w:rPr>
        <w:t>区公共建设项目管理服务中心提供的</w:t>
      </w:r>
      <w:r>
        <w:rPr>
          <w:rFonts w:cs="Times New Roman"/>
        </w:rPr>
        <w:t>《广州市增城区应元学校高中部建设项目移交接管确认书》，2023年8月10日</w:t>
      </w:r>
      <w:r>
        <w:rPr>
          <w:rFonts w:cs="Times New Roman"/>
          <w:szCs w:val="32"/>
        </w:rPr>
        <w:t>区公共建设项目管理服务中心将项目</w:t>
      </w:r>
      <w:r>
        <w:rPr>
          <w:rFonts w:cs="Times New Roman"/>
        </w:rPr>
        <w:t>移交至广州市增城区应元学校管理。</w:t>
      </w:r>
    </w:p>
    <w:p>
      <w:pPr>
        <w:pStyle w:val="2"/>
        <w:ind w:firstLine="632"/>
        <w:rPr>
          <w:rFonts w:cs="Times New Roman"/>
        </w:rPr>
      </w:pPr>
      <w:bookmarkStart w:id="6" w:name="_Toc177204521"/>
      <w:r>
        <w:rPr>
          <w:rFonts w:cs="Times New Roman"/>
        </w:rPr>
        <w:t>二、绩效评价概述</w:t>
      </w:r>
      <w:bookmarkEnd w:id="6"/>
    </w:p>
    <w:p>
      <w:pPr>
        <w:pStyle w:val="3"/>
        <w:ind w:firstLine="632"/>
        <w:rPr>
          <w:rFonts w:cs="Times New Roman"/>
        </w:rPr>
      </w:pPr>
      <w:bookmarkStart w:id="7" w:name="_Toc177204522"/>
      <w:r>
        <w:rPr>
          <w:rFonts w:cs="Times New Roman"/>
        </w:rPr>
        <w:t>（一）评价目的。</w:t>
      </w:r>
      <w:bookmarkEnd w:id="7"/>
    </w:p>
    <w:p>
      <w:pPr>
        <w:ind w:firstLine="632"/>
        <w:rPr>
          <w:rFonts w:cs="Times New Roman"/>
        </w:rPr>
      </w:pPr>
      <w:r>
        <w:rPr>
          <w:rFonts w:cs="Times New Roman"/>
        </w:rPr>
        <w:t>项目重点绩效评价通常是指对贯彻落实国家、省、市和区的重大政策措施、重点民生领域、资金规模较大、社会关注度较高的项目实施重点绩效评价，旨在运用科学、规范、合理的评价方法、评价指标和评分标准，对财政资金的分配、管理、使用、产出及效果等进行客观、公正的测量、分析和评判，评价绩效水平，总结优点、发现存在问题，并分析问题成因，提出进一步加强资金管理和完善政策的建议，提高财政资金的使用效益。</w:t>
      </w:r>
    </w:p>
    <w:p>
      <w:pPr>
        <w:pStyle w:val="3"/>
        <w:ind w:firstLine="632"/>
        <w:rPr>
          <w:rFonts w:cs="Times New Roman"/>
        </w:rPr>
      </w:pPr>
      <w:bookmarkStart w:id="8" w:name="_Toc177204523"/>
      <w:r>
        <w:rPr>
          <w:rFonts w:cs="Times New Roman"/>
        </w:rPr>
        <w:t>（二）评价设计与实施。</w:t>
      </w:r>
      <w:bookmarkEnd w:id="8"/>
    </w:p>
    <w:p>
      <w:pPr>
        <w:pStyle w:val="4"/>
        <w:ind w:firstLine="632"/>
        <w:rPr>
          <w:rFonts w:cs="Times New Roman"/>
        </w:rPr>
      </w:pPr>
      <w:r>
        <w:rPr>
          <w:rFonts w:cs="Times New Roman"/>
        </w:rPr>
        <w:t>1.评价依据。</w:t>
      </w:r>
    </w:p>
    <w:p>
      <w:pPr>
        <w:ind w:firstLine="632"/>
        <w:rPr>
          <w:rFonts w:cs="Times New Roman"/>
        </w:rPr>
      </w:pPr>
      <w:r>
        <w:rPr>
          <w:rFonts w:cs="Times New Roman"/>
        </w:rPr>
        <w:t>本次重点项目绩效评价主要依据国家相关法律法规与规章制度、财政绩效管理办法、项目明细账、项目自评报告及佐证等相关材料，包括但不限于：</w:t>
      </w:r>
    </w:p>
    <w:p>
      <w:pPr>
        <w:ind w:firstLine="632"/>
        <w:rPr>
          <w:rFonts w:cs="Times New Roman"/>
        </w:rPr>
      </w:pPr>
      <w:r>
        <w:rPr>
          <w:rFonts w:cs="Times New Roman"/>
        </w:rPr>
        <w:t>（1）中央、省、市有关财政资金管理、预算绩效管理的法律、法规、规章、制度、政策文件等；</w:t>
      </w:r>
    </w:p>
    <w:p>
      <w:pPr>
        <w:ind w:firstLine="632"/>
        <w:rPr>
          <w:rFonts w:cs="Times New Roman"/>
        </w:rPr>
      </w:pPr>
      <w:r>
        <w:rPr>
          <w:rFonts w:cs="Times New Roman"/>
        </w:rPr>
        <w:t>（2）《广州市增城区财政局关于印发&lt;广州市增城区预算绩效管理办法&gt;的通知》（增财〔2020〕222号）；</w:t>
      </w:r>
    </w:p>
    <w:p>
      <w:pPr>
        <w:ind w:firstLine="632"/>
        <w:rPr>
          <w:rFonts w:cs="Times New Roman"/>
        </w:rPr>
      </w:pPr>
      <w:r>
        <w:rPr>
          <w:rFonts w:cs="Times New Roman"/>
        </w:rPr>
        <w:t>（3）《广州市增城区财政局关于开展2024年财政评价工作的通知》（增财〔2024〕178号）；</w:t>
      </w:r>
    </w:p>
    <w:p>
      <w:pPr>
        <w:ind w:firstLine="632"/>
        <w:rPr>
          <w:rFonts w:cs="Times New Roman"/>
        </w:rPr>
      </w:pPr>
      <w:r>
        <w:rPr>
          <w:rFonts w:cs="Times New Roman"/>
        </w:rPr>
        <w:t>（4）《广州市增城区财政局关于印发2024年增城区区级财政资金绩效评价工作方案的通知》（增财〔2024〕212号）；</w:t>
      </w:r>
    </w:p>
    <w:p>
      <w:pPr>
        <w:ind w:firstLine="632"/>
        <w:rPr>
          <w:rFonts w:cs="Times New Roman"/>
        </w:rPr>
      </w:pPr>
      <w:r>
        <w:rPr>
          <w:rFonts w:cs="Times New Roman"/>
        </w:rPr>
        <w:t>（5）《增城区人民政府常务会议纪要》（第2届90次〔2021〕1号）；</w:t>
      </w:r>
    </w:p>
    <w:p>
      <w:pPr>
        <w:ind w:firstLine="632"/>
        <w:rPr>
          <w:rFonts w:cs="Times New Roman"/>
        </w:rPr>
      </w:pPr>
      <w:r>
        <w:rPr>
          <w:rFonts w:cs="Times New Roman"/>
        </w:rPr>
        <w:t>（6）《广州市增城区发展和改革局关于增城区应元学校高中部建设项目可行性研究报告的复函》（穗增发改投批〔2022〕21号）；</w:t>
      </w:r>
    </w:p>
    <w:p>
      <w:pPr>
        <w:ind w:firstLine="632"/>
        <w:rPr>
          <w:rFonts w:cs="Times New Roman"/>
        </w:rPr>
      </w:pPr>
      <w:r>
        <w:rPr>
          <w:rFonts w:cs="Times New Roman"/>
        </w:rPr>
        <w:t>（7）《广州市财政局关于提前下达2023年市教育局部门转移支付预算的通知》(穗财教〔2022〕133号)、《增城区教育局关于分解下达</w:t>
      </w:r>
      <w:r>
        <w:rPr>
          <w:rFonts w:hint="eastAsia" w:ascii="仿宋_GB2312" w:cs="Times New Roman"/>
        </w:rPr>
        <w:t>“</w:t>
      </w:r>
      <w:r>
        <w:rPr>
          <w:rFonts w:cs="Times New Roman"/>
        </w:rPr>
        <w:t>基础教育转移支付专项</w:t>
      </w:r>
      <w:r>
        <w:rPr>
          <w:rFonts w:hint="eastAsia" w:ascii="仿宋_GB2312" w:cs="Times New Roman"/>
        </w:rPr>
        <w:t>”</w:t>
      </w:r>
      <w:r>
        <w:rPr>
          <w:rFonts w:cs="Times New Roman"/>
        </w:rPr>
        <w:t>资金预算指标的函》（增教函〔2023〕9号）；《2023年广州市增城区公共建设项目管理服务中心部门预算》；</w:t>
      </w:r>
    </w:p>
    <w:p>
      <w:pPr>
        <w:ind w:firstLine="632"/>
        <w:rPr>
          <w:rFonts w:cs="Times New Roman"/>
        </w:rPr>
      </w:pPr>
      <w:r>
        <w:rPr>
          <w:rFonts w:cs="Times New Roman"/>
        </w:rPr>
        <w:t>（8）其它与本次评价工作相关的法律、法规、规章、制度、政策文件等。</w:t>
      </w:r>
    </w:p>
    <w:p>
      <w:pPr>
        <w:pStyle w:val="4"/>
        <w:ind w:firstLine="632"/>
        <w:rPr>
          <w:rFonts w:cs="Times New Roman"/>
        </w:rPr>
      </w:pPr>
      <w:r>
        <w:rPr>
          <w:rFonts w:hint="eastAsia" w:cs="Times New Roman"/>
        </w:rPr>
        <w:t>2</w:t>
      </w:r>
      <w:r>
        <w:rPr>
          <w:rFonts w:cs="Times New Roman"/>
        </w:rPr>
        <w:t>.评价方法选择。</w:t>
      </w:r>
    </w:p>
    <w:p>
      <w:pPr>
        <w:ind w:firstLine="632"/>
      </w:pPr>
      <w:r>
        <w:rPr>
          <w:rFonts w:hint="eastAsia"/>
        </w:rPr>
        <w:t>本次绩效评价以书面材料核查、访谈、座谈、问卷调查、选点抽查为基础，综合运用目标结果比较法、因素分析法、公众评判法等方法对项目决策、项目过程、项目产出和项目效益方面情况进行综合评价，对部门履职效益、项目实施效果进行综合分析，评价指标分析主要采用定量指标分析，并辅以部分定性分析。</w:t>
      </w:r>
    </w:p>
    <w:p>
      <w:pPr>
        <w:ind w:firstLine="632"/>
        <w:rPr>
          <w:kern w:val="0"/>
        </w:rPr>
      </w:pPr>
      <w:r>
        <w:rPr>
          <w:rFonts w:hint="eastAsia"/>
          <w:kern w:val="0"/>
        </w:rPr>
        <w:t>评价方法包括：</w:t>
      </w:r>
      <w:r>
        <w:rPr>
          <w:rFonts w:hint="eastAsia"/>
          <w:b/>
          <w:kern w:val="0"/>
        </w:rPr>
        <w:t>一是</w:t>
      </w:r>
      <w:r>
        <w:rPr>
          <w:rFonts w:hint="eastAsia"/>
          <w:kern w:val="0"/>
        </w:rPr>
        <w:t>目标结果比较法，通过对项目实施预期绩效目标与最终实施效果进行比较，综合分析绩效目标实现程度；</w:t>
      </w:r>
      <w:r>
        <w:rPr>
          <w:rFonts w:hint="eastAsia"/>
          <w:b/>
          <w:kern w:val="0"/>
        </w:rPr>
        <w:t>二是</w:t>
      </w:r>
      <w:r>
        <w:rPr>
          <w:rFonts w:hint="eastAsia"/>
          <w:kern w:val="0"/>
        </w:rPr>
        <w:t>因素分析法，通过综合分析影响绩效目标实现、实施效果的内外因素评价绩效目标实现程度，将影响投入财政支出和项目产出效益的各项因素罗列出来进行分析，计算投入产出进行评价；</w:t>
      </w:r>
      <w:r>
        <w:rPr>
          <w:rFonts w:hint="eastAsia"/>
          <w:b/>
          <w:kern w:val="0"/>
        </w:rPr>
        <w:t>三是</w:t>
      </w:r>
      <w:r>
        <w:rPr>
          <w:rFonts w:hint="eastAsia"/>
          <w:kern w:val="0"/>
        </w:rPr>
        <w:t>公众评判法，通过专家评估、公众问卷及抽样调查等对财政支出效果、项目实施效益进行评判，评价项目年度绩效目标的实现程度，其中：专家评判法主要是聘请有关专家，通过对相关资料的收集、汇总、分析、综合，就评价客体的某一方面进行评价、判断；问卷调查法是通过设计适合该项目的调查问卷，发给一定数量的公众或服务对象，最后汇总分析调查问卷结果进行评价和判断的方法。</w:t>
      </w:r>
    </w:p>
    <w:p>
      <w:pPr>
        <w:pStyle w:val="4"/>
        <w:ind w:firstLine="632"/>
        <w:rPr>
          <w:rFonts w:hint="eastAsia"/>
        </w:rPr>
      </w:pPr>
      <w:r>
        <w:rPr>
          <w:rFonts w:hint="eastAsia"/>
        </w:rPr>
        <w:t>3.评价工作过程。</w:t>
      </w:r>
    </w:p>
    <w:p>
      <w:pPr>
        <w:pStyle w:val="5"/>
        <w:ind w:firstLine="632"/>
        <w:rPr>
          <w:rFonts w:hint="eastAsia"/>
        </w:rPr>
      </w:pPr>
      <w:r>
        <w:rPr>
          <w:rFonts w:hint="eastAsia"/>
        </w:rPr>
        <w:t>（1）前期准备。</w:t>
      </w:r>
    </w:p>
    <w:p>
      <w:pPr>
        <w:ind w:firstLine="632"/>
        <w:rPr>
          <w:rFonts w:hint="eastAsia" w:cs="Times New Roman"/>
        </w:rPr>
      </w:pPr>
      <w:r>
        <w:rPr>
          <w:rFonts w:hint="eastAsia" w:cs="Times New Roman"/>
        </w:rPr>
        <w:t>①前期对接。</w:t>
      </w:r>
    </w:p>
    <w:p>
      <w:pPr>
        <w:ind w:firstLine="632"/>
        <w:rPr>
          <w:rFonts w:hint="eastAsia" w:cs="Times New Roman"/>
        </w:rPr>
      </w:pPr>
      <w:r>
        <w:rPr>
          <w:rFonts w:hint="eastAsia" w:cs="Times New Roman"/>
        </w:rPr>
        <w:t>按照有关工作安排，与增城区财政局对接洽谈，确定工作时间安排、评价要求等有关事宜。</w:t>
      </w:r>
    </w:p>
    <w:p>
      <w:pPr>
        <w:ind w:firstLine="632"/>
        <w:rPr>
          <w:rFonts w:hint="eastAsia" w:cs="Times New Roman"/>
        </w:rPr>
      </w:pPr>
      <w:r>
        <w:rPr>
          <w:rFonts w:hint="eastAsia" w:cs="Times New Roman"/>
        </w:rPr>
        <w:t>②专家团队组建。</w:t>
      </w:r>
    </w:p>
    <w:p>
      <w:pPr>
        <w:ind w:firstLine="632"/>
        <w:rPr>
          <w:rFonts w:hint="eastAsia" w:cs="Times New Roman"/>
        </w:rPr>
      </w:pPr>
      <w:r>
        <w:rPr>
          <w:rFonts w:hint="eastAsia" w:cs="Times New Roman"/>
        </w:rPr>
        <w:t>根据项目性质、特点、实施情况等信息，聘请包括财务（财务、政府财政体系领域专家，负责对资金使用合规性进行评价）、基建工程管理（负责对项目实施与管理情况、预期目标与产出效益实现等情况进行评价）等方面的专家组建专家小组，要求专家签署承诺书，明确承诺内容和保密条款。</w:t>
      </w:r>
    </w:p>
    <w:p>
      <w:pPr>
        <w:ind w:firstLine="632"/>
        <w:rPr>
          <w:rFonts w:hint="eastAsia" w:cs="Times New Roman"/>
        </w:rPr>
      </w:pPr>
      <w:r>
        <w:rPr>
          <w:rFonts w:hint="eastAsia" w:cs="Times New Roman"/>
        </w:rPr>
        <w:t>③工作方案制定。</w:t>
      </w:r>
    </w:p>
    <w:p>
      <w:pPr>
        <w:ind w:firstLine="632"/>
        <w:rPr>
          <w:rFonts w:hint="eastAsia" w:cs="Times New Roman"/>
        </w:rPr>
      </w:pPr>
      <w:r>
        <w:rPr>
          <w:rFonts w:hint="eastAsia" w:cs="Times New Roman"/>
        </w:rPr>
        <w:t>根据区公共建设项目管理服务中心提供的资料，完善评价方案的具体内容，包括但不限于项目重点绩效评价指标、满意度调查问卷设计等内容，征求区公共建设项目管理服务中心意见后报送区财政局。</w:t>
      </w:r>
    </w:p>
    <w:p>
      <w:pPr>
        <w:pStyle w:val="5"/>
        <w:ind w:firstLine="632"/>
        <w:rPr>
          <w:rFonts w:hint="eastAsia"/>
        </w:rPr>
      </w:pPr>
      <w:r>
        <w:rPr>
          <w:rFonts w:hint="eastAsia"/>
        </w:rPr>
        <w:t>（2）自评材料审核。</w:t>
      </w:r>
    </w:p>
    <w:p>
      <w:pPr>
        <w:ind w:firstLine="632"/>
        <w:rPr>
          <w:rFonts w:hint="eastAsia" w:cs="Times New Roman"/>
        </w:rPr>
      </w:pPr>
      <w:r>
        <w:rPr>
          <w:rFonts w:hint="eastAsia" w:cs="Times New Roman"/>
        </w:rPr>
        <w:t>①自评材料收集。</w:t>
      </w:r>
    </w:p>
    <w:p>
      <w:pPr>
        <w:ind w:firstLine="632"/>
        <w:rPr>
          <w:rFonts w:hint="eastAsia" w:cs="Times New Roman"/>
        </w:rPr>
      </w:pPr>
      <w:r>
        <w:rPr>
          <w:rFonts w:hint="eastAsia" w:cs="Times New Roman"/>
        </w:rPr>
        <w:t>按照区财政局工作安排，区公共建设项目管理服务中心及相关资金使用单位根据绩效自评材料清单，及时提交项目绩效自评材料（含绩效自评表、绩效自评报告及相关佐证材料），我机构对被评价单位所提交材料的完整性、规范性进行初步审核，对于缺少相关材料的要求限期补充齐全。</w:t>
      </w:r>
    </w:p>
    <w:p>
      <w:pPr>
        <w:ind w:firstLine="632"/>
        <w:rPr>
          <w:rFonts w:hint="eastAsia" w:cs="Times New Roman"/>
        </w:rPr>
      </w:pPr>
      <w:r>
        <w:rPr>
          <w:rFonts w:hint="eastAsia" w:cs="Times New Roman"/>
        </w:rPr>
        <w:t>②自评材料书面审核。</w:t>
      </w:r>
    </w:p>
    <w:p>
      <w:pPr>
        <w:ind w:firstLine="632"/>
        <w:rPr>
          <w:rFonts w:hint="eastAsia" w:cs="Times New Roman"/>
        </w:rPr>
      </w:pPr>
      <w:r>
        <w:rPr>
          <w:rFonts w:hint="eastAsia" w:cs="Times New Roman"/>
        </w:rPr>
        <w:t>对区公共建设项目管理服务中心提供的绩效自评资料进行收集、分类整理，结合评价思路对自评材料的有关内容进行审核，重点对填报信息的准确性、完整性及相应佐证材料的有效性进行审核，发现项目初步存在的问题，并将审核过程中发现的问题、审核意见记录清楚，汇总成现场核查问题清单，为开展现场核查提供情况参考。</w:t>
      </w:r>
    </w:p>
    <w:p>
      <w:pPr>
        <w:pStyle w:val="5"/>
        <w:ind w:firstLine="632"/>
        <w:rPr>
          <w:rFonts w:hint="eastAsia"/>
        </w:rPr>
      </w:pPr>
      <w:r>
        <w:rPr>
          <w:rFonts w:hint="eastAsia"/>
        </w:rPr>
        <w:t>（3）现场核查。</w:t>
      </w:r>
    </w:p>
    <w:p>
      <w:pPr>
        <w:ind w:firstLine="632"/>
        <w:rPr>
          <w:rFonts w:hint="eastAsia" w:cs="Times New Roman"/>
        </w:rPr>
      </w:pPr>
      <w:r>
        <w:rPr>
          <w:rFonts w:hint="eastAsia" w:cs="Times New Roman"/>
        </w:rPr>
        <w:t>根据《广州市增城区财政局关于开展2024年财政评价工作的通知》（增财〔2024〕178号）、《广州市增城区财政局关于印发2024年增城区区级财政资金绩效评价工作方案的通知》（增财〔2024〕212号）等有关规定和绩效评价现场核查实际操作规程，通过现场评价对项目资金使用情况进行深入具体、独立客观的了解与核实，并前往项目工程建设点完成现场勘验工作。结合项目特点、自评材料初审等情况，6月14日前往区公共建设项目管理服务中心开展现场座谈核查与实地勘察，核查了解2023年项目相关工作推进与完成情况。</w:t>
      </w:r>
    </w:p>
    <w:p>
      <w:pPr>
        <w:ind w:firstLine="632"/>
        <w:rPr>
          <w:rFonts w:hint="eastAsia" w:cs="Times New Roman"/>
        </w:rPr>
      </w:pPr>
      <w:r>
        <w:rPr>
          <w:rFonts w:hint="eastAsia" w:cs="Times New Roman"/>
        </w:rPr>
        <w:t>现场核查工作主要包括：</w:t>
      </w:r>
    </w:p>
    <w:p>
      <w:pPr>
        <w:ind w:firstLine="632"/>
        <w:rPr>
          <w:rFonts w:hint="eastAsia" w:cs="Times New Roman"/>
        </w:rPr>
      </w:pPr>
      <w:r>
        <w:rPr>
          <w:rFonts w:hint="eastAsia" w:cs="Times New Roman"/>
        </w:rPr>
        <w:t>①材料核实。</w:t>
      </w:r>
    </w:p>
    <w:p>
      <w:pPr>
        <w:ind w:firstLine="632"/>
        <w:rPr>
          <w:rFonts w:hint="eastAsia" w:cs="Times New Roman"/>
        </w:rPr>
      </w:pPr>
      <w:r>
        <w:rPr>
          <w:rFonts w:hint="eastAsia" w:cs="Times New Roman"/>
        </w:rPr>
        <w:t>区公共建设项目管理服务中心及资金使用单位根据要求填报并提供有关评价资料，我机构对各项数据和资料的完整性、准确性进行核实。提供材料需重点注意：</w:t>
      </w:r>
      <w:r>
        <w:rPr>
          <w:rFonts w:hint="eastAsia" w:cs="Times New Roman"/>
          <w:b/>
          <w:bCs/>
        </w:rPr>
        <w:t>一是</w:t>
      </w:r>
      <w:r>
        <w:rPr>
          <w:rFonts w:hint="eastAsia" w:cs="Times New Roman"/>
        </w:rPr>
        <w:t>反映财政资金实施内容的相关材料应齐备，如资金申报和审批材料、相关管理制度、相关单位监督检查证明、资金使用情况证明等材料。</w:t>
      </w:r>
      <w:r>
        <w:rPr>
          <w:rFonts w:hint="eastAsia" w:cs="Times New Roman"/>
          <w:b/>
          <w:bCs/>
        </w:rPr>
        <w:t>二是</w:t>
      </w:r>
      <w:r>
        <w:rPr>
          <w:rFonts w:hint="eastAsia" w:cs="Times New Roman"/>
        </w:rPr>
        <w:t>反映项目实行专账核算的相关资金材料应齐备，如评价基准日前，各类资金到位的进账凭证，资金支出记账凭证等。三</w:t>
      </w:r>
      <w:r>
        <w:rPr>
          <w:rFonts w:hint="eastAsia" w:cs="Times New Roman"/>
          <w:b/>
          <w:bCs/>
        </w:rPr>
        <w:t>是</w:t>
      </w:r>
      <w:r>
        <w:rPr>
          <w:rFonts w:hint="eastAsia" w:cs="Times New Roman"/>
        </w:rPr>
        <w:t>反映项目产出和项目效益的佐证材料由业务主管部门或资金使用单位提出并提供给现场评价小组核查。</w:t>
      </w:r>
      <w:r>
        <w:rPr>
          <w:rFonts w:hint="eastAsia" w:cs="Times New Roman"/>
          <w:b/>
          <w:bCs/>
        </w:rPr>
        <w:t>四是</w:t>
      </w:r>
      <w:r>
        <w:rPr>
          <w:rFonts w:hint="eastAsia" w:cs="Times New Roman"/>
        </w:rPr>
        <w:t>现场评价小组在现场核查时提出补充佐证材料的要求，相关单位应在规定时间内提供给现场评价小组核查，相关佐证材料须为原件。</w:t>
      </w:r>
    </w:p>
    <w:p>
      <w:pPr>
        <w:ind w:firstLine="632"/>
        <w:rPr>
          <w:rFonts w:hint="eastAsia" w:cs="Times New Roman"/>
        </w:rPr>
      </w:pPr>
      <w:r>
        <w:rPr>
          <w:rFonts w:hint="eastAsia" w:cs="Times New Roman"/>
        </w:rPr>
        <w:t>②询问答辩。</w:t>
      </w:r>
    </w:p>
    <w:p>
      <w:pPr>
        <w:ind w:firstLine="632"/>
        <w:rPr>
          <w:rFonts w:hint="eastAsia" w:cs="Times New Roman"/>
        </w:rPr>
      </w:pPr>
      <w:r>
        <w:rPr>
          <w:rFonts w:hint="eastAsia" w:cs="Times New Roman"/>
        </w:rPr>
        <w:t>评价小组将在核实材料基础上，就项目实施有关问题进行询问。相关负责人需对项目情况做出总结介绍，对评价小组提出的问题，有关部门、单位代表要按要求予以现场答复或会后书面答复。参会代表均需于询问答辩会召开时签到，评价小组安排专人对会议有关事项作详细记录。</w:t>
      </w:r>
    </w:p>
    <w:p>
      <w:pPr>
        <w:ind w:firstLine="632"/>
        <w:rPr>
          <w:rFonts w:hint="eastAsia" w:cs="Times New Roman"/>
        </w:rPr>
      </w:pPr>
      <w:r>
        <w:rPr>
          <w:rFonts w:hint="eastAsia" w:cs="Times New Roman"/>
        </w:rPr>
        <w:t>③满意度调查与材料补充。</w:t>
      </w:r>
    </w:p>
    <w:p>
      <w:pPr>
        <w:ind w:firstLine="632"/>
        <w:rPr>
          <w:rFonts w:hint="eastAsia" w:cs="Times New Roman"/>
        </w:rPr>
      </w:pPr>
      <w:r>
        <w:rPr>
          <w:rFonts w:hint="eastAsia" w:cs="Times New Roman"/>
        </w:rPr>
        <w:t>根据现场核查实际情况，形成补充材料清单，区公共建设项目管理服务中心按照资料清单相应补充资料，同时开展项目满意度调查工作。</w:t>
      </w:r>
    </w:p>
    <w:p>
      <w:pPr>
        <w:pStyle w:val="5"/>
        <w:ind w:firstLine="632"/>
        <w:rPr>
          <w:rFonts w:hint="eastAsia"/>
        </w:rPr>
      </w:pPr>
      <w:r>
        <w:rPr>
          <w:rFonts w:hint="eastAsia"/>
        </w:rPr>
        <w:t>（4）综合评价。</w:t>
      </w:r>
    </w:p>
    <w:p>
      <w:pPr>
        <w:ind w:firstLine="632"/>
        <w:rPr>
          <w:rFonts w:hint="eastAsia" w:cs="Times New Roman"/>
        </w:rPr>
      </w:pPr>
      <w:r>
        <w:rPr>
          <w:rFonts w:hint="eastAsia" w:cs="Times New Roman"/>
        </w:rPr>
        <w:t>对采集的数据资料进行系统的汇集整理，结合专家意见，按照评价工作方案设定的评价指标、标准和方法，对项目产出效益绩效情况进行全面的定量定性分析和综合评价。</w:t>
      </w:r>
    </w:p>
    <w:p>
      <w:pPr>
        <w:pStyle w:val="5"/>
        <w:ind w:firstLine="632"/>
        <w:rPr>
          <w:rFonts w:hint="eastAsia"/>
        </w:rPr>
      </w:pPr>
      <w:r>
        <w:rPr>
          <w:rFonts w:hint="eastAsia"/>
        </w:rPr>
        <w:t>（5）报告撰写。</w:t>
      </w:r>
    </w:p>
    <w:p>
      <w:pPr>
        <w:ind w:firstLine="632"/>
        <w:rPr>
          <w:rFonts w:hint="eastAsia" w:cs="Times New Roman"/>
        </w:rPr>
      </w:pPr>
      <w:r>
        <w:rPr>
          <w:rFonts w:hint="eastAsia" w:cs="Times New Roman"/>
        </w:rPr>
        <w:t>①完成评价报告初稿。</w:t>
      </w:r>
    </w:p>
    <w:p>
      <w:pPr>
        <w:ind w:firstLine="632"/>
        <w:rPr>
          <w:rFonts w:hint="eastAsia" w:cs="Times New Roman"/>
        </w:rPr>
      </w:pPr>
      <w:r>
        <w:rPr>
          <w:rFonts w:hint="eastAsia" w:cs="Times New Roman"/>
        </w:rPr>
        <w:t>根据评价工作方案设定的评价指标、标准和方法，结合现场评价等情况，对本项目实施情况采用定量与定性相结合的综合判断法，对项目产出与效益进行整体评价；将财政资金的绩效实现情况与预期绩效目标进行比较，围绕项目立项、绩效目标设置、资金投入、资金管理、组织实施、产出数量质量及时效、社会效益、经济效益等进行全面综合分析，采用比对、分析、讨论等方法进行全面论证形成报告初稿。</w:t>
      </w:r>
    </w:p>
    <w:p>
      <w:pPr>
        <w:ind w:firstLine="632"/>
        <w:rPr>
          <w:rFonts w:hint="eastAsia" w:cs="Times New Roman"/>
        </w:rPr>
      </w:pPr>
      <w:r>
        <w:rPr>
          <w:rFonts w:hint="eastAsia" w:cs="Times New Roman"/>
        </w:rPr>
        <w:t>②提交增城区财政局审核。</w:t>
      </w:r>
    </w:p>
    <w:p>
      <w:pPr>
        <w:ind w:firstLine="632"/>
        <w:rPr>
          <w:rFonts w:hint="eastAsia" w:cs="Times New Roman"/>
        </w:rPr>
      </w:pPr>
      <w:r>
        <w:rPr>
          <w:rFonts w:hint="eastAsia" w:cs="Times New Roman"/>
        </w:rPr>
        <w:t>经内部审核并修改完善后形成绩效评价报告初稿，报区财政局审核，结合区财政局审核意见修改完善形成征求意见稿。</w:t>
      </w:r>
    </w:p>
    <w:p>
      <w:pPr>
        <w:ind w:firstLine="632"/>
        <w:rPr>
          <w:rFonts w:hint="eastAsia" w:cs="Times New Roman"/>
        </w:rPr>
      </w:pPr>
      <w:r>
        <w:rPr>
          <w:rFonts w:hint="eastAsia" w:cs="Times New Roman"/>
        </w:rPr>
        <w:t>③征求被评价单位意见。</w:t>
      </w:r>
    </w:p>
    <w:p>
      <w:pPr>
        <w:ind w:firstLine="632"/>
        <w:rPr>
          <w:rFonts w:hint="eastAsia" w:cs="Times New Roman"/>
        </w:rPr>
      </w:pPr>
      <w:r>
        <w:rPr>
          <w:rFonts w:hint="eastAsia" w:cs="Times New Roman"/>
        </w:rPr>
        <w:t>将绩效评价报告（征求意见稿）反馈区公共建设项目管理服务中心征求意见，根据反馈意见对评价报告进行完善。</w:t>
      </w:r>
    </w:p>
    <w:p>
      <w:pPr>
        <w:ind w:firstLine="632"/>
        <w:rPr>
          <w:rFonts w:hint="eastAsia" w:cs="Times New Roman"/>
        </w:rPr>
      </w:pPr>
      <w:r>
        <w:rPr>
          <w:rFonts w:hint="eastAsia" w:cs="Times New Roman"/>
        </w:rPr>
        <w:t>④组织专家对报告复核</w:t>
      </w:r>
    </w:p>
    <w:p>
      <w:pPr>
        <w:ind w:firstLine="632"/>
        <w:rPr>
          <w:rFonts w:hint="eastAsia" w:cs="Times New Roman"/>
        </w:rPr>
      </w:pPr>
      <w:r>
        <w:rPr>
          <w:rFonts w:hint="eastAsia" w:cs="Times New Roman"/>
        </w:rPr>
        <w:t>按照绩效评价工作要求，组织复核专家对绩效评价报告修改稿进行复核，提出专家复核意见。</w:t>
      </w:r>
    </w:p>
    <w:p>
      <w:pPr>
        <w:ind w:firstLine="632"/>
        <w:rPr>
          <w:rFonts w:hint="eastAsia" w:cs="Times New Roman"/>
        </w:rPr>
      </w:pPr>
      <w:r>
        <w:rPr>
          <w:rFonts w:hint="eastAsia" w:cs="Times New Roman"/>
        </w:rPr>
        <w:t>⑤形成正式评价报告</w:t>
      </w:r>
    </w:p>
    <w:p>
      <w:pPr>
        <w:ind w:firstLine="632"/>
        <w:rPr>
          <w:rFonts w:hint="eastAsia" w:cs="Times New Roman"/>
        </w:rPr>
      </w:pPr>
      <w:r>
        <w:rPr>
          <w:rFonts w:hint="eastAsia" w:cs="Times New Roman"/>
        </w:rPr>
        <w:t>综合专家复核提出的意见，完善形成正式评价报告。</w:t>
      </w:r>
    </w:p>
    <w:p>
      <w:pPr>
        <w:pStyle w:val="3"/>
        <w:ind w:firstLine="632"/>
        <w:rPr>
          <w:rFonts w:cs="Times New Roman"/>
        </w:rPr>
      </w:pPr>
      <w:bookmarkStart w:id="9" w:name="_Toc177204524"/>
      <w:r>
        <w:rPr>
          <w:rFonts w:cs="Times New Roman"/>
        </w:rPr>
        <w:t>（三）绩效评价指标体系和评分标准方法。</w:t>
      </w:r>
      <w:bookmarkEnd w:id="9"/>
    </w:p>
    <w:p>
      <w:pPr>
        <w:pStyle w:val="4"/>
        <w:ind w:firstLine="632"/>
        <w:rPr>
          <w:rFonts w:cs="Times New Roman"/>
        </w:rPr>
      </w:pPr>
      <w:r>
        <w:rPr>
          <w:rFonts w:cs="Times New Roman"/>
        </w:rPr>
        <w:t>1.指标体系设计的总体思路。</w:t>
      </w:r>
    </w:p>
    <w:p>
      <w:pPr>
        <w:ind w:firstLine="632"/>
        <w:rPr>
          <w:rFonts w:cs="Times New Roman"/>
        </w:rPr>
      </w:pPr>
      <w:r>
        <w:rPr>
          <w:rFonts w:cs="Times New Roman"/>
        </w:rPr>
        <w:t>本次绩效评价指标体系共性指标评价标准主要依据《广州市增城区财政局关于印发&lt;广州市增城区预算绩效管理办法&gt;的通知》（增财〔2020〕222号）、《广州市增城区财政局关于开展2024年财政评价工作的通知》（增财〔2024〕178号）、《广州市增城区财政局关于印发2024年增城区区级财政资金绩效评价工作方案的通知》（增财〔2024〕212号）有关规定设置；个性化指标预期目标值主要依据《广州市增城区发展和改革局关于增城区应元学校高中部建设项目可行性研究报告的复函》（穗增发改投批〔2022〕21号）、《广州市建设工程施工合同》、行业标准等文件，结合区公共建设项目管理服务中心项目绩效自评报告、项目支出绩效自评表等指标设置情况确定，详见表3。</w:t>
      </w:r>
    </w:p>
    <w:p>
      <w:pPr>
        <w:pStyle w:val="4"/>
        <w:ind w:firstLine="632"/>
        <w:rPr>
          <w:rFonts w:cs="Times New Roman"/>
        </w:rPr>
      </w:pPr>
      <w:r>
        <w:rPr>
          <w:rFonts w:cs="Times New Roman"/>
        </w:rPr>
        <w:t>2.指标体系。</w:t>
      </w:r>
    </w:p>
    <w:p>
      <w:pPr>
        <w:ind w:firstLine="632"/>
        <w:rPr>
          <w:rFonts w:cs="Times New Roman"/>
        </w:rPr>
      </w:pPr>
      <w:r>
        <w:rPr>
          <w:rFonts w:cs="Times New Roman"/>
        </w:rPr>
        <w:t>本次重点绩效评价主要是对增城区应元学校高中部建设工程项目的决策、过程、产出、效益指标四个方面内容进行考核，我机构结合评价内容相应地选设指标及权重，形成包含4个一级指标、8个二级指标、</w:t>
      </w:r>
      <w:r>
        <w:rPr>
          <w:rFonts w:hint="eastAsia" w:cs="Times New Roman"/>
        </w:rPr>
        <w:t>16</w:t>
      </w:r>
      <w:r>
        <w:rPr>
          <w:rFonts w:cs="Times New Roman"/>
        </w:rPr>
        <w:t>个三级指标、24个四级指标的评价指标体系。综合评价重点为项目决策、过程、产出和效益四大方面，其权重分别为：决策20%、过程20%、产出30%、效益</w:t>
      </w:r>
      <w:r>
        <w:rPr>
          <w:rFonts w:hint="eastAsia" w:cs="Times New Roman"/>
        </w:rPr>
        <w:t>30</w:t>
      </w:r>
      <w:r>
        <w:rPr>
          <w:rFonts w:cs="Times New Roman"/>
        </w:rPr>
        <w:t>%，具体指标设置和评分标准详见附件1。</w:t>
      </w:r>
    </w:p>
    <w:p>
      <w:pPr>
        <w:ind w:firstLine="632"/>
        <w:rPr>
          <w:rFonts w:cs="Times New Roman"/>
        </w:rPr>
      </w:pPr>
      <w:r>
        <w:rPr>
          <w:rFonts w:cs="Times New Roman"/>
        </w:rPr>
        <w:t>指标体系采用百分制的计分方式，评价结果分为优、良、中、差四个等级，分别为：90（含）-100分为优、80（含）-90分为良、60（含）-80分为中、60分以下为差。</w:t>
      </w:r>
    </w:p>
    <w:p>
      <w:pPr>
        <w:pStyle w:val="4"/>
        <w:ind w:firstLine="632"/>
        <w:rPr>
          <w:rFonts w:cs="Times New Roman"/>
        </w:rPr>
      </w:pPr>
      <w:r>
        <w:rPr>
          <w:rFonts w:cs="Times New Roman"/>
        </w:rPr>
        <w:t>3.各项指标定义、评分标准和评分细则。</w:t>
      </w:r>
    </w:p>
    <w:p>
      <w:pPr>
        <w:ind w:firstLine="632"/>
        <w:rPr>
          <w:rFonts w:cs="Times New Roman"/>
        </w:rPr>
      </w:pPr>
      <w:r>
        <w:rPr>
          <w:rFonts w:cs="Times New Roman"/>
        </w:rPr>
        <w:t>本次绩效评价指标体系指标评价标准与细则主要依据《广州市增城区财政局关于开展2024年财政评价工作的通知》（增财〔2024〕178号）、《广州市增城区财政局关于印发2024年增城区区级财政资金绩效评价工作方案的通知》（增财〔2024〕212号）有关规定设置，详见附件1。</w:t>
      </w:r>
    </w:p>
    <w:p>
      <w:pPr>
        <w:pStyle w:val="2"/>
        <w:ind w:firstLine="632"/>
        <w:rPr>
          <w:rFonts w:cs="Times New Roman"/>
        </w:rPr>
      </w:pPr>
      <w:bookmarkStart w:id="10" w:name="_Toc177204525"/>
      <w:r>
        <w:rPr>
          <w:rFonts w:cs="Times New Roman"/>
        </w:rPr>
        <w:t>三、评价结论与绩效分析</w:t>
      </w:r>
      <w:bookmarkEnd w:id="10"/>
    </w:p>
    <w:p>
      <w:pPr>
        <w:pStyle w:val="3"/>
        <w:ind w:firstLine="632"/>
        <w:rPr>
          <w:rFonts w:cs="Times New Roman"/>
        </w:rPr>
      </w:pPr>
      <w:bookmarkStart w:id="11" w:name="_Toc177204526"/>
      <w:r>
        <w:rPr>
          <w:rFonts w:cs="Times New Roman"/>
        </w:rPr>
        <w:t>（一）总体结论。</w:t>
      </w:r>
      <w:bookmarkEnd w:id="11"/>
    </w:p>
    <w:p>
      <w:pPr>
        <w:ind w:firstLine="632"/>
        <w:rPr>
          <w:rFonts w:cs="Times New Roman"/>
        </w:rPr>
      </w:pPr>
      <w:r>
        <w:rPr>
          <w:rFonts w:cs="Times New Roman"/>
        </w:rPr>
        <w:t>根据《广州市增城区财政局关于开展2024年财政评价工作的通知》（增财〔2024〕178号）、《广州市增城区关于印发2024年增城区区级财政资金支出绩效评价工作方案的通知》（增财〔2024〕212号）要求，本项目绩效评价指标体系设计总分值为100分，对决策、过程、产出和效益4个方面进行综合分析。</w:t>
      </w:r>
    </w:p>
    <w:p>
      <w:pPr>
        <w:ind w:firstLine="632"/>
        <w:rPr>
          <w:rFonts w:cs="Times New Roman"/>
        </w:rPr>
      </w:pPr>
      <w:r>
        <w:rPr>
          <w:rFonts w:cs="Times New Roman"/>
        </w:rPr>
        <w:t>2023年度区公共建设项目管理服务中心基本按照相关制度和合同约定推进项目实施，</w:t>
      </w:r>
      <w:r>
        <w:rPr>
          <w:rFonts w:cs="Times New Roman"/>
          <w:bCs/>
          <w:szCs w:val="32"/>
        </w:rPr>
        <w:t>但项目实施存在</w:t>
      </w:r>
      <w:r>
        <w:rPr>
          <w:rFonts w:cs="Times New Roman"/>
        </w:rPr>
        <w:t>监管措施有待优化</w:t>
      </w:r>
      <w:r>
        <w:rPr>
          <w:rFonts w:cs="Times New Roman"/>
          <w:bCs/>
          <w:szCs w:val="32"/>
        </w:rPr>
        <w:t>、</w:t>
      </w:r>
      <w:r>
        <w:rPr>
          <w:rFonts w:cs="Times New Roman"/>
        </w:rPr>
        <w:t>监管力度需加强</w:t>
      </w:r>
      <w:r>
        <w:rPr>
          <w:rFonts w:cs="Times New Roman"/>
          <w:bCs/>
          <w:szCs w:val="32"/>
        </w:rPr>
        <w:t>、</w:t>
      </w:r>
      <w:r>
        <w:rPr>
          <w:rStyle w:val="24"/>
          <w:rFonts w:eastAsia="仿宋_GB2312" w:cs="Times New Roman"/>
          <w:bCs w:val="0"/>
          <w:szCs w:val="22"/>
        </w:rPr>
        <w:t>财务资料不够规范完整、绩效</w:t>
      </w:r>
      <w:r>
        <w:rPr>
          <w:rFonts w:cs="Times New Roman"/>
          <w:bCs/>
          <w:szCs w:val="32"/>
        </w:rPr>
        <w:t>考核体系有待完善等问题，</w:t>
      </w:r>
      <w:r>
        <w:rPr>
          <w:rFonts w:cs="Times New Roman"/>
        </w:rPr>
        <w:t>综合评价增城区应元学校高中部建设工程项目绩效得分89.5分，评定等级为</w:t>
      </w:r>
      <w:r>
        <w:rPr>
          <w:rFonts w:hint="eastAsia" w:ascii="仿宋_GB2312" w:cs="Times New Roman"/>
        </w:rPr>
        <w:t>“</w:t>
      </w:r>
      <w:r>
        <w:rPr>
          <w:rFonts w:cs="Times New Roman"/>
        </w:rPr>
        <w:t>良</w:t>
      </w:r>
      <w:r>
        <w:rPr>
          <w:rFonts w:hint="eastAsia" w:ascii="仿宋_GB2312" w:cs="Times New Roman"/>
        </w:rPr>
        <w:t>”</w:t>
      </w:r>
      <w:r>
        <w:rPr>
          <w:rFonts w:cs="Times New Roman"/>
        </w:rPr>
        <w:t>。</w:t>
      </w:r>
    </w:p>
    <w:p>
      <w:pPr>
        <w:pStyle w:val="6"/>
        <w:keepNext/>
        <w:ind w:firstLine="640"/>
        <w:rPr>
          <w:rFonts w:ascii="Times New Roman" w:hAnsi="Times New Roman" w:cs="Times New Roman"/>
        </w:rPr>
      </w:pPr>
      <w:r>
        <w:rPr>
          <w:rFonts w:ascii="Times New Roman" w:hAnsi="Times New Roman" w:cs="Times New Roman"/>
        </w:rPr>
        <w:t>表5  项目综合评定结果</w:t>
      </w:r>
    </w:p>
    <w:tbl>
      <w:tblPr>
        <w:tblStyle w:val="15"/>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31"/>
        <w:gridCol w:w="2598"/>
        <w:gridCol w:w="1707"/>
        <w:gridCol w:w="1748"/>
        <w:gridCol w:w="17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blHeader/>
          <w:jc w:val="center"/>
        </w:trPr>
        <w:tc>
          <w:tcPr>
            <w:tcW w:w="1329" w:type="dxa"/>
            <w:shd w:val="clear" w:color="auto" w:fill="auto"/>
            <w:noWrap/>
            <w:vAlign w:val="center"/>
          </w:tcPr>
          <w:p>
            <w:pPr>
              <w:widowControl/>
              <w:spacing w:line="240" w:lineRule="auto"/>
              <w:ind w:firstLine="0" w:firstLineChars="0"/>
              <w:jc w:val="center"/>
              <w:rPr>
                <w:rFonts w:cs="Times New Roman"/>
                <w:b/>
                <w:kern w:val="0"/>
                <w:sz w:val="24"/>
              </w:rPr>
            </w:pPr>
            <w:r>
              <w:rPr>
                <w:rFonts w:cs="Times New Roman"/>
                <w:b/>
                <w:kern w:val="0"/>
                <w:sz w:val="24"/>
              </w:rPr>
              <w:t>序号</w:t>
            </w:r>
          </w:p>
        </w:tc>
        <w:tc>
          <w:tcPr>
            <w:tcW w:w="2602" w:type="dxa"/>
            <w:shd w:val="clear" w:color="auto" w:fill="auto"/>
            <w:noWrap/>
            <w:vAlign w:val="center"/>
          </w:tcPr>
          <w:p>
            <w:pPr>
              <w:widowControl/>
              <w:spacing w:line="240" w:lineRule="auto"/>
              <w:ind w:firstLine="0" w:firstLineChars="0"/>
              <w:jc w:val="center"/>
              <w:rPr>
                <w:rFonts w:cs="Times New Roman"/>
                <w:b/>
                <w:kern w:val="0"/>
                <w:sz w:val="24"/>
              </w:rPr>
            </w:pPr>
            <w:r>
              <w:rPr>
                <w:rFonts w:cs="Times New Roman"/>
                <w:b/>
                <w:kern w:val="0"/>
                <w:sz w:val="24"/>
              </w:rPr>
              <w:t>评价内容</w:t>
            </w:r>
          </w:p>
        </w:tc>
        <w:tc>
          <w:tcPr>
            <w:tcW w:w="1706" w:type="dxa"/>
            <w:shd w:val="clear" w:color="auto" w:fill="auto"/>
            <w:noWrap/>
            <w:vAlign w:val="center"/>
          </w:tcPr>
          <w:p>
            <w:pPr>
              <w:widowControl/>
              <w:spacing w:line="240" w:lineRule="auto"/>
              <w:ind w:firstLine="0" w:firstLineChars="0"/>
              <w:jc w:val="center"/>
              <w:rPr>
                <w:rFonts w:cs="Times New Roman"/>
                <w:b/>
                <w:kern w:val="0"/>
                <w:sz w:val="24"/>
              </w:rPr>
            </w:pPr>
            <w:r>
              <w:rPr>
                <w:rFonts w:cs="Times New Roman"/>
                <w:b/>
                <w:kern w:val="0"/>
                <w:sz w:val="24"/>
              </w:rPr>
              <w:t>分值</w:t>
            </w:r>
          </w:p>
        </w:tc>
        <w:tc>
          <w:tcPr>
            <w:tcW w:w="1747" w:type="dxa"/>
            <w:shd w:val="clear" w:color="auto" w:fill="auto"/>
            <w:noWrap/>
            <w:vAlign w:val="center"/>
          </w:tcPr>
          <w:p>
            <w:pPr>
              <w:widowControl/>
              <w:spacing w:line="240" w:lineRule="auto"/>
              <w:ind w:firstLine="0" w:firstLineChars="0"/>
              <w:jc w:val="center"/>
              <w:rPr>
                <w:rFonts w:cs="Times New Roman"/>
                <w:b/>
                <w:kern w:val="0"/>
                <w:sz w:val="24"/>
              </w:rPr>
            </w:pPr>
            <w:r>
              <w:rPr>
                <w:rFonts w:cs="Times New Roman"/>
                <w:b/>
                <w:kern w:val="0"/>
                <w:sz w:val="24"/>
              </w:rPr>
              <w:t>得分</w:t>
            </w:r>
          </w:p>
        </w:tc>
        <w:tc>
          <w:tcPr>
            <w:tcW w:w="1789" w:type="dxa"/>
            <w:shd w:val="clear" w:color="auto" w:fill="auto"/>
            <w:noWrap/>
            <w:vAlign w:val="center"/>
          </w:tcPr>
          <w:p>
            <w:pPr>
              <w:widowControl/>
              <w:spacing w:line="240" w:lineRule="auto"/>
              <w:ind w:firstLine="0" w:firstLineChars="0"/>
              <w:jc w:val="center"/>
              <w:rPr>
                <w:rFonts w:cs="Times New Roman"/>
                <w:b/>
                <w:kern w:val="0"/>
                <w:sz w:val="24"/>
              </w:rPr>
            </w:pPr>
            <w:r>
              <w:rPr>
                <w:rFonts w:cs="Times New Roman"/>
                <w:b/>
                <w:kern w:val="0"/>
                <w:sz w:val="24"/>
              </w:rPr>
              <w:t>评价得分率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329" w:type="dxa"/>
            <w:shd w:val="clear" w:color="auto" w:fill="auto"/>
            <w:noWrap/>
            <w:vAlign w:val="center"/>
          </w:tcPr>
          <w:p>
            <w:pPr>
              <w:widowControl/>
              <w:spacing w:line="240" w:lineRule="auto"/>
              <w:ind w:firstLine="0" w:firstLineChars="0"/>
              <w:jc w:val="center"/>
              <w:rPr>
                <w:rFonts w:cs="Times New Roman"/>
                <w:kern w:val="0"/>
                <w:sz w:val="24"/>
              </w:rPr>
            </w:pPr>
            <w:r>
              <w:rPr>
                <w:rFonts w:cs="Times New Roman"/>
                <w:kern w:val="0"/>
                <w:sz w:val="24"/>
              </w:rPr>
              <w:t>1</w:t>
            </w:r>
          </w:p>
        </w:tc>
        <w:tc>
          <w:tcPr>
            <w:tcW w:w="2602" w:type="dxa"/>
            <w:shd w:val="clear" w:color="auto" w:fill="auto"/>
            <w:noWrap/>
            <w:vAlign w:val="center"/>
          </w:tcPr>
          <w:p>
            <w:pPr>
              <w:widowControl/>
              <w:spacing w:line="240" w:lineRule="auto"/>
              <w:ind w:firstLine="0" w:firstLineChars="0"/>
              <w:jc w:val="center"/>
              <w:rPr>
                <w:rFonts w:cs="Times New Roman"/>
                <w:kern w:val="0"/>
                <w:sz w:val="24"/>
              </w:rPr>
            </w:pPr>
            <w:r>
              <w:rPr>
                <w:rFonts w:cs="Times New Roman"/>
                <w:kern w:val="0"/>
                <w:sz w:val="24"/>
              </w:rPr>
              <w:t>决策</w:t>
            </w:r>
          </w:p>
        </w:tc>
        <w:tc>
          <w:tcPr>
            <w:tcW w:w="1706" w:type="dxa"/>
            <w:shd w:val="clear" w:color="auto" w:fill="auto"/>
            <w:noWrap/>
            <w:vAlign w:val="center"/>
          </w:tcPr>
          <w:p>
            <w:pPr>
              <w:widowControl/>
              <w:spacing w:line="240" w:lineRule="auto"/>
              <w:ind w:firstLine="0" w:firstLineChars="0"/>
              <w:jc w:val="center"/>
              <w:rPr>
                <w:rFonts w:cs="Times New Roman"/>
                <w:kern w:val="0"/>
                <w:sz w:val="24"/>
              </w:rPr>
            </w:pPr>
            <w:r>
              <w:rPr>
                <w:rFonts w:cs="Times New Roman"/>
                <w:kern w:val="0"/>
                <w:sz w:val="24"/>
              </w:rPr>
              <w:t>20</w:t>
            </w:r>
          </w:p>
        </w:tc>
        <w:tc>
          <w:tcPr>
            <w:tcW w:w="1747" w:type="dxa"/>
            <w:shd w:val="clear" w:color="auto" w:fill="auto"/>
            <w:noWrap/>
            <w:vAlign w:val="center"/>
          </w:tcPr>
          <w:p>
            <w:pPr>
              <w:widowControl/>
              <w:spacing w:line="240" w:lineRule="auto"/>
              <w:ind w:firstLine="0" w:firstLineChars="0"/>
              <w:jc w:val="center"/>
              <w:rPr>
                <w:rFonts w:cs="Times New Roman"/>
                <w:kern w:val="0"/>
                <w:sz w:val="24"/>
              </w:rPr>
            </w:pPr>
            <w:r>
              <w:rPr>
                <w:rFonts w:cs="Times New Roman"/>
                <w:kern w:val="0"/>
                <w:sz w:val="24"/>
              </w:rPr>
              <w:t>16.5</w:t>
            </w:r>
          </w:p>
        </w:tc>
        <w:tc>
          <w:tcPr>
            <w:tcW w:w="1789" w:type="dxa"/>
            <w:shd w:val="clear" w:color="auto" w:fill="auto"/>
            <w:noWrap/>
            <w:vAlign w:val="center"/>
          </w:tcPr>
          <w:p>
            <w:pPr>
              <w:widowControl/>
              <w:spacing w:line="240" w:lineRule="auto"/>
              <w:ind w:firstLine="0" w:firstLineChars="0"/>
              <w:jc w:val="center"/>
              <w:rPr>
                <w:rFonts w:cs="Times New Roman"/>
                <w:kern w:val="0"/>
                <w:sz w:val="24"/>
              </w:rPr>
            </w:pPr>
            <w:r>
              <w:rPr>
                <w:rFonts w:cs="Times New Roman"/>
                <w:kern w:val="0"/>
                <w:sz w:val="24"/>
              </w:rPr>
              <w:t>82.5%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329" w:type="dxa"/>
            <w:shd w:val="clear" w:color="auto" w:fill="auto"/>
            <w:noWrap/>
            <w:vAlign w:val="center"/>
          </w:tcPr>
          <w:p>
            <w:pPr>
              <w:widowControl/>
              <w:spacing w:line="240" w:lineRule="auto"/>
              <w:ind w:firstLine="0" w:firstLineChars="0"/>
              <w:jc w:val="center"/>
              <w:rPr>
                <w:rFonts w:cs="Times New Roman"/>
                <w:kern w:val="0"/>
                <w:sz w:val="24"/>
              </w:rPr>
            </w:pPr>
            <w:r>
              <w:rPr>
                <w:rFonts w:cs="Times New Roman"/>
                <w:kern w:val="0"/>
                <w:sz w:val="24"/>
              </w:rPr>
              <w:t>2</w:t>
            </w:r>
          </w:p>
        </w:tc>
        <w:tc>
          <w:tcPr>
            <w:tcW w:w="2602" w:type="dxa"/>
            <w:shd w:val="clear" w:color="auto" w:fill="auto"/>
            <w:noWrap/>
            <w:vAlign w:val="center"/>
          </w:tcPr>
          <w:p>
            <w:pPr>
              <w:widowControl/>
              <w:spacing w:line="240" w:lineRule="auto"/>
              <w:ind w:firstLine="0" w:firstLineChars="0"/>
              <w:jc w:val="center"/>
              <w:rPr>
                <w:rFonts w:cs="Times New Roman"/>
                <w:kern w:val="0"/>
                <w:sz w:val="24"/>
              </w:rPr>
            </w:pPr>
            <w:r>
              <w:rPr>
                <w:rFonts w:cs="Times New Roman"/>
                <w:kern w:val="0"/>
                <w:sz w:val="24"/>
              </w:rPr>
              <w:t>过程</w:t>
            </w:r>
          </w:p>
        </w:tc>
        <w:tc>
          <w:tcPr>
            <w:tcW w:w="1706" w:type="dxa"/>
            <w:shd w:val="clear" w:color="auto" w:fill="auto"/>
            <w:noWrap/>
            <w:vAlign w:val="center"/>
          </w:tcPr>
          <w:p>
            <w:pPr>
              <w:widowControl/>
              <w:spacing w:line="240" w:lineRule="auto"/>
              <w:ind w:firstLine="0" w:firstLineChars="0"/>
              <w:jc w:val="center"/>
              <w:rPr>
                <w:rFonts w:cs="Times New Roman"/>
                <w:kern w:val="0"/>
                <w:sz w:val="24"/>
              </w:rPr>
            </w:pPr>
            <w:r>
              <w:rPr>
                <w:rFonts w:cs="Times New Roman"/>
                <w:kern w:val="0"/>
                <w:sz w:val="24"/>
              </w:rPr>
              <w:t>20</w:t>
            </w:r>
          </w:p>
        </w:tc>
        <w:tc>
          <w:tcPr>
            <w:tcW w:w="1747" w:type="dxa"/>
            <w:shd w:val="clear" w:color="auto" w:fill="auto"/>
            <w:noWrap/>
            <w:vAlign w:val="center"/>
          </w:tcPr>
          <w:p>
            <w:pPr>
              <w:widowControl/>
              <w:spacing w:line="240" w:lineRule="auto"/>
              <w:ind w:firstLine="0" w:firstLineChars="0"/>
              <w:jc w:val="center"/>
              <w:rPr>
                <w:rFonts w:cs="Times New Roman"/>
                <w:kern w:val="0"/>
                <w:sz w:val="24"/>
              </w:rPr>
            </w:pPr>
            <w:r>
              <w:rPr>
                <w:rFonts w:cs="Times New Roman"/>
                <w:kern w:val="0"/>
                <w:sz w:val="24"/>
              </w:rPr>
              <w:t>17.5</w:t>
            </w:r>
          </w:p>
        </w:tc>
        <w:tc>
          <w:tcPr>
            <w:tcW w:w="1789" w:type="dxa"/>
            <w:shd w:val="clear" w:color="auto" w:fill="auto"/>
            <w:noWrap/>
            <w:vAlign w:val="center"/>
          </w:tcPr>
          <w:p>
            <w:pPr>
              <w:widowControl/>
              <w:spacing w:line="240" w:lineRule="auto"/>
              <w:ind w:firstLine="0" w:firstLineChars="0"/>
              <w:jc w:val="center"/>
              <w:rPr>
                <w:rFonts w:cs="Times New Roman"/>
                <w:kern w:val="0"/>
                <w:sz w:val="24"/>
              </w:rPr>
            </w:pPr>
            <w:r>
              <w:rPr>
                <w:rFonts w:cs="Times New Roman"/>
                <w:kern w:val="0"/>
                <w:sz w:val="24"/>
              </w:rPr>
              <w:t>87.5%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329" w:type="dxa"/>
            <w:shd w:val="clear" w:color="auto" w:fill="auto"/>
            <w:noWrap/>
            <w:vAlign w:val="center"/>
          </w:tcPr>
          <w:p>
            <w:pPr>
              <w:widowControl/>
              <w:spacing w:line="240" w:lineRule="auto"/>
              <w:ind w:firstLine="0" w:firstLineChars="0"/>
              <w:jc w:val="center"/>
              <w:rPr>
                <w:rFonts w:cs="Times New Roman"/>
                <w:kern w:val="0"/>
                <w:sz w:val="24"/>
              </w:rPr>
            </w:pPr>
            <w:r>
              <w:rPr>
                <w:rFonts w:cs="Times New Roman"/>
                <w:kern w:val="0"/>
                <w:sz w:val="24"/>
              </w:rPr>
              <w:t>3</w:t>
            </w:r>
          </w:p>
        </w:tc>
        <w:tc>
          <w:tcPr>
            <w:tcW w:w="2602" w:type="dxa"/>
            <w:shd w:val="clear" w:color="auto" w:fill="auto"/>
            <w:noWrap/>
            <w:vAlign w:val="center"/>
          </w:tcPr>
          <w:p>
            <w:pPr>
              <w:widowControl/>
              <w:spacing w:line="240" w:lineRule="auto"/>
              <w:ind w:firstLine="0" w:firstLineChars="0"/>
              <w:jc w:val="center"/>
              <w:rPr>
                <w:rFonts w:cs="Times New Roman"/>
                <w:kern w:val="0"/>
                <w:sz w:val="24"/>
              </w:rPr>
            </w:pPr>
            <w:r>
              <w:rPr>
                <w:rFonts w:cs="Times New Roman"/>
                <w:kern w:val="0"/>
                <w:sz w:val="24"/>
              </w:rPr>
              <w:t>产出</w:t>
            </w:r>
          </w:p>
        </w:tc>
        <w:tc>
          <w:tcPr>
            <w:tcW w:w="1706" w:type="dxa"/>
            <w:shd w:val="clear" w:color="auto" w:fill="auto"/>
            <w:noWrap/>
            <w:vAlign w:val="center"/>
          </w:tcPr>
          <w:p>
            <w:pPr>
              <w:widowControl/>
              <w:spacing w:line="240" w:lineRule="auto"/>
              <w:ind w:firstLine="0" w:firstLineChars="0"/>
              <w:jc w:val="center"/>
              <w:rPr>
                <w:rFonts w:cs="Times New Roman"/>
                <w:kern w:val="0"/>
                <w:sz w:val="24"/>
              </w:rPr>
            </w:pPr>
            <w:r>
              <w:rPr>
                <w:rFonts w:cs="Times New Roman"/>
                <w:kern w:val="0"/>
                <w:sz w:val="24"/>
              </w:rPr>
              <w:t>30</w:t>
            </w:r>
          </w:p>
        </w:tc>
        <w:tc>
          <w:tcPr>
            <w:tcW w:w="1747" w:type="dxa"/>
            <w:shd w:val="clear" w:color="auto" w:fill="auto"/>
            <w:noWrap/>
            <w:vAlign w:val="center"/>
          </w:tcPr>
          <w:p>
            <w:pPr>
              <w:widowControl/>
              <w:spacing w:line="240" w:lineRule="auto"/>
              <w:ind w:firstLine="0" w:firstLineChars="0"/>
              <w:jc w:val="center"/>
              <w:rPr>
                <w:rFonts w:cs="Times New Roman"/>
                <w:kern w:val="0"/>
                <w:sz w:val="24"/>
              </w:rPr>
            </w:pPr>
            <w:r>
              <w:rPr>
                <w:rFonts w:cs="Times New Roman"/>
                <w:kern w:val="0"/>
                <w:sz w:val="24"/>
              </w:rPr>
              <w:t>28.5</w:t>
            </w:r>
          </w:p>
        </w:tc>
        <w:tc>
          <w:tcPr>
            <w:tcW w:w="1789" w:type="dxa"/>
            <w:shd w:val="clear" w:color="auto" w:fill="auto"/>
            <w:noWrap/>
            <w:vAlign w:val="center"/>
          </w:tcPr>
          <w:p>
            <w:pPr>
              <w:widowControl/>
              <w:spacing w:line="240" w:lineRule="auto"/>
              <w:ind w:firstLine="0" w:firstLineChars="0"/>
              <w:jc w:val="center"/>
              <w:rPr>
                <w:rFonts w:cs="Times New Roman"/>
                <w:kern w:val="0"/>
                <w:sz w:val="24"/>
              </w:rPr>
            </w:pPr>
            <w:r>
              <w:rPr>
                <w:rFonts w:cs="Times New Roman"/>
                <w:kern w:val="0"/>
                <w:sz w:val="24"/>
              </w:rPr>
              <w:t>95%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329" w:type="dxa"/>
            <w:shd w:val="clear" w:color="auto" w:fill="auto"/>
            <w:noWrap/>
            <w:vAlign w:val="center"/>
          </w:tcPr>
          <w:p>
            <w:pPr>
              <w:widowControl/>
              <w:spacing w:line="240" w:lineRule="auto"/>
              <w:ind w:firstLine="0" w:firstLineChars="0"/>
              <w:jc w:val="center"/>
              <w:rPr>
                <w:rFonts w:cs="Times New Roman"/>
                <w:kern w:val="0"/>
                <w:sz w:val="24"/>
              </w:rPr>
            </w:pPr>
            <w:r>
              <w:rPr>
                <w:rFonts w:cs="Times New Roman"/>
                <w:kern w:val="0"/>
                <w:sz w:val="24"/>
              </w:rPr>
              <w:t>4</w:t>
            </w:r>
          </w:p>
        </w:tc>
        <w:tc>
          <w:tcPr>
            <w:tcW w:w="2602" w:type="dxa"/>
            <w:shd w:val="clear" w:color="auto" w:fill="auto"/>
            <w:noWrap/>
            <w:vAlign w:val="center"/>
          </w:tcPr>
          <w:p>
            <w:pPr>
              <w:widowControl/>
              <w:spacing w:line="240" w:lineRule="auto"/>
              <w:ind w:firstLine="0" w:firstLineChars="0"/>
              <w:jc w:val="center"/>
              <w:rPr>
                <w:rFonts w:cs="Times New Roman"/>
                <w:kern w:val="0"/>
                <w:sz w:val="24"/>
              </w:rPr>
            </w:pPr>
            <w:r>
              <w:rPr>
                <w:rFonts w:cs="Times New Roman"/>
                <w:kern w:val="0"/>
                <w:sz w:val="24"/>
              </w:rPr>
              <w:t>效益</w:t>
            </w:r>
          </w:p>
        </w:tc>
        <w:tc>
          <w:tcPr>
            <w:tcW w:w="1706" w:type="dxa"/>
            <w:shd w:val="clear" w:color="auto" w:fill="auto"/>
            <w:noWrap/>
            <w:vAlign w:val="center"/>
          </w:tcPr>
          <w:p>
            <w:pPr>
              <w:widowControl/>
              <w:spacing w:line="240" w:lineRule="auto"/>
              <w:ind w:firstLine="0" w:firstLineChars="0"/>
              <w:jc w:val="center"/>
              <w:rPr>
                <w:rFonts w:cs="Times New Roman"/>
                <w:kern w:val="0"/>
                <w:sz w:val="24"/>
              </w:rPr>
            </w:pPr>
            <w:r>
              <w:rPr>
                <w:rFonts w:cs="Times New Roman"/>
                <w:kern w:val="0"/>
                <w:sz w:val="24"/>
              </w:rPr>
              <w:t>30</w:t>
            </w:r>
          </w:p>
        </w:tc>
        <w:tc>
          <w:tcPr>
            <w:tcW w:w="1747" w:type="dxa"/>
            <w:shd w:val="clear" w:color="auto" w:fill="auto"/>
            <w:noWrap/>
            <w:vAlign w:val="center"/>
          </w:tcPr>
          <w:p>
            <w:pPr>
              <w:widowControl/>
              <w:spacing w:line="240" w:lineRule="auto"/>
              <w:ind w:firstLine="0" w:firstLineChars="0"/>
              <w:jc w:val="center"/>
              <w:rPr>
                <w:rFonts w:cs="Times New Roman"/>
                <w:kern w:val="0"/>
                <w:sz w:val="24"/>
              </w:rPr>
            </w:pPr>
            <w:r>
              <w:rPr>
                <w:rFonts w:cs="Times New Roman"/>
                <w:kern w:val="0"/>
                <w:sz w:val="24"/>
              </w:rPr>
              <w:t>27</w:t>
            </w:r>
          </w:p>
        </w:tc>
        <w:tc>
          <w:tcPr>
            <w:tcW w:w="1789" w:type="dxa"/>
            <w:shd w:val="clear" w:color="auto" w:fill="auto"/>
            <w:noWrap/>
            <w:vAlign w:val="center"/>
          </w:tcPr>
          <w:p>
            <w:pPr>
              <w:widowControl/>
              <w:spacing w:line="240" w:lineRule="auto"/>
              <w:ind w:firstLine="0" w:firstLineChars="0"/>
              <w:jc w:val="center"/>
              <w:rPr>
                <w:rFonts w:cs="Times New Roman"/>
                <w:kern w:val="0"/>
                <w:sz w:val="24"/>
              </w:rPr>
            </w:pPr>
            <w:r>
              <w:rPr>
                <w:rFonts w:cs="Times New Roman"/>
                <w:kern w:val="0"/>
                <w:sz w:val="24"/>
              </w:rPr>
              <w:t>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3931" w:type="dxa"/>
            <w:gridSpan w:val="2"/>
            <w:shd w:val="clear" w:color="auto" w:fill="auto"/>
            <w:noWrap/>
            <w:vAlign w:val="center"/>
          </w:tcPr>
          <w:p>
            <w:pPr>
              <w:widowControl/>
              <w:spacing w:line="240" w:lineRule="auto"/>
              <w:ind w:firstLine="0" w:firstLineChars="0"/>
              <w:jc w:val="center"/>
              <w:rPr>
                <w:rFonts w:cs="Times New Roman"/>
                <w:b/>
                <w:kern w:val="0"/>
                <w:sz w:val="24"/>
              </w:rPr>
            </w:pPr>
            <w:r>
              <w:rPr>
                <w:rFonts w:cs="Times New Roman"/>
                <w:b/>
                <w:kern w:val="0"/>
                <w:sz w:val="24"/>
              </w:rPr>
              <w:t>合计</w:t>
            </w:r>
          </w:p>
        </w:tc>
        <w:tc>
          <w:tcPr>
            <w:tcW w:w="1706" w:type="dxa"/>
            <w:shd w:val="clear" w:color="auto" w:fill="auto"/>
            <w:noWrap/>
            <w:vAlign w:val="center"/>
          </w:tcPr>
          <w:p>
            <w:pPr>
              <w:widowControl/>
              <w:spacing w:line="240" w:lineRule="auto"/>
              <w:ind w:firstLine="0" w:firstLineChars="0"/>
              <w:jc w:val="center"/>
              <w:rPr>
                <w:rFonts w:cs="Times New Roman"/>
                <w:b/>
                <w:kern w:val="0"/>
                <w:sz w:val="24"/>
              </w:rPr>
            </w:pPr>
            <w:r>
              <w:rPr>
                <w:rFonts w:cs="Times New Roman"/>
                <w:b/>
                <w:kern w:val="0"/>
                <w:sz w:val="24"/>
              </w:rPr>
              <w:t>100</w:t>
            </w:r>
          </w:p>
        </w:tc>
        <w:tc>
          <w:tcPr>
            <w:tcW w:w="1747" w:type="dxa"/>
            <w:shd w:val="clear" w:color="auto" w:fill="auto"/>
            <w:noWrap/>
            <w:vAlign w:val="center"/>
          </w:tcPr>
          <w:p>
            <w:pPr>
              <w:widowControl/>
              <w:spacing w:line="240" w:lineRule="auto"/>
              <w:ind w:firstLine="0" w:firstLineChars="0"/>
              <w:jc w:val="center"/>
              <w:rPr>
                <w:rFonts w:cs="Times New Roman"/>
                <w:b/>
                <w:kern w:val="0"/>
                <w:sz w:val="24"/>
              </w:rPr>
            </w:pPr>
            <w:r>
              <w:rPr>
                <w:rFonts w:cs="Times New Roman"/>
                <w:b/>
                <w:kern w:val="0"/>
                <w:sz w:val="24"/>
              </w:rPr>
              <w:t>89.5</w:t>
            </w:r>
          </w:p>
        </w:tc>
        <w:tc>
          <w:tcPr>
            <w:tcW w:w="1789" w:type="dxa"/>
            <w:shd w:val="clear" w:color="auto" w:fill="auto"/>
            <w:noWrap/>
            <w:vAlign w:val="center"/>
          </w:tcPr>
          <w:p>
            <w:pPr>
              <w:widowControl/>
              <w:spacing w:line="240" w:lineRule="auto"/>
              <w:ind w:firstLine="0" w:firstLineChars="0"/>
              <w:jc w:val="center"/>
              <w:rPr>
                <w:rFonts w:cs="Times New Roman"/>
                <w:b/>
                <w:kern w:val="0"/>
                <w:sz w:val="24"/>
              </w:rPr>
            </w:pPr>
            <w:r>
              <w:rPr>
                <w:rFonts w:cs="Times New Roman"/>
                <w:b/>
                <w:kern w:val="0"/>
                <w:sz w:val="24"/>
              </w:rPr>
              <w:t>89.5%</w:t>
            </w:r>
          </w:p>
        </w:tc>
      </w:tr>
    </w:tbl>
    <w:p>
      <w:pPr>
        <w:ind w:firstLine="632"/>
        <w:rPr>
          <w:rFonts w:cs="Times New Roman"/>
        </w:rPr>
      </w:pPr>
    </w:p>
    <w:p>
      <w:pPr>
        <w:pStyle w:val="3"/>
        <w:ind w:firstLine="632"/>
        <w:rPr>
          <w:rStyle w:val="24"/>
          <w:rFonts w:cs="Times New Roman"/>
          <w:bCs w:val="0"/>
        </w:rPr>
      </w:pPr>
      <w:bookmarkStart w:id="12" w:name="_Toc177204527"/>
      <w:r>
        <w:rPr>
          <w:rStyle w:val="24"/>
          <w:rFonts w:cs="Times New Roman"/>
          <w:bCs w:val="0"/>
        </w:rPr>
        <w:t>（二）项目绩效分析。</w:t>
      </w:r>
      <w:bookmarkEnd w:id="12"/>
    </w:p>
    <w:p>
      <w:pPr>
        <w:pStyle w:val="4"/>
        <w:ind w:firstLine="632"/>
        <w:rPr>
          <w:rFonts w:cs="Times New Roman"/>
        </w:rPr>
      </w:pPr>
      <w:r>
        <w:rPr>
          <w:rFonts w:cs="Times New Roman"/>
        </w:rPr>
        <w:t>1.决策立项情况分析。</w:t>
      </w:r>
    </w:p>
    <w:p>
      <w:pPr>
        <w:ind w:firstLine="632"/>
        <w:rPr>
          <w:rFonts w:cs="Times New Roman"/>
        </w:rPr>
      </w:pPr>
      <w:r>
        <w:rPr>
          <w:rFonts w:cs="Times New Roman"/>
        </w:rPr>
        <w:t>指标下设</w:t>
      </w:r>
      <w:r>
        <w:rPr>
          <w:rFonts w:hint="eastAsia" w:ascii="仿宋_GB2312" w:cs="Times New Roman"/>
        </w:rPr>
        <w:t>“</w:t>
      </w:r>
      <w:r>
        <w:rPr>
          <w:rFonts w:cs="Times New Roman"/>
        </w:rPr>
        <w:t>项目立项</w:t>
      </w:r>
      <w:r>
        <w:rPr>
          <w:rFonts w:hint="eastAsia" w:ascii="仿宋_GB2312" w:cs="Times New Roman"/>
        </w:rPr>
        <w:t>”“</w:t>
      </w:r>
      <w:r>
        <w:rPr>
          <w:rFonts w:cs="Times New Roman"/>
        </w:rPr>
        <w:t>资金落实</w:t>
      </w:r>
      <w:r>
        <w:rPr>
          <w:rFonts w:hint="eastAsia" w:ascii="仿宋_GB2312" w:cs="Times New Roman"/>
        </w:rPr>
        <w:t>”</w:t>
      </w:r>
      <w:r>
        <w:rPr>
          <w:rFonts w:cs="Times New Roman"/>
        </w:rPr>
        <w:t>2个二级指标，主要从论证决策、目标设置、保障措施、资金到位、资金分配5个方面反映项目决策论证、绩效目标设置与资金分配情况。指标分值20分，评价得分16.5分，评价得分率为82.5%。</w:t>
      </w:r>
    </w:p>
    <w:p>
      <w:pPr>
        <w:pStyle w:val="4"/>
        <w:ind w:firstLine="632"/>
        <w:rPr>
          <w:rFonts w:cs="Times New Roman"/>
        </w:rPr>
      </w:pPr>
      <w:r>
        <w:rPr>
          <w:rFonts w:cs="Times New Roman"/>
        </w:rPr>
        <w:t>（1）论证决策。</w:t>
      </w:r>
    </w:p>
    <w:p>
      <w:pPr>
        <w:ind w:firstLine="632"/>
        <w:rPr>
          <w:rFonts w:cs="Times New Roman"/>
        </w:rPr>
      </w:pPr>
      <w:r>
        <w:rPr>
          <w:rFonts w:cs="Times New Roman"/>
        </w:rPr>
        <w:t>该指标包括论证充分性1个方面，指标分值4分，评价得分4分，评价得分率为100%。</w:t>
      </w:r>
    </w:p>
    <w:p>
      <w:pPr>
        <w:pStyle w:val="5"/>
        <w:ind w:firstLine="632"/>
        <w:rPr>
          <w:rFonts w:cs="Times New Roman"/>
        </w:rPr>
      </w:pPr>
      <w:r>
        <w:rPr>
          <w:rFonts w:hint="eastAsia" w:ascii="宋体" w:hAnsi="宋体" w:eastAsia="宋体" w:cs="宋体"/>
        </w:rPr>
        <w:t>①</w:t>
      </w:r>
      <w:r>
        <w:rPr>
          <w:rFonts w:cs="Times New Roman"/>
        </w:rPr>
        <w:t>论证充分性。</w:t>
      </w:r>
    </w:p>
    <w:p>
      <w:pPr>
        <w:ind w:firstLine="632"/>
        <w:rPr>
          <w:rFonts w:cs="Times New Roman"/>
        </w:rPr>
      </w:pPr>
      <w:r>
        <w:rPr>
          <w:rFonts w:cs="Times New Roman"/>
        </w:rPr>
        <w:t>指标分值4分，评价得分4分，评价得分率为100%。</w:t>
      </w:r>
    </w:p>
    <w:p>
      <w:pPr>
        <w:ind w:firstLine="632"/>
        <w:rPr>
          <w:rFonts w:cs="Times New Roman"/>
        </w:rPr>
      </w:pPr>
      <w:r>
        <w:rPr>
          <w:rFonts w:cs="Times New Roman"/>
        </w:rPr>
        <w:t>根据《增城区人民政府常务会议纪要》（第2届90次〔2021〕1号），项目建设经过集体会议同意。根据《广州市增城区发展和改革局关于增城区应元学校高中部建设项目可行性研究报告的复函》（穗增发改投批〔2022〕21号），广州市增城区发展和改革局于2022年4月25日同意项目实施，项目已开展可行性研究工作。综合以上情况，项目前期论证基本充分，本指标不扣分。</w:t>
      </w:r>
    </w:p>
    <w:p>
      <w:pPr>
        <w:pStyle w:val="4"/>
        <w:ind w:firstLine="632"/>
        <w:rPr>
          <w:rFonts w:cs="Times New Roman"/>
        </w:rPr>
      </w:pPr>
      <w:r>
        <w:rPr>
          <w:rFonts w:cs="Times New Roman"/>
        </w:rPr>
        <w:t>（2）目标设置。</w:t>
      </w:r>
    </w:p>
    <w:p>
      <w:pPr>
        <w:ind w:firstLine="632"/>
        <w:rPr>
          <w:rFonts w:cs="Times New Roman"/>
        </w:rPr>
      </w:pPr>
      <w:r>
        <w:rPr>
          <w:rFonts w:cs="Times New Roman"/>
        </w:rPr>
        <w:t>该指标包括完整性、合理性、可衡量性3个方面，指标分值6分，评价得分3分，评价得分率为50%。</w:t>
      </w:r>
    </w:p>
    <w:p>
      <w:pPr>
        <w:pStyle w:val="5"/>
        <w:ind w:firstLine="632"/>
        <w:rPr>
          <w:rFonts w:cs="Times New Roman"/>
        </w:rPr>
      </w:pPr>
      <w:r>
        <w:rPr>
          <w:rFonts w:hint="eastAsia" w:ascii="宋体" w:hAnsi="宋体" w:eastAsia="宋体" w:cs="宋体"/>
        </w:rPr>
        <w:t>①</w:t>
      </w:r>
      <w:r>
        <w:rPr>
          <w:rFonts w:cs="Times New Roman"/>
        </w:rPr>
        <w:t>完整性。</w:t>
      </w:r>
    </w:p>
    <w:p>
      <w:pPr>
        <w:ind w:firstLine="632"/>
        <w:rPr>
          <w:rFonts w:cs="Times New Roman"/>
        </w:rPr>
      </w:pPr>
      <w:r>
        <w:rPr>
          <w:rFonts w:cs="Times New Roman"/>
        </w:rPr>
        <w:t>指标分值2分，评价得分1分，评价得分率为50%。</w:t>
      </w:r>
    </w:p>
    <w:p>
      <w:pPr>
        <w:ind w:firstLine="632"/>
        <w:rPr>
          <w:rFonts w:cs="Times New Roman"/>
        </w:rPr>
      </w:pPr>
      <w:r>
        <w:rPr>
          <w:rFonts w:cs="Times New Roman"/>
        </w:rPr>
        <w:t>根据《项目支出绩效目标表（含转移支付项目）》《项目支出绩效自评表》等相关材料，项目年初设置的年度绩效目标为</w:t>
      </w:r>
      <w:r>
        <w:rPr>
          <w:rFonts w:hint="eastAsia" w:ascii="仿宋_GB2312" w:cs="Times New Roman"/>
        </w:rPr>
        <w:t>“</w:t>
      </w:r>
      <w:r>
        <w:rPr>
          <w:rFonts w:cs="Times New Roman"/>
        </w:rPr>
        <w:t>项目占地面积约85亩，项目拟建36个高中班。主要建设包括建设教学楼、师生饭堂、报告厅图书馆、体育馆（含游泳馆）、学生宿舍、教师值班用房、地下停车库等功能建筑及其它配套基础设施。项目具有一定的社会效益、经济效益和环境效益。项目在建成后，一定程度上提升当地整体教育发展水平和营商环境，打造特色的教育体系；并能提高居民收入水平，给居民带来相应的就业机会，促进城市化建设，推进文化、教育健康的发展</w:t>
      </w:r>
      <w:r>
        <w:rPr>
          <w:rFonts w:hint="eastAsia" w:ascii="仿宋_GB2312" w:cs="Times New Roman"/>
        </w:rPr>
        <w:t>”</w:t>
      </w:r>
      <w:r>
        <w:rPr>
          <w:rFonts w:cs="Times New Roman"/>
        </w:rPr>
        <w:t>。自评阶段设置的预期总体绩效目标为增城区应元学校高中部建设项目完成所有前期工作，项目完成主体施工并移交使用。</w:t>
      </w:r>
    </w:p>
    <w:p>
      <w:pPr>
        <w:ind w:firstLine="632"/>
        <w:rPr>
          <w:rFonts w:cs="Times New Roman"/>
        </w:rPr>
      </w:pPr>
      <w:r>
        <w:rPr>
          <w:rFonts w:cs="Times New Roman"/>
        </w:rPr>
        <w:t>年初设置的年度绩效目标包含项目预期产出及效益，但自评阶段设置的预期总体绩效目标仅体现项目实施内容，未明确项目产出及效益情况，且项目年初及自评阶段设置的绩效指标均不够全面，如年初设置的年度绩效目标中包含</w:t>
      </w:r>
      <w:r>
        <w:rPr>
          <w:rFonts w:hint="eastAsia" w:ascii="仿宋_GB2312" w:cs="Times New Roman"/>
        </w:rPr>
        <w:t>“</w:t>
      </w:r>
      <w:r>
        <w:rPr>
          <w:rFonts w:cs="Times New Roman"/>
        </w:rPr>
        <w:t>提升当地整体教育发展水平</w:t>
      </w:r>
      <w:r>
        <w:rPr>
          <w:rFonts w:hint="eastAsia" w:ascii="仿宋_GB2312" w:cs="Times New Roman"/>
        </w:rPr>
        <w:t>”“</w:t>
      </w:r>
      <w:r>
        <w:rPr>
          <w:rFonts w:cs="Times New Roman"/>
        </w:rPr>
        <w:t>提高居民收入水平</w:t>
      </w:r>
      <w:r>
        <w:rPr>
          <w:rFonts w:hint="eastAsia" w:ascii="仿宋_GB2312" w:cs="Times New Roman"/>
        </w:rPr>
        <w:t>”</w:t>
      </w:r>
      <w:r>
        <w:rPr>
          <w:rFonts w:cs="Times New Roman"/>
        </w:rPr>
        <w:t>等效益内容，未设置对应的绩效指标对该部分效益内容进行考核；本项目为工程项目，2023年度项目仍在建设，未设置与</w:t>
      </w:r>
      <w:r>
        <w:rPr>
          <w:rFonts w:hint="eastAsia" w:ascii="仿宋_GB2312" w:cs="Times New Roman"/>
        </w:rPr>
        <w:t>“</w:t>
      </w:r>
      <w:r>
        <w:rPr>
          <w:rFonts w:cs="Times New Roman"/>
        </w:rPr>
        <w:t>施工过程安全事故发生</w:t>
      </w:r>
      <w:r>
        <w:rPr>
          <w:rFonts w:hint="eastAsia" w:ascii="仿宋_GB2312" w:cs="Times New Roman"/>
        </w:rPr>
        <w:t>”</w:t>
      </w:r>
      <w:r>
        <w:rPr>
          <w:rFonts w:cs="Times New Roman"/>
        </w:rPr>
        <w:t>相关的绩效指标对项目建设过程中安全措施的实施效果进行考核。</w:t>
      </w:r>
    </w:p>
    <w:p>
      <w:pPr>
        <w:ind w:firstLine="632"/>
        <w:rPr>
          <w:rFonts w:cs="Times New Roman"/>
        </w:rPr>
      </w:pPr>
      <w:r>
        <w:rPr>
          <w:rFonts w:cs="Times New Roman"/>
        </w:rPr>
        <w:t>综合以上情况，本指标扣1分。</w:t>
      </w:r>
    </w:p>
    <w:p>
      <w:pPr>
        <w:pStyle w:val="5"/>
        <w:ind w:firstLine="632"/>
        <w:rPr>
          <w:rFonts w:cs="Times New Roman"/>
        </w:rPr>
      </w:pPr>
      <w:r>
        <w:rPr>
          <w:rFonts w:hint="eastAsia" w:ascii="宋体" w:hAnsi="宋体" w:eastAsia="宋体" w:cs="宋体"/>
        </w:rPr>
        <w:t>②</w:t>
      </w:r>
      <w:r>
        <w:rPr>
          <w:rFonts w:cs="Times New Roman"/>
        </w:rPr>
        <w:t>合理性。</w:t>
      </w:r>
    </w:p>
    <w:p>
      <w:pPr>
        <w:ind w:firstLine="632"/>
        <w:rPr>
          <w:rFonts w:cs="Times New Roman"/>
        </w:rPr>
      </w:pPr>
      <w:r>
        <w:rPr>
          <w:rFonts w:cs="Times New Roman"/>
        </w:rPr>
        <w:t>指标分值2分，评价得分1分，评价得分率为50%。</w:t>
      </w:r>
    </w:p>
    <w:p>
      <w:pPr>
        <w:ind w:firstLine="632"/>
        <w:rPr>
          <w:rFonts w:cs="Times New Roman"/>
        </w:rPr>
      </w:pPr>
      <w:r>
        <w:rPr>
          <w:rFonts w:cs="Times New Roman"/>
        </w:rPr>
        <w:t>根据《项目支出绩效目标表（含转移支付项目）》《项目支出绩效自评表》等相关材料，项目绩效目标设置与项目资金支出内容、项目特点基本相关，但部分绩效指标的设置存在以下问题：</w:t>
      </w:r>
      <w:r>
        <w:rPr>
          <w:rFonts w:cs="Times New Roman"/>
          <w:b/>
          <w:bCs/>
        </w:rPr>
        <w:t>首先是</w:t>
      </w:r>
      <w:r>
        <w:rPr>
          <w:rFonts w:cs="Times New Roman"/>
        </w:rPr>
        <w:t>部分绩效指标归类不准确，如年初将可持续影响指标归类为产出指标，但可持续影响指标为效益指标；</w:t>
      </w:r>
      <w:r>
        <w:rPr>
          <w:rFonts w:cs="Times New Roman"/>
          <w:b/>
          <w:bCs/>
        </w:rPr>
        <w:t>然后是</w:t>
      </w:r>
      <w:r>
        <w:rPr>
          <w:rFonts w:cs="Times New Roman"/>
        </w:rPr>
        <w:t>部分绩效指标与项目实施的关联性较弱，如时效指标</w:t>
      </w:r>
      <w:r>
        <w:rPr>
          <w:rFonts w:hint="eastAsia" w:ascii="仿宋_GB2312" w:cs="Times New Roman"/>
        </w:rPr>
        <w:t>“</w:t>
      </w:r>
      <w:r>
        <w:rPr>
          <w:rFonts w:cs="Times New Roman"/>
        </w:rPr>
        <w:t>资料打印的及时性</w:t>
      </w:r>
      <w:r>
        <w:rPr>
          <w:rFonts w:hint="eastAsia" w:ascii="仿宋_GB2312" w:cs="Times New Roman"/>
        </w:rPr>
        <w:t>”</w:t>
      </w:r>
      <w:r>
        <w:rPr>
          <w:rFonts w:cs="Times New Roman"/>
        </w:rPr>
        <w:t>，实际考核内容未能突出项目实施重点，属于常规性的项目管理要求，与本项目产出、效益和成本无明显关联；</w:t>
      </w:r>
      <w:r>
        <w:rPr>
          <w:rFonts w:cs="Times New Roman"/>
          <w:b/>
          <w:bCs/>
        </w:rPr>
        <w:t>最后是</w:t>
      </w:r>
      <w:r>
        <w:rPr>
          <w:rFonts w:cs="Times New Roman"/>
        </w:rPr>
        <w:t>部分绩效指标的指标值设置不合理，根据项目施工合同，2023年本项目应竣工验收，但数量指标的指标值设置为</w:t>
      </w:r>
      <w:r>
        <w:rPr>
          <w:rFonts w:hint="eastAsia" w:ascii="仿宋_GB2312" w:cs="Times New Roman"/>
        </w:rPr>
        <w:t>“</w:t>
      </w:r>
      <w:r>
        <w:rPr>
          <w:rFonts w:cs="Times New Roman"/>
        </w:rPr>
        <w:t>总体进度96%</w:t>
      </w:r>
      <w:r>
        <w:rPr>
          <w:rFonts w:hint="eastAsia" w:ascii="仿宋_GB2312" w:cs="Times New Roman"/>
        </w:rPr>
        <w:t>”“</w:t>
      </w:r>
      <w:r>
        <w:rPr>
          <w:rFonts w:cs="Times New Roman"/>
        </w:rPr>
        <w:t>周边配套及场地内绿化完成率97%</w:t>
      </w:r>
      <w:r>
        <w:rPr>
          <w:rFonts w:hint="eastAsia" w:ascii="仿宋_GB2312" w:cs="Times New Roman"/>
        </w:rPr>
        <w:t>”</w:t>
      </w:r>
      <w:r>
        <w:rPr>
          <w:rFonts w:cs="Times New Roman"/>
        </w:rPr>
        <w:t>，不符合项目实施计划要求。</w:t>
      </w:r>
    </w:p>
    <w:p>
      <w:pPr>
        <w:ind w:firstLine="632"/>
        <w:rPr>
          <w:rFonts w:cs="Times New Roman"/>
        </w:rPr>
      </w:pPr>
      <w:r>
        <w:rPr>
          <w:rFonts w:cs="Times New Roman"/>
        </w:rPr>
        <w:t>综合以上情况，本指标扣1分。</w:t>
      </w:r>
    </w:p>
    <w:p>
      <w:pPr>
        <w:pStyle w:val="5"/>
        <w:ind w:firstLine="632"/>
        <w:rPr>
          <w:rFonts w:cs="Times New Roman"/>
        </w:rPr>
      </w:pPr>
      <w:r>
        <w:rPr>
          <w:rFonts w:hint="eastAsia" w:ascii="宋体" w:hAnsi="宋体" w:eastAsia="宋体" w:cs="宋体"/>
        </w:rPr>
        <w:t>③</w:t>
      </w:r>
      <w:r>
        <w:rPr>
          <w:rFonts w:cs="Times New Roman"/>
        </w:rPr>
        <w:t>可衡量性。</w:t>
      </w:r>
    </w:p>
    <w:p>
      <w:pPr>
        <w:ind w:firstLine="632"/>
        <w:rPr>
          <w:rFonts w:cs="Times New Roman"/>
        </w:rPr>
      </w:pPr>
      <w:r>
        <w:rPr>
          <w:rFonts w:cs="Times New Roman"/>
        </w:rPr>
        <w:t>指标分值2分，评价得分1分，评价得分率为50%。</w:t>
      </w:r>
    </w:p>
    <w:p>
      <w:pPr>
        <w:ind w:firstLine="632"/>
        <w:rPr>
          <w:rFonts w:cs="Times New Roman"/>
        </w:rPr>
      </w:pPr>
      <w:r>
        <w:rPr>
          <w:rFonts w:cs="Times New Roman"/>
        </w:rPr>
        <w:t>根据《项目支出绩效目标表（含转移支付项目）》《项目支出绩效自评表》等相关材料，项目绩效目标设置可衡量性不足。</w:t>
      </w:r>
      <w:r>
        <w:rPr>
          <w:rFonts w:cs="Times New Roman"/>
          <w:b/>
          <w:bCs/>
        </w:rPr>
        <w:t>首先是</w:t>
      </w:r>
      <w:r>
        <w:rPr>
          <w:rFonts w:cs="Times New Roman"/>
        </w:rPr>
        <w:t>部分绩效指标名称与指标值不对应，如自评阶段产出指标基本设置为</w:t>
      </w:r>
      <w:r>
        <w:rPr>
          <w:rFonts w:hint="eastAsia" w:ascii="仿宋_GB2312" w:cs="Times New Roman"/>
        </w:rPr>
        <w:t>“</w:t>
      </w:r>
      <w:r>
        <w:rPr>
          <w:rFonts w:cs="Times New Roman"/>
        </w:rPr>
        <w:t>XX率</w:t>
      </w:r>
      <w:r>
        <w:rPr>
          <w:rFonts w:hint="eastAsia" w:ascii="仿宋_GB2312" w:cs="Times New Roman"/>
        </w:rPr>
        <w:t>”</w:t>
      </w:r>
      <w:r>
        <w:rPr>
          <w:rFonts w:cs="Times New Roman"/>
        </w:rPr>
        <w:t>，但对应指标值设置为定性表述，未设置为预计达成的百分比。</w:t>
      </w:r>
      <w:r>
        <w:rPr>
          <w:rFonts w:cs="Times New Roman"/>
          <w:b/>
          <w:bCs/>
        </w:rPr>
        <w:t>然后是</w:t>
      </w:r>
      <w:r>
        <w:rPr>
          <w:rFonts w:cs="Times New Roman"/>
        </w:rPr>
        <w:t>部分绩效指标设置细化量化程度不足，绩效指标考核内容不明确，如年初设置的时效指标</w:t>
      </w:r>
      <w:r>
        <w:rPr>
          <w:rFonts w:hint="eastAsia" w:ascii="仿宋_GB2312" w:cs="Times New Roman"/>
        </w:rPr>
        <w:t>“</w:t>
      </w:r>
      <w:r>
        <w:rPr>
          <w:rFonts w:cs="Times New Roman"/>
        </w:rPr>
        <w:t>可持续影响指标</w:t>
      </w:r>
      <w:r>
        <w:rPr>
          <w:rFonts w:hint="eastAsia" w:ascii="仿宋_GB2312" w:cs="Times New Roman"/>
        </w:rPr>
        <w:t>”</w:t>
      </w:r>
      <w:r>
        <w:rPr>
          <w:rFonts w:cs="Times New Roman"/>
        </w:rPr>
        <w:t>的指标值为</w:t>
      </w:r>
      <w:r>
        <w:rPr>
          <w:rFonts w:hint="eastAsia" w:ascii="仿宋_GB2312" w:cs="Times New Roman"/>
        </w:rPr>
        <w:t>“</w:t>
      </w:r>
      <w:r>
        <w:rPr>
          <w:rFonts w:cs="Times New Roman"/>
        </w:rPr>
        <w:t>健全</w:t>
      </w:r>
      <w:r>
        <w:rPr>
          <w:rFonts w:hint="eastAsia" w:ascii="仿宋_GB2312" w:cs="Times New Roman"/>
        </w:rPr>
        <w:t>”</w:t>
      </w:r>
      <w:r>
        <w:rPr>
          <w:rFonts w:cs="Times New Roman"/>
        </w:rPr>
        <w:t>，绩效指标考核内容与标准不明确，且指标值未明确达到何种程度为健全，较难准确衡量指标完成情况；如自评阶段设置的可持续影响指标</w:t>
      </w:r>
      <w:r>
        <w:rPr>
          <w:rFonts w:hint="eastAsia" w:ascii="仿宋_GB2312" w:cs="Times New Roman"/>
        </w:rPr>
        <w:t>“</w:t>
      </w:r>
      <w:r>
        <w:rPr>
          <w:rFonts w:cs="Times New Roman"/>
        </w:rPr>
        <w:t>可持续影响指标</w:t>
      </w:r>
      <w:r>
        <w:rPr>
          <w:rFonts w:hint="eastAsia" w:ascii="仿宋_GB2312" w:cs="Times New Roman"/>
        </w:rPr>
        <w:t>”</w:t>
      </w:r>
      <w:r>
        <w:rPr>
          <w:rFonts w:cs="Times New Roman"/>
        </w:rPr>
        <w:t>、质量指标</w:t>
      </w:r>
      <w:r>
        <w:rPr>
          <w:rFonts w:hint="eastAsia" w:ascii="仿宋_GB2312" w:cs="Times New Roman"/>
        </w:rPr>
        <w:t>“</w:t>
      </w:r>
      <w:r>
        <w:rPr>
          <w:rFonts w:cs="Times New Roman"/>
        </w:rPr>
        <w:t>可研报告质量</w:t>
      </w:r>
      <w:r>
        <w:rPr>
          <w:rFonts w:hint="eastAsia" w:ascii="仿宋_GB2312" w:cs="Times New Roman"/>
        </w:rPr>
        <w:t>”</w:t>
      </w:r>
      <w:r>
        <w:rPr>
          <w:rFonts w:cs="Times New Roman"/>
        </w:rPr>
        <w:t>，均未明确绩效指标实际考核内容。</w:t>
      </w:r>
    </w:p>
    <w:p>
      <w:pPr>
        <w:ind w:firstLine="632"/>
        <w:rPr>
          <w:rFonts w:cs="Times New Roman"/>
        </w:rPr>
      </w:pPr>
      <w:r>
        <w:rPr>
          <w:rFonts w:cs="Times New Roman"/>
        </w:rPr>
        <w:t>综合以上情况，本指标扣1分。</w:t>
      </w:r>
    </w:p>
    <w:p>
      <w:pPr>
        <w:pStyle w:val="4"/>
        <w:ind w:firstLine="632"/>
        <w:rPr>
          <w:rFonts w:cs="Times New Roman"/>
        </w:rPr>
      </w:pPr>
      <w:r>
        <w:rPr>
          <w:rFonts w:cs="Times New Roman"/>
        </w:rPr>
        <w:t>（3）保障措施。</w:t>
      </w:r>
    </w:p>
    <w:p>
      <w:pPr>
        <w:ind w:firstLine="632"/>
        <w:rPr>
          <w:rFonts w:cs="Times New Roman"/>
        </w:rPr>
      </w:pPr>
      <w:r>
        <w:rPr>
          <w:rFonts w:cs="Times New Roman"/>
        </w:rPr>
        <w:t>该指标包括制度完整性、计划安排合理性2个方面，指标分值2分，评价得分1.5分，评价得分率为75%。</w:t>
      </w:r>
    </w:p>
    <w:p>
      <w:pPr>
        <w:pStyle w:val="5"/>
        <w:ind w:firstLine="632"/>
        <w:rPr>
          <w:rFonts w:cs="Times New Roman"/>
        </w:rPr>
      </w:pPr>
      <w:r>
        <w:rPr>
          <w:rFonts w:hint="eastAsia" w:ascii="宋体" w:hAnsi="宋体" w:eastAsia="宋体" w:cs="宋体"/>
        </w:rPr>
        <w:t>①</w:t>
      </w:r>
      <w:r>
        <w:rPr>
          <w:rFonts w:cs="Times New Roman"/>
        </w:rPr>
        <w:t>制度完整性。</w:t>
      </w:r>
    </w:p>
    <w:p>
      <w:pPr>
        <w:ind w:firstLine="632"/>
        <w:rPr>
          <w:rFonts w:cs="Times New Roman"/>
        </w:rPr>
      </w:pPr>
      <w:r>
        <w:rPr>
          <w:rFonts w:cs="Times New Roman"/>
        </w:rPr>
        <w:t>指标分值1分，评价得分0.5分，评价得分率为50%。</w:t>
      </w:r>
    </w:p>
    <w:p>
      <w:pPr>
        <w:ind w:firstLine="632"/>
        <w:rPr>
          <w:rFonts w:cs="Times New Roman"/>
        </w:rPr>
      </w:pPr>
      <w:r>
        <w:rPr>
          <w:rFonts w:cs="Times New Roman"/>
        </w:rPr>
        <w:t>根据区公共建设项目管理服务中心提供的《广州市增城区公共建设项目管理服务中心制度汇编》，项目管理制度基本完整齐全，财务管理依据《广州市增城区公共建设项目管理服务中心支出管理制度》执行，项目管理主要根据《广州市增城区公共建设项目管理服务中心项目管理办法》有关要求执行，项目建设各项工作遵循岗位负责制，各司其职、各负其责，结合现场核查情况，本项目为重点建设项目，业主单位为区教育局，且项目投资额较大，但未见区公共建设项目管理服务中心针对本项目特点编制的项目实施专项管理方案，项目实施管理制度有待进一步完善，综合以上情况，本指标扣0.5分。</w:t>
      </w:r>
    </w:p>
    <w:p>
      <w:pPr>
        <w:pStyle w:val="5"/>
        <w:ind w:firstLine="632"/>
        <w:rPr>
          <w:rFonts w:cs="Times New Roman"/>
        </w:rPr>
      </w:pPr>
      <w:r>
        <w:rPr>
          <w:rFonts w:hint="eastAsia" w:ascii="宋体" w:hAnsi="宋体" w:eastAsia="宋体" w:cs="宋体"/>
        </w:rPr>
        <w:t>②</w:t>
      </w:r>
      <w:r>
        <w:rPr>
          <w:rFonts w:cs="Times New Roman"/>
        </w:rPr>
        <w:t>计划安排合理性。</w:t>
      </w:r>
    </w:p>
    <w:p>
      <w:pPr>
        <w:ind w:firstLine="632"/>
        <w:rPr>
          <w:rFonts w:cs="Times New Roman"/>
        </w:rPr>
      </w:pPr>
      <w:r>
        <w:rPr>
          <w:rFonts w:cs="Times New Roman"/>
        </w:rPr>
        <w:t>指标分值1分，评价得分1分，评价得分率为100%。</w:t>
      </w:r>
    </w:p>
    <w:p>
      <w:pPr>
        <w:ind w:firstLine="632"/>
        <w:rPr>
          <w:rFonts w:cs="Times New Roman"/>
        </w:rPr>
      </w:pPr>
      <w:r>
        <w:rPr>
          <w:rFonts w:cs="Times New Roman"/>
        </w:rPr>
        <w:t>根据《广州市建设工程施工合同》，项目工程合同工期总日历天数为355天。根据</w:t>
      </w:r>
      <w:r>
        <w:rPr>
          <w:rFonts w:cs="Times New Roman"/>
          <w:szCs w:val="32"/>
        </w:rPr>
        <w:t>区公共建设项目管理服务中心提供的</w:t>
      </w:r>
      <w:r>
        <w:rPr>
          <w:rFonts w:cs="Times New Roman"/>
        </w:rPr>
        <w:t>《工程开工令》《单位（子单位）竣工验收报告》，2022年8月5日项目经监理单位批复项目正式开工，2023年7月25日竣工验收，项目实际工期为354个日历天，项目实际工期未超出合同计划工期，项目计划安排基本合理。</w:t>
      </w:r>
    </w:p>
    <w:p>
      <w:pPr>
        <w:pStyle w:val="4"/>
        <w:ind w:firstLine="632"/>
        <w:rPr>
          <w:rFonts w:cs="Times New Roman"/>
        </w:rPr>
      </w:pPr>
      <w:r>
        <w:rPr>
          <w:rFonts w:cs="Times New Roman"/>
        </w:rPr>
        <w:t>（4）资金到位。</w:t>
      </w:r>
    </w:p>
    <w:p>
      <w:pPr>
        <w:ind w:firstLine="632"/>
        <w:rPr>
          <w:rFonts w:cs="Times New Roman"/>
        </w:rPr>
      </w:pPr>
      <w:r>
        <w:rPr>
          <w:rFonts w:cs="Times New Roman"/>
        </w:rPr>
        <w:t>该指标包括资金到位率、资金到位及时性2个方面，指标分值5分，评价得分5分，评价得分率为100%。</w:t>
      </w:r>
    </w:p>
    <w:p>
      <w:pPr>
        <w:pStyle w:val="5"/>
        <w:ind w:firstLine="632"/>
        <w:rPr>
          <w:rFonts w:cs="Times New Roman"/>
        </w:rPr>
      </w:pPr>
      <w:r>
        <w:rPr>
          <w:rFonts w:hint="eastAsia" w:ascii="宋体" w:hAnsi="宋体" w:eastAsia="宋体" w:cs="宋体"/>
        </w:rPr>
        <w:t>①</w:t>
      </w:r>
      <w:r>
        <w:rPr>
          <w:rFonts w:cs="Times New Roman"/>
        </w:rPr>
        <w:t>资金到位率。</w:t>
      </w:r>
    </w:p>
    <w:p>
      <w:pPr>
        <w:ind w:firstLine="632"/>
        <w:rPr>
          <w:rFonts w:cs="Times New Roman"/>
        </w:rPr>
      </w:pPr>
      <w:r>
        <w:rPr>
          <w:rFonts w:cs="Times New Roman"/>
        </w:rPr>
        <w:t>指标分值3分，评价得分3分，评价得分率为100%。</w:t>
      </w:r>
    </w:p>
    <w:p>
      <w:pPr>
        <w:ind w:firstLine="632"/>
        <w:rPr>
          <w:rFonts w:cs="Times New Roman"/>
        </w:rPr>
      </w:pPr>
      <w:r>
        <w:rPr>
          <w:rFonts w:cs="Times New Roman"/>
        </w:rPr>
        <w:t>根据《2023年广州市增城区公共建设项目管理服务中心部门预算》，项目2023年年初区级财政资金预算为12552.80万元，项目年初预算随部门预算下达；根据《广州市财政局关于提前下达2023年市教育局部门转移支付预算的通知》(穗财教〔2022〕133号)、《增城区教育局关于分解下达</w:t>
      </w:r>
      <w:r>
        <w:rPr>
          <w:rFonts w:hint="eastAsia" w:ascii="仿宋_GB2312" w:cs="Times New Roman"/>
        </w:rPr>
        <w:t>“</w:t>
      </w:r>
      <w:r>
        <w:rPr>
          <w:rFonts w:cs="Times New Roman"/>
        </w:rPr>
        <w:t>基础教育转移支付专项</w:t>
      </w:r>
      <w:r>
        <w:rPr>
          <w:rFonts w:hint="eastAsia" w:ascii="仿宋_GB2312" w:cs="Times New Roman"/>
        </w:rPr>
        <w:t>”</w:t>
      </w:r>
      <w:r>
        <w:rPr>
          <w:rFonts w:cs="Times New Roman"/>
        </w:rPr>
        <w:t>资金预算指标的函》（增教函〔2023〕9号）、《关于申请提前安排2023年市教育局部门转移支付预算的函》（增公建中心函〔2023〕13号），2023年下达市级财政资金9000万元。根据《单位指标情况表》，年度预算发生三次调整，一次是年初区级财政资金预算调减232.42万元，一次是调增区级财政资金预算582.2万元，一次是下达市级财政资金7283.83万元。</w:t>
      </w:r>
    </w:p>
    <w:p>
      <w:pPr>
        <w:ind w:firstLine="632"/>
        <w:rPr>
          <w:rFonts w:cs="Times New Roman"/>
        </w:rPr>
      </w:pPr>
      <w:r>
        <w:rPr>
          <w:rFonts w:cs="Times New Roman"/>
        </w:rPr>
        <w:t>根据《单位指标情况表》，综合以上情况，2023年度项目实际到位资金29186.41万元，资金到位率100%。</w:t>
      </w:r>
    </w:p>
    <w:p>
      <w:pPr>
        <w:pStyle w:val="5"/>
        <w:ind w:firstLine="632"/>
        <w:rPr>
          <w:rFonts w:cs="Times New Roman"/>
        </w:rPr>
      </w:pPr>
      <w:r>
        <w:rPr>
          <w:rFonts w:hint="eastAsia" w:ascii="宋体" w:hAnsi="宋体" w:eastAsia="宋体" w:cs="宋体"/>
        </w:rPr>
        <w:t>②</w:t>
      </w:r>
      <w:r>
        <w:rPr>
          <w:rFonts w:cs="Times New Roman"/>
        </w:rPr>
        <w:t>资金到位及时性。</w:t>
      </w:r>
    </w:p>
    <w:p>
      <w:pPr>
        <w:ind w:firstLine="632"/>
        <w:rPr>
          <w:rFonts w:cs="Times New Roman"/>
        </w:rPr>
      </w:pPr>
      <w:r>
        <w:rPr>
          <w:rFonts w:cs="Times New Roman"/>
        </w:rPr>
        <w:t>指标分值2分，评价得分2分，评价得分率为100%。</w:t>
      </w:r>
    </w:p>
    <w:p>
      <w:pPr>
        <w:ind w:firstLine="632"/>
        <w:rPr>
          <w:rFonts w:cs="Times New Roman"/>
        </w:rPr>
      </w:pPr>
      <w:r>
        <w:rPr>
          <w:rFonts w:cs="Times New Roman"/>
        </w:rPr>
        <w:t>根据《2023年广州市增城区公共建设项目管理服务中心部门预算》，项目2023年年初区级财政资金预算为12552.80万元，项目年初预算随部门预算下达；根据《广州市财政局关于提前下达2023年市教育局部门转移支付预算的通知》(穗财教〔2022〕133号)、《增城区教育局关于分解下达</w:t>
      </w:r>
      <w:r>
        <w:rPr>
          <w:rFonts w:hint="eastAsia" w:ascii="仿宋_GB2312" w:cs="Times New Roman"/>
        </w:rPr>
        <w:t>“</w:t>
      </w:r>
      <w:r>
        <w:rPr>
          <w:rFonts w:cs="Times New Roman"/>
        </w:rPr>
        <w:t>基础教育转移支付专项</w:t>
      </w:r>
      <w:r>
        <w:rPr>
          <w:rFonts w:hint="eastAsia" w:ascii="仿宋_GB2312" w:cs="Times New Roman"/>
        </w:rPr>
        <w:t>”</w:t>
      </w:r>
      <w:r>
        <w:rPr>
          <w:rFonts w:cs="Times New Roman"/>
        </w:rPr>
        <w:t>资金预算指标的函》（增教函〔2023〕9号）、《关于申请提前安排2023年市教育局部门转移支付预算的函》（增公建中心函〔2023〕13号），2023年下达市级财政资金9000万元。根据《单位指标情况表》，年度预算发生三次调整，一次是年初区级财政资金预算调减232.42万元，一次是调增区级财政资金预算582.2万元，一次是下达市级财政资金7283.83万元。</w:t>
      </w:r>
    </w:p>
    <w:p>
      <w:pPr>
        <w:ind w:firstLine="632"/>
        <w:rPr>
          <w:rFonts w:cs="Times New Roman"/>
        </w:rPr>
      </w:pPr>
      <w:r>
        <w:rPr>
          <w:rFonts w:cs="Times New Roman"/>
        </w:rPr>
        <w:t>根据《单位指标情况表》，综合以上情况，2023年度项目实际及时到位资金29186.41万元，资金到位及时性100%。</w:t>
      </w:r>
    </w:p>
    <w:p>
      <w:pPr>
        <w:pStyle w:val="4"/>
        <w:ind w:firstLine="632"/>
        <w:rPr>
          <w:rFonts w:cs="Times New Roman"/>
        </w:rPr>
      </w:pPr>
      <w:r>
        <w:rPr>
          <w:rFonts w:cs="Times New Roman"/>
        </w:rPr>
        <w:t>（5）资金分配。</w:t>
      </w:r>
    </w:p>
    <w:p>
      <w:pPr>
        <w:ind w:firstLine="632"/>
        <w:rPr>
          <w:rFonts w:cs="Times New Roman"/>
        </w:rPr>
      </w:pPr>
      <w:r>
        <w:rPr>
          <w:rFonts w:cs="Times New Roman"/>
        </w:rPr>
        <w:t>该指标包括资金分配合理性1个方面，指标分值3分，评价得分3分，评价得分率为100%。</w:t>
      </w:r>
    </w:p>
    <w:p>
      <w:pPr>
        <w:pStyle w:val="5"/>
        <w:ind w:firstLine="632"/>
        <w:rPr>
          <w:rFonts w:cs="Times New Roman"/>
        </w:rPr>
      </w:pPr>
      <w:r>
        <w:rPr>
          <w:rFonts w:hint="eastAsia" w:ascii="宋体" w:hAnsi="宋体" w:eastAsia="宋体" w:cs="宋体"/>
        </w:rPr>
        <w:t>①</w:t>
      </w:r>
      <w:r>
        <w:rPr>
          <w:rFonts w:cs="Times New Roman"/>
        </w:rPr>
        <w:t>资金分配合理性。</w:t>
      </w:r>
    </w:p>
    <w:p>
      <w:pPr>
        <w:ind w:firstLine="632"/>
        <w:rPr>
          <w:rFonts w:cs="Times New Roman"/>
        </w:rPr>
      </w:pPr>
      <w:r>
        <w:rPr>
          <w:rFonts w:cs="Times New Roman"/>
        </w:rPr>
        <w:t>指标分值3分，评价得分3分，评价得分率为100%。</w:t>
      </w:r>
    </w:p>
    <w:p>
      <w:pPr>
        <w:ind w:firstLine="632"/>
        <w:rPr>
          <w:rFonts w:cs="Times New Roman"/>
        </w:rPr>
      </w:pPr>
      <w:r>
        <w:rPr>
          <w:rFonts w:cs="Times New Roman"/>
        </w:rPr>
        <w:t>根据《2023年广州市增城区公共建设项目管理服务中心部门预算》及项目支出明细账，本项目根据相关合同及实施进度支付工程进度款、工人工资、监理费、设计费等，资金分配基本合理。</w:t>
      </w:r>
    </w:p>
    <w:p>
      <w:pPr>
        <w:pStyle w:val="4"/>
        <w:ind w:firstLine="632"/>
        <w:rPr>
          <w:rFonts w:cs="Times New Roman"/>
        </w:rPr>
      </w:pPr>
      <w:r>
        <w:rPr>
          <w:rFonts w:cs="Times New Roman"/>
        </w:rPr>
        <w:t>2.过程管理情况分析。</w:t>
      </w:r>
    </w:p>
    <w:p>
      <w:pPr>
        <w:ind w:firstLine="632"/>
        <w:rPr>
          <w:rFonts w:cs="Times New Roman"/>
        </w:rPr>
      </w:pPr>
      <w:r>
        <w:rPr>
          <w:rFonts w:cs="Times New Roman"/>
        </w:rPr>
        <w:t>指标下设</w:t>
      </w:r>
      <w:r>
        <w:rPr>
          <w:rFonts w:hint="eastAsia" w:ascii="仿宋_GB2312" w:cs="Times New Roman"/>
        </w:rPr>
        <w:t>“</w:t>
      </w:r>
      <w:r>
        <w:rPr>
          <w:rFonts w:cs="Times New Roman"/>
        </w:rPr>
        <w:t>资金管理</w:t>
      </w:r>
      <w:r>
        <w:rPr>
          <w:rFonts w:hint="eastAsia" w:ascii="仿宋_GB2312" w:cs="Times New Roman"/>
        </w:rPr>
        <w:t>”“</w:t>
      </w:r>
      <w:r>
        <w:rPr>
          <w:rFonts w:cs="Times New Roman"/>
        </w:rPr>
        <w:t>事项管理</w:t>
      </w:r>
      <w:r>
        <w:rPr>
          <w:rFonts w:hint="eastAsia" w:ascii="仿宋_GB2312" w:cs="Times New Roman"/>
        </w:rPr>
        <w:t>”</w:t>
      </w:r>
      <w:r>
        <w:rPr>
          <w:rFonts w:cs="Times New Roman"/>
        </w:rPr>
        <w:t>2个二级指标，主要从资金支付、支出规范性、实施程序、管理情况4个方面反映项目财务管理与业务管理情况。指标分值20分，评价得分17.5分，评价得分率为87.5%。</w:t>
      </w:r>
    </w:p>
    <w:p>
      <w:pPr>
        <w:pStyle w:val="4"/>
        <w:ind w:firstLine="632"/>
        <w:rPr>
          <w:rFonts w:cs="Times New Roman"/>
        </w:rPr>
      </w:pPr>
      <w:r>
        <w:rPr>
          <w:rFonts w:cs="Times New Roman"/>
        </w:rPr>
        <w:t>（1）资金支付。</w:t>
      </w:r>
    </w:p>
    <w:p>
      <w:pPr>
        <w:ind w:firstLine="632"/>
        <w:rPr>
          <w:rFonts w:cs="Times New Roman"/>
        </w:rPr>
      </w:pPr>
      <w:r>
        <w:rPr>
          <w:rFonts w:cs="Times New Roman"/>
        </w:rPr>
        <w:t>该指标包括资金支出率1个方面，指标分值6分，评价得分6分，评价得分率为100%。</w:t>
      </w:r>
    </w:p>
    <w:p>
      <w:pPr>
        <w:pStyle w:val="5"/>
        <w:ind w:firstLine="632"/>
        <w:rPr>
          <w:rFonts w:cs="Times New Roman"/>
        </w:rPr>
      </w:pPr>
      <w:r>
        <w:rPr>
          <w:rFonts w:hint="eastAsia" w:ascii="宋体" w:hAnsi="宋体" w:eastAsia="宋体" w:cs="宋体"/>
        </w:rPr>
        <w:t>①</w:t>
      </w:r>
      <w:r>
        <w:rPr>
          <w:rFonts w:cs="Times New Roman"/>
        </w:rPr>
        <w:t>资金支出率。</w:t>
      </w:r>
    </w:p>
    <w:p>
      <w:pPr>
        <w:ind w:firstLine="632"/>
        <w:rPr>
          <w:rFonts w:cs="Times New Roman"/>
        </w:rPr>
      </w:pPr>
      <w:r>
        <w:rPr>
          <w:rFonts w:cs="Times New Roman"/>
        </w:rPr>
        <w:t>指标分值6分，评价得分6分，评价得分率为100%。</w:t>
      </w:r>
    </w:p>
    <w:p>
      <w:pPr>
        <w:ind w:firstLine="632"/>
        <w:rPr>
          <w:rFonts w:cs="Times New Roman"/>
        </w:rPr>
      </w:pPr>
      <w:r>
        <w:rPr>
          <w:rFonts w:cs="Times New Roman"/>
        </w:rPr>
        <w:t>根据《广州市财政局关于提前下达2023年市教育局部门转移支付预算的通知》(穗财教〔2022〕133号)、《增城区教育局关于分解下达</w:t>
      </w:r>
      <w:r>
        <w:rPr>
          <w:rFonts w:hint="eastAsia" w:ascii="仿宋_GB2312" w:cs="Times New Roman"/>
        </w:rPr>
        <w:t>“</w:t>
      </w:r>
      <w:r>
        <w:rPr>
          <w:rFonts w:cs="Times New Roman"/>
        </w:rPr>
        <w:t>基础教育转移支付专项</w:t>
      </w:r>
      <w:r>
        <w:rPr>
          <w:rFonts w:hint="eastAsia" w:ascii="仿宋_GB2312" w:cs="Times New Roman"/>
        </w:rPr>
        <w:t>”</w:t>
      </w:r>
      <w:r>
        <w:rPr>
          <w:rFonts w:cs="Times New Roman"/>
        </w:rPr>
        <w:t>资金预算指标的函》（增教函〔2023〕9号）、《关于申请提前安排2023年市教育局部门转移支付预算的函》（增公建中心函〔2023〕13号），2023年下达市级财政资金9000万元。</w:t>
      </w:r>
    </w:p>
    <w:p>
      <w:pPr>
        <w:ind w:firstLine="632"/>
        <w:rPr>
          <w:rFonts w:cs="Times New Roman"/>
        </w:rPr>
      </w:pPr>
      <w:r>
        <w:rPr>
          <w:rFonts w:cs="Times New Roman"/>
        </w:rPr>
        <w:t>根据《2023年广州市增城区公共建设项目管理服务中心部门预算》，项目2023年年初区级财政资金预算为12552.80万元。根据《单位指标情况表》，年度预算发生三次调整，一次是年初区级财政资金预算调减232.42万元，一次是调增区级财政资金预算582.2万元，一次是下达市级财政资金7283.83万元。综合以上情况，项目年度预算为29186.41万元。</w:t>
      </w:r>
    </w:p>
    <w:p>
      <w:pPr>
        <w:ind w:firstLine="632"/>
        <w:rPr>
          <w:rFonts w:cs="Times New Roman"/>
        </w:rPr>
      </w:pPr>
      <w:r>
        <w:rPr>
          <w:rFonts w:cs="Times New Roman"/>
        </w:rPr>
        <w:t>根据区公共建设项目管理服务中心提供的项目明细账，截至2023年12月31日，项目支出金额为29186.41万元，预算支出率为100%。</w:t>
      </w:r>
    </w:p>
    <w:p>
      <w:pPr>
        <w:pStyle w:val="4"/>
        <w:ind w:firstLine="632"/>
        <w:rPr>
          <w:rFonts w:cs="Times New Roman"/>
        </w:rPr>
      </w:pPr>
      <w:r>
        <w:rPr>
          <w:rFonts w:cs="Times New Roman"/>
        </w:rPr>
        <w:t>（2）支出规范性。</w:t>
      </w:r>
    </w:p>
    <w:p>
      <w:pPr>
        <w:ind w:firstLine="632"/>
        <w:rPr>
          <w:rFonts w:cs="Times New Roman"/>
        </w:rPr>
      </w:pPr>
      <w:r>
        <w:rPr>
          <w:rFonts w:cs="Times New Roman"/>
        </w:rPr>
        <w:t>该指标包括支出规范性1个方面，指标分值6分，评价得分5分，评价得分率为83.33%。</w:t>
      </w:r>
    </w:p>
    <w:p>
      <w:pPr>
        <w:pStyle w:val="5"/>
        <w:ind w:firstLine="632"/>
        <w:rPr>
          <w:rFonts w:cs="Times New Roman"/>
        </w:rPr>
      </w:pPr>
      <w:r>
        <w:rPr>
          <w:rFonts w:hint="eastAsia" w:ascii="宋体" w:hAnsi="宋体" w:eastAsia="宋体" w:cs="宋体"/>
        </w:rPr>
        <w:t>①</w:t>
      </w:r>
      <w:r>
        <w:rPr>
          <w:rFonts w:cs="Times New Roman"/>
        </w:rPr>
        <w:t>支出规范性。</w:t>
      </w:r>
    </w:p>
    <w:p>
      <w:pPr>
        <w:ind w:firstLine="632"/>
        <w:rPr>
          <w:rFonts w:cs="Times New Roman"/>
        </w:rPr>
      </w:pPr>
      <w:r>
        <w:rPr>
          <w:rFonts w:cs="Times New Roman"/>
        </w:rPr>
        <w:t>指标分值6分，评价得分5分，评价得分率为83.33%。</w:t>
      </w:r>
    </w:p>
    <w:p>
      <w:pPr>
        <w:ind w:firstLine="632"/>
        <w:rPr>
          <w:rFonts w:cs="Times New Roman"/>
        </w:rPr>
      </w:pPr>
      <w:r>
        <w:rPr>
          <w:rFonts w:cs="Times New Roman"/>
        </w:rPr>
        <w:t>根据区公共建设项目管理服务中心提供的项目资金支出相关材料，结合现场核查情况，各项支出根据相关合同及实施进度支付，项目财务管理按照广州市增城区公共建设项目管理服务中心支出管理制度》执行，但项目财务管理存在财务资料不够完整规范的问题，如现场抽查2023年记账-01-0049号会计凭证，未附支付依据或土地划拨相关文件，支出付款依据不够完整规范。综合以上情况，本指标扣1分。</w:t>
      </w:r>
    </w:p>
    <w:p>
      <w:pPr>
        <w:pStyle w:val="4"/>
        <w:ind w:firstLine="632"/>
        <w:rPr>
          <w:rFonts w:cs="Times New Roman"/>
        </w:rPr>
      </w:pPr>
      <w:r>
        <w:rPr>
          <w:rFonts w:cs="Times New Roman"/>
        </w:rPr>
        <w:t>（3）实施程序。</w:t>
      </w:r>
    </w:p>
    <w:p>
      <w:pPr>
        <w:ind w:firstLine="632"/>
        <w:rPr>
          <w:rFonts w:cs="Times New Roman"/>
        </w:rPr>
      </w:pPr>
      <w:r>
        <w:rPr>
          <w:rFonts w:cs="Times New Roman"/>
        </w:rPr>
        <w:t>该指标包括程序规范性1个方面，指标分值4分，评价得分4分，评价得分率100%。</w:t>
      </w:r>
    </w:p>
    <w:p>
      <w:pPr>
        <w:pStyle w:val="5"/>
        <w:ind w:firstLine="632"/>
        <w:rPr>
          <w:rFonts w:cs="Times New Roman"/>
        </w:rPr>
      </w:pPr>
      <w:r>
        <w:rPr>
          <w:rFonts w:hint="eastAsia" w:ascii="宋体" w:hAnsi="宋体" w:eastAsia="宋体" w:cs="宋体"/>
        </w:rPr>
        <w:t>①</w:t>
      </w:r>
      <w:r>
        <w:rPr>
          <w:rFonts w:cs="Times New Roman"/>
        </w:rPr>
        <w:t>程序规范性。</w:t>
      </w:r>
    </w:p>
    <w:p>
      <w:pPr>
        <w:ind w:firstLine="632"/>
        <w:rPr>
          <w:rFonts w:cs="Times New Roman"/>
        </w:rPr>
      </w:pPr>
      <w:r>
        <w:rPr>
          <w:rFonts w:cs="Times New Roman"/>
        </w:rPr>
        <w:t>指标分值4分，评价得分4分，评价得分率为100%。</w:t>
      </w:r>
    </w:p>
    <w:p>
      <w:pPr>
        <w:ind w:firstLine="632"/>
        <w:rPr>
          <w:rFonts w:cs="Times New Roman"/>
        </w:rPr>
      </w:pPr>
      <w:r>
        <w:rPr>
          <w:rFonts w:cs="Times New Roman"/>
        </w:rPr>
        <w:t>根据区公共建设项目管理服务中心提供的《广州市增城区公共建设项目管理服务中心制度汇编》、《广州市增城区发展和改革局关于增城区应元学校高中部建设项目可行性研究报告的复函》（穗增发改投批〔2022〕21号）及项目实施相关材料，项目的立项、实施和管理工作根据部门项目管理、财务管理及合同要求开展，工程竣工验收基本按照相关制度规定执行，项目变更及第三方检测手续基本完整。</w:t>
      </w:r>
    </w:p>
    <w:p>
      <w:pPr>
        <w:pStyle w:val="4"/>
        <w:ind w:firstLine="632"/>
        <w:rPr>
          <w:rFonts w:cs="Times New Roman"/>
        </w:rPr>
      </w:pPr>
      <w:r>
        <w:rPr>
          <w:rFonts w:cs="Times New Roman"/>
        </w:rPr>
        <w:t>（4）管理情况。</w:t>
      </w:r>
    </w:p>
    <w:p>
      <w:pPr>
        <w:ind w:firstLine="632"/>
        <w:rPr>
          <w:rFonts w:cs="Times New Roman"/>
        </w:rPr>
      </w:pPr>
      <w:r>
        <w:rPr>
          <w:rFonts w:cs="Times New Roman"/>
        </w:rPr>
        <w:t>该指标包括监管有效性1个方面，指标分值4分，评价得分2.5分，评价得分率为62.5%。</w:t>
      </w:r>
    </w:p>
    <w:p>
      <w:pPr>
        <w:pStyle w:val="5"/>
        <w:ind w:firstLine="632"/>
        <w:rPr>
          <w:rFonts w:cs="Times New Roman"/>
        </w:rPr>
      </w:pPr>
      <w:r>
        <w:rPr>
          <w:rFonts w:hint="eastAsia" w:ascii="宋体" w:hAnsi="宋体" w:eastAsia="宋体" w:cs="宋体"/>
        </w:rPr>
        <w:t>①</w:t>
      </w:r>
      <w:r>
        <w:rPr>
          <w:rFonts w:cs="Times New Roman"/>
        </w:rPr>
        <w:t>监管有效性。</w:t>
      </w:r>
    </w:p>
    <w:p>
      <w:pPr>
        <w:ind w:firstLine="632"/>
        <w:rPr>
          <w:rFonts w:cs="Times New Roman"/>
        </w:rPr>
      </w:pPr>
      <w:r>
        <w:rPr>
          <w:rFonts w:cs="Times New Roman"/>
        </w:rPr>
        <w:t>指标分值4分，评价得分2.5分，评价得分率为62.5%。</w:t>
      </w:r>
    </w:p>
    <w:p>
      <w:pPr>
        <w:ind w:firstLine="632"/>
        <w:rPr>
          <w:rFonts w:cs="Times New Roman"/>
        </w:rPr>
      </w:pPr>
      <w:r>
        <w:rPr>
          <w:rFonts w:cs="Times New Roman"/>
        </w:rPr>
        <w:t>根据区公共建设项目管理服务中心提供的项目实施相关材料，项目依据《广州市增城区公共建设项目管理服务中心项目管理办法》建立巡查制度，由工程管理部安排项目现场人员监管，并定期组织对所管辖项目分批进行巡查，对项目质量状况进行检查、分析，向中心分管领导、主要领导报送巡查情况，监理单位依据合同对项目进行日常巡查管理。结合现场核查情况，项目监管力度有待加强：</w:t>
      </w:r>
      <w:r>
        <w:rPr>
          <w:rFonts w:cs="Times New Roman"/>
          <w:b/>
          <w:bCs/>
        </w:rPr>
        <w:t>一是</w:t>
      </w:r>
      <w:r>
        <w:rPr>
          <w:rFonts w:cs="Times New Roman"/>
        </w:rPr>
        <w:t>项目已于2023年8月10日移交学校使用，但截至现场核查时间，未完成消防验收、人防验收等工作，且结算工作未进入审核阶段，项目整体实施进度需加快推进；</w:t>
      </w:r>
      <w:r>
        <w:rPr>
          <w:rFonts w:cs="Times New Roman"/>
          <w:b/>
          <w:bCs/>
        </w:rPr>
        <w:t>二是</w:t>
      </w:r>
      <w:r>
        <w:rPr>
          <w:rFonts w:cs="Times New Roman"/>
        </w:rPr>
        <w:t>经现场核查，报告厅首层外地台出现质量问题，区公共建设项目管理服务中心反馈意见为报告厅首层室外地面的透水砖局部出现下沉，且截至现场核查时间，项目联合验收尚未完成，项目需加大日常巡查及维护管理力度。</w:t>
      </w:r>
    </w:p>
    <w:p>
      <w:pPr>
        <w:ind w:firstLine="632"/>
        <w:rPr>
          <w:rFonts w:cs="Times New Roman"/>
        </w:rPr>
      </w:pPr>
      <w:r>
        <w:rPr>
          <w:rFonts w:cs="Times New Roman"/>
        </w:rPr>
        <w:t>综合以上情况，本指标扣1.5分。</w:t>
      </w:r>
    </w:p>
    <w:p>
      <w:pPr>
        <w:pStyle w:val="4"/>
        <w:ind w:firstLine="632"/>
        <w:rPr>
          <w:rFonts w:cs="Times New Roman"/>
        </w:rPr>
      </w:pPr>
      <w:r>
        <w:rPr>
          <w:rFonts w:cs="Times New Roman"/>
        </w:rPr>
        <w:t>3.产出实现情况分析。</w:t>
      </w:r>
    </w:p>
    <w:p>
      <w:pPr>
        <w:ind w:firstLine="632"/>
        <w:rPr>
          <w:rFonts w:cs="Times New Roman"/>
        </w:rPr>
      </w:pPr>
      <w:r>
        <w:rPr>
          <w:rFonts w:cs="Times New Roman"/>
        </w:rPr>
        <w:t>指标下设</w:t>
      </w:r>
      <w:r>
        <w:rPr>
          <w:rFonts w:hint="eastAsia" w:ascii="仿宋_GB2312" w:cs="Times New Roman"/>
        </w:rPr>
        <w:t>“</w:t>
      </w:r>
      <w:r>
        <w:rPr>
          <w:rFonts w:cs="Times New Roman"/>
        </w:rPr>
        <w:t>经济性</w:t>
      </w:r>
      <w:r>
        <w:rPr>
          <w:rFonts w:hint="eastAsia" w:ascii="仿宋_GB2312" w:cs="Times New Roman"/>
        </w:rPr>
        <w:t>”“</w:t>
      </w:r>
      <w:r>
        <w:rPr>
          <w:rFonts w:cs="Times New Roman"/>
        </w:rPr>
        <w:t>效率性</w:t>
      </w:r>
      <w:r>
        <w:rPr>
          <w:rFonts w:hint="eastAsia" w:ascii="仿宋_GB2312" w:cs="Times New Roman"/>
        </w:rPr>
        <w:t>”</w:t>
      </w:r>
      <w:r>
        <w:rPr>
          <w:rFonts w:cs="Times New Roman"/>
        </w:rPr>
        <w:t>2个二级指标，主要从预算控制、成本控制、完成进度、完成质量4个方面反映项目预算控制、产出绩效完成情况。指标分值30分，评价得分28.5分，评价得分率为95%。</w:t>
      </w:r>
    </w:p>
    <w:p>
      <w:pPr>
        <w:pStyle w:val="4"/>
        <w:ind w:firstLine="632"/>
        <w:rPr>
          <w:rFonts w:cs="Times New Roman"/>
        </w:rPr>
      </w:pPr>
      <w:r>
        <w:rPr>
          <w:rFonts w:cs="Times New Roman"/>
        </w:rPr>
        <w:t>（1）预算控制。</w:t>
      </w:r>
    </w:p>
    <w:p>
      <w:pPr>
        <w:ind w:firstLine="632"/>
        <w:rPr>
          <w:rFonts w:cs="Times New Roman"/>
        </w:rPr>
      </w:pPr>
      <w:r>
        <w:rPr>
          <w:rFonts w:cs="Times New Roman"/>
        </w:rPr>
        <w:t>该指标包括预算控制1个方面，指标分值3分，评价得分3分，评价得分率为100%。</w:t>
      </w:r>
    </w:p>
    <w:p>
      <w:pPr>
        <w:pStyle w:val="5"/>
        <w:ind w:firstLine="632"/>
        <w:rPr>
          <w:rFonts w:cs="Times New Roman"/>
        </w:rPr>
      </w:pPr>
      <w:r>
        <w:rPr>
          <w:rFonts w:hint="eastAsia" w:ascii="宋体" w:hAnsi="宋体" w:eastAsia="宋体" w:cs="宋体"/>
        </w:rPr>
        <w:t>①</w:t>
      </w:r>
      <w:r>
        <w:rPr>
          <w:rFonts w:cs="Times New Roman"/>
        </w:rPr>
        <w:t>预算控制。</w:t>
      </w:r>
    </w:p>
    <w:p>
      <w:pPr>
        <w:ind w:firstLine="632"/>
        <w:rPr>
          <w:rFonts w:cs="Times New Roman"/>
        </w:rPr>
      </w:pPr>
      <w:r>
        <w:rPr>
          <w:rFonts w:cs="Times New Roman"/>
        </w:rPr>
        <w:t>指标分值3分，评价得分3分，评价得分率为100%。</w:t>
      </w:r>
    </w:p>
    <w:p>
      <w:pPr>
        <w:ind w:firstLine="632"/>
        <w:rPr>
          <w:rFonts w:cs="Times New Roman"/>
        </w:rPr>
      </w:pPr>
      <w:r>
        <w:rPr>
          <w:rFonts w:cs="Times New Roman"/>
        </w:rPr>
        <w:t>根据</w:t>
      </w:r>
      <w:r>
        <w:rPr>
          <w:rFonts w:cs="Times New Roman"/>
          <w:szCs w:val="32"/>
        </w:rPr>
        <w:t>区公共建设项目管理服务中心提供的</w:t>
      </w:r>
      <w:r>
        <w:rPr>
          <w:rFonts w:cs="Times New Roman"/>
        </w:rPr>
        <w:t>项目预算下达文件、单位指标文件及资金使用明细账。本项目2023年年度预算为29186.41万元，实际支出为29186.41万元，预算执行率100%，</w:t>
      </w:r>
      <w:r>
        <w:rPr>
          <w:rFonts w:cs="Times New Roman"/>
          <w:szCs w:val="32"/>
        </w:rPr>
        <w:t>区公共建设项目管理服务中心</w:t>
      </w:r>
      <w:r>
        <w:rPr>
          <w:rFonts w:cs="Times New Roman"/>
        </w:rPr>
        <w:t>根据工程进度及合同约定支付勘察设计费、工程进度款、监理费等，实际支出未超过预算计划。</w:t>
      </w:r>
    </w:p>
    <w:p>
      <w:pPr>
        <w:pStyle w:val="4"/>
        <w:ind w:firstLine="632"/>
        <w:rPr>
          <w:rFonts w:cs="Times New Roman"/>
        </w:rPr>
      </w:pPr>
      <w:r>
        <w:rPr>
          <w:rFonts w:cs="Times New Roman"/>
        </w:rPr>
        <w:t>（2）成本控制。</w:t>
      </w:r>
    </w:p>
    <w:p>
      <w:pPr>
        <w:ind w:firstLine="632"/>
        <w:rPr>
          <w:rFonts w:cs="Times New Roman"/>
        </w:rPr>
      </w:pPr>
      <w:r>
        <w:rPr>
          <w:rFonts w:cs="Times New Roman"/>
        </w:rPr>
        <w:t>该指标包括成本节约1个方面，指标分值2分，评价得分2分，评价得分率为100%。</w:t>
      </w:r>
    </w:p>
    <w:p>
      <w:pPr>
        <w:pStyle w:val="5"/>
        <w:ind w:firstLine="632"/>
        <w:rPr>
          <w:rFonts w:cs="Times New Roman"/>
        </w:rPr>
      </w:pPr>
      <w:r>
        <w:rPr>
          <w:rFonts w:hint="eastAsia" w:ascii="宋体" w:hAnsi="宋体" w:eastAsia="宋体" w:cs="宋体"/>
        </w:rPr>
        <w:t>①</w:t>
      </w:r>
      <w:r>
        <w:rPr>
          <w:rFonts w:cs="Times New Roman"/>
        </w:rPr>
        <w:t>成本节约（成本指标）。</w:t>
      </w:r>
    </w:p>
    <w:p>
      <w:pPr>
        <w:ind w:firstLine="632"/>
        <w:rPr>
          <w:rFonts w:cs="Times New Roman"/>
        </w:rPr>
      </w:pPr>
      <w:r>
        <w:rPr>
          <w:rFonts w:cs="Times New Roman"/>
        </w:rPr>
        <w:t>指标分值2分，评价得分2分，评价得分率为100%。</w:t>
      </w:r>
    </w:p>
    <w:p>
      <w:pPr>
        <w:ind w:firstLine="632"/>
        <w:rPr>
          <w:rFonts w:cs="Times New Roman"/>
        </w:rPr>
      </w:pPr>
      <w:r>
        <w:rPr>
          <w:rFonts w:cs="Times New Roman"/>
        </w:rPr>
        <w:t>根据</w:t>
      </w:r>
      <w:r>
        <w:rPr>
          <w:rFonts w:cs="Times New Roman"/>
          <w:szCs w:val="32"/>
        </w:rPr>
        <w:t>区公共建设项目管理服务中心提供的《项目管理会审表》及项目相关合同、项目支出明细账</w:t>
      </w:r>
      <w:r>
        <w:rPr>
          <w:rFonts w:cs="Times New Roman"/>
        </w:rPr>
        <w:t>，结合现场核查情况，2023年项目资金支出按照合同金额支出，未发生超出成本的情况。</w:t>
      </w:r>
    </w:p>
    <w:p>
      <w:pPr>
        <w:pStyle w:val="4"/>
        <w:ind w:firstLine="632"/>
        <w:rPr>
          <w:rFonts w:cs="Times New Roman"/>
        </w:rPr>
      </w:pPr>
      <w:r>
        <w:rPr>
          <w:rFonts w:cs="Times New Roman"/>
        </w:rPr>
        <w:t>（3）完成进度。</w:t>
      </w:r>
    </w:p>
    <w:p>
      <w:pPr>
        <w:ind w:firstLine="632"/>
        <w:rPr>
          <w:rFonts w:cs="Times New Roman"/>
        </w:rPr>
      </w:pPr>
      <w:r>
        <w:rPr>
          <w:rFonts w:cs="Times New Roman"/>
        </w:rPr>
        <w:t>该指标包括建筑完工面积、配套工程建设完成率、工程完工进度达标率3个方面，指标分值19分，评价得分19分，评价得分率为100%。</w:t>
      </w:r>
    </w:p>
    <w:p>
      <w:pPr>
        <w:pStyle w:val="5"/>
        <w:ind w:firstLine="632"/>
        <w:rPr>
          <w:rFonts w:cs="Times New Roman"/>
        </w:rPr>
      </w:pPr>
      <w:r>
        <w:rPr>
          <w:rFonts w:hint="eastAsia" w:ascii="宋体" w:hAnsi="宋体" w:eastAsia="宋体" w:cs="宋体"/>
        </w:rPr>
        <w:t>①</w:t>
      </w:r>
      <w:r>
        <w:rPr>
          <w:rFonts w:cs="Times New Roman"/>
        </w:rPr>
        <w:t>建筑完工面积。</w:t>
      </w:r>
    </w:p>
    <w:p>
      <w:pPr>
        <w:ind w:firstLine="632"/>
        <w:rPr>
          <w:rFonts w:cs="Times New Roman"/>
        </w:rPr>
      </w:pPr>
      <w:r>
        <w:rPr>
          <w:rFonts w:cs="Times New Roman"/>
        </w:rPr>
        <w:t>指标分值6分，评价得分6分，评价得分率为100%。</w:t>
      </w:r>
    </w:p>
    <w:p>
      <w:pPr>
        <w:ind w:firstLine="632"/>
        <w:rPr>
          <w:rFonts w:cs="Times New Roman"/>
        </w:rPr>
      </w:pPr>
      <w:r>
        <w:rPr>
          <w:rFonts w:cs="Times New Roman"/>
        </w:rPr>
        <w:t>预期目标值为</w:t>
      </w:r>
      <w:r>
        <w:rPr>
          <w:rFonts w:hint="eastAsia" w:ascii="仿宋_GB2312" w:cs="Times New Roman"/>
        </w:rPr>
        <w:t>“</w:t>
      </w:r>
      <w:r>
        <w:rPr>
          <w:rFonts w:cs="Times New Roman"/>
        </w:rPr>
        <w:t>63652平方米</w:t>
      </w:r>
      <w:r>
        <w:rPr>
          <w:rFonts w:hint="eastAsia" w:ascii="仿宋_GB2312" w:cs="Times New Roman"/>
        </w:rPr>
        <w:t>”</w:t>
      </w:r>
      <w:r>
        <w:rPr>
          <w:rFonts w:cs="Times New Roman"/>
        </w:rPr>
        <w:t>。根据《广州市建设工程施工合同》，项目总建筑面积为63652平方米。根据</w:t>
      </w:r>
      <w:r>
        <w:rPr>
          <w:rFonts w:cs="Times New Roman"/>
          <w:szCs w:val="32"/>
        </w:rPr>
        <w:t>区公共建设项目管理服务中心提供的</w:t>
      </w:r>
      <w:r>
        <w:rPr>
          <w:rFonts w:cs="Times New Roman"/>
        </w:rPr>
        <w:t>《单位（子单位）竣工验收报告》，工程已完成设计图纸及施工承包合同的内容，综合以上情况，建筑完工面积为63652平方米。</w:t>
      </w:r>
    </w:p>
    <w:p>
      <w:pPr>
        <w:pStyle w:val="5"/>
        <w:ind w:firstLine="632"/>
        <w:rPr>
          <w:rFonts w:cs="Times New Roman"/>
        </w:rPr>
      </w:pPr>
      <w:r>
        <w:rPr>
          <w:rFonts w:hint="eastAsia" w:ascii="宋体" w:hAnsi="宋体" w:eastAsia="宋体" w:cs="宋体"/>
        </w:rPr>
        <w:t>②</w:t>
      </w:r>
      <w:r>
        <w:rPr>
          <w:rFonts w:cs="Times New Roman"/>
        </w:rPr>
        <w:t>配套工程建设完成率。</w:t>
      </w:r>
    </w:p>
    <w:p>
      <w:pPr>
        <w:ind w:firstLine="632"/>
        <w:rPr>
          <w:rFonts w:cs="Times New Roman"/>
        </w:rPr>
      </w:pPr>
      <w:r>
        <w:rPr>
          <w:rFonts w:cs="Times New Roman"/>
        </w:rPr>
        <w:t>指标分值6.5分，评价得分6.5分，评价得分率为100%。</w:t>
      </w:r>
    </w:p>
    <w:p>
      <w:pPr>
        <w:ind w:firstLine="632"/>
        <w:rPr>
          <w:rFonts w:cs="Times New Roman"/>
        </w:rPr>
      </w:pPr>
      <w:r>
        <w:rPr>
          <w:rFonts w:cs="Times New Roman"/>
        </w:rPr>
        <w:t>预期目标值为</w:t>
      </w:r>
      <w:r>
        <w:rPr>
          <w:rFonts w:hint="eastAsia" w:ascii="仿宋_GB2312" w:cs="Times New Roman"/>
        </w:rPr>
        <w:t>“</w:t>
      </w:r>
      <w:r>
        <w:rPr>
          <w:rFonts w:cs="Times New Roman"/>
        </w:rPr>
        <w:t>100%</w:t>
      </w:r>
      <w:r>
        <w:rPr>
          <w:rFonts w:hint="eastAsia" w:ascii="仿宋_GB2312" w:cs="Times New Roman"/>
        </w:rPr>
        <w:t>”</w:t>
      </w:r>
      <w:r>
        <w:rPr>
          <w:rFonts w:cs="Times New Roman"/>
        </w:rPr>
        <w:t>。根据《广州市建设工程施工合同》，项目建设内容主要包括教学及辅助用房、办公用房生活服务用房、学生及教职工宿舍、其他配套用房等功能建筑，并配套建设室外运动场地、道路广场、绿地、给排水管网、围墙大门等一批室外工程。根据</w:t>
      </w:r>
      <w:r>
        <w:rPr>
          <w:rFonts w:cs="Times New Roman"/>
          <w:szCs w:val="32"/>
        </w:rPr>
        <w:t>区公共建设项目管理服务中心提供的</w:t>
      </w:r>
      <w:r>
        <w:rPr>
          <w:rFonts w:cs="Times New Roman"/>
        </w:rPr>
        <w:t>《单位（子单位）竣工验收报告》，工程已完成设计图纸及施工承包合同的内容，建筑装饰装修、屋面、建筑给水排水及采暖、通风与空调、建筑电气、智能建筑、建筑节能、电梯等均已验收合格，综合以上情况，配套工程建设完成率为100%。</w:t>
      </w:r>
    </w:p>
    <w:p>
      <w:pPr>
        <w:pStyle w:val="5"/>
        <w:ind w:firstLine="632"/>
        <w:rPr>
          <w:rFonts w:cs="Times New Roman"/>
        </w:rPr>
      </w:pPr>
      <w:r>
        <w:rPr>
          <w:rFonts w:hint="eastAsia" w:ascii="宋体" w:hAnsi="宋体" w:eastAsia="宋体" w:cs="宋体"/>
        </w:rPr>
        <w:t>③</w:t>
      </w:r>
      <w:r>
        <w:rPr>
          <w:rFonts w:cs="Times New Roman"/>
        </w:rPr>
        <w:t>工程完工进度达标率。</w:t>
      </w:r>
    </w:p>
    <w:p>
      <w:pPr>
        <w:ind w:firstLine="632"/>
        <w:rPr>
          <w:rFonts w:cs="Times New Roman"/>
        </w:rPr>
      </w:pPr>
      <w:r>
        <w:rPr>
          <w:rFonts w:cs="Times New Roman"/>
        </w:rPr>
        <w:t>指标分值6.5分，评价得分6.5分，评价得分率为100%。</w:t>
      </w:r>
    </w:p>
    <w:p>
      <w:pPr>
        <w:ind w:firstLine="632"/>
        <w:rPr>
          <w:rFonts w:cs="Times New Roman"/>
        </w:rPr>
      </w:pPr>
      <w:r>
        <w:rPr>
          <w:rFonts w:cs="Times New Roman"/>
        </w:rPr>
        <w:t>预期指标值为</w:t>
      </w:r>
      <w:r>
        <w:rPr>
          <w:rFonts w:hint="eastAsia" w:ascii="仿宋_GB2312" w:cs="Times New Roman"/>
        </w:rPr>
        <w:t>“</w:t>
      </w:r>
      <w:r>
        <w:rPr>
          <w:rFonts w:cs="Times New Roman"/>
        </w:rPr>
        <w:t>100%</w:t>
      </w:r>
      <w:r>
        <w:rPr>
          <w:rFonts w:hint="eastAsia" w:ascii="仿宋_GB2312" w:cs="Times New Roman"/>
        </w:rPr>
        <w:t>”</w:t>
      </w:r>
      <w:r>
        <w:rPr>
          <w:rFonts w:cs="Times New Roman"/>
        </w:rPr>
        <w:t>。根据</w:t>
      </w:r>
      <w:r>
        <w:rPr>
          <w:rFonts w:cs="Times New Roman"/>
          <w:szCs w:val="32"/>
        </w:rPr>
        <w:t>区公共建设项目管理服务中心提供的</w:t>
      </w:r>
      <w:r>
        <w:rPr>
          <w:rFonts w:cs="Times New Roman"/>
        </w:rPr>
        <w:t>《工程开工令》及《单位（子单位）竣工验收报告》，项目2022年8月5日经监理单位批复项目正式开工，2023年7月25日项目完成竣工验收，项目实际工期为354个日历天，项目实际工期未超出合同计划工期355个日历天，工程完工进度达标率100%。</w:t>
      </w:r>
    </w:p>
    <w:p>
      <w:pPr>
        <w:pStyle w:val="4"/>
        <w:ind w:firstLine="632"/>
        <w:rPr>
          <w:rFonts w:cs="Times New Roman"/>
        </w:rPr>
      </w:pPr>
      <w:r>
        <w:rPr>
          <w:rFonts w:cs="Times New Roman"/>
        </w:rPr>
        <w:t>（4）完成质量。</w:t>
      </w:r>
    </w:p>
    <w:p>
      <w:pPr>
        <w:ind w:firstLine="632"/>
        <w:rPr>
          <w:rFonts w:cs="Times New Roman"/>
        </w:rPr>
      </w:pPr>
      <w:r>
        <w:rPr>
          <w:rFonts w:cs="Times New Roman"/>
        </w:rPr>
        <w:t>该指标包括工程验收合格率1个方面，指标分值6分，评价得分4.5分，评价得分率为75%。</w:t>
      </w:r>
    </w:p>
    <w:p>
      <w:pPr>
        <w:pStyle w:val="5"/>
        <w:ind w:firstLine="632"/>
        <w:rPr>
          <w:rFonts w:cs="Times New Roman"/>
        </w:rPr>
      </w:pPr>
      <w:r>
        <w:rPr>
          <w:rFonts w:hint="eastAsia" w:ascii="宋体" w:hAnsi="宋体" w:eastAsia="宋体" w:cs="宋体"/>
        </w:rPr>
        <w:t>①</w:t>
      </w:r>
      <w:r>
        <w:rPr>
          <w:rFonts w:cs="Times New Roman"/>
        </w:rPr>
        <w:t>工程验收合格率。</w:t>
      </w:r>
    </w:p>
    <w:p>
      <w:pPr>
        <w:ind w:firstLine="632"/>
        <w:rPr>
          <w:rFonts w:cs="Times New Roman"/>
        </w:rPr>
      </w:pPr>
      <w:r>
        <w:rPr>
          <w:rFonts w:cs="Times New Roman"/>
        </w:rPr>
        <w:t>指标分值6分，评价得分4.5分，评价得分率为75%。</w:t>
      </w:r>
    </w:p>
    <w:p>
      <w:pPr>
        <w:ind w:firstLine="632"/>
        <w:rPr>
          <w:rFonts w:cs="Times New Roman"/>
        </w:rPr>
      </w:pPr>
      <w:r>
        <w:rPr>
          <w:rFonts w:cs="Times New Roman"/>
        </w:rPr>
        <w:t>预期指标值为</w:t>
      </w:r>
      <w:r>
        <w:rPr>
          <w:rFonts w:hint="eastAsia" w:ascii="仿宋_GB2312" w:cs="Times New Roman"/>
        </w:rPr>
        <w:t>“</w:t>
      </w:r>
      <w:r>
        <w:rPr>
          <w:rFonts w:cs="Times New Roman"/>
        </w:rPr>
        <w:t>100%</w:t>
      </w:r>
      <w:r>
        <w:rPr>
          <w:rFonts w:hint="eastAsia" w:ascii="仿宋_GB2312" w:cs="Times New Roman"/>
        </w:rPr>
        <w:t>”</w:t>
      </w:r>
      <w:r>
        <w:rPr>
          <w:rFonts w:cs="Times New Roman"/>
        </w:rPr>
        <w:t>。根据</w:t>
      </w:r>
      <w:r>
        <w:rPr>
          <w:rFonts w:cs="Times New Roman"/>
          <w:szCs w:val="32"/>
        </w:rPr>
        <w:t>区公共建设项目管理服务中心提供的</w:t>
      </w:r>
      <w:r>
        <w:rPr>
          <w:rFonts w:cs="Times New Roman"/>
        </w:rPr>
        <w:t>《单位（子单位）竣工验收报告》，2023年7月25日增城区应元学校高中部建设项目施工总承包【±0.000以下】及增城区应元学校高中部建设项目施工总承包-体育馆、行政楼、艺术楼、图书馆、科技楼教学楼、学生公寓、教师公寓、设备房、门楼、架空大平台、地下室（自编号1#~12#，DX1）【±0.000以上】完成竣工验收，工程质量等级评定为合格。但结合现场核查情况，报告厅首层外地台出现质量问题，且2023年度项目未完成联合验收工作，综合以上情况，本指标扣1.5分。</w:t>
      </w:r>
    </w:p>
    <w:p>
      <w:pPr>
        <w:pStyle w:val="4"/>
        <w:ind w:firstLine="632"/>
        <w:rPr>
          <w:rFonts w:cs="Times New Roman"/>
        </w:rPr>
      </w:pPr>
      <w:r>
        <w:rPr>
          <w:rFonts w:cs="Times New Roman"/>
        </w:rPr>
        <w:t>4.效益实现情况分析。</w:t>
      </w:r>
    </w:p>
    <w:p>
      <w:pPr>
        <w:ind w:firstLine="632"/>
        <w:rPr>
          <w:rFonts w:cs="Times New Roman"/>
        </w:rPr>
      </w:pPr>
      <w:r>
        <w:rPr>
          <w:rFonts w:cs="Times New Roman"/>
        </w:rPr>
        <w:t>指标下设</w:t>
      </w:r>
      <w:r>
        <w:rPr>
          <w:rFonts w:hint="eastAsia" w:ascii="仿宋_GB2312" w:cs="Times New Roman"/>
        </w:rPr>
        <w:t>“</w:t>
      </w:r>
      <w:r>
        <w:rPr>
          <w:rFonts w:cs="Times New Roman"/>
        </w:rPr>
        <w:t>效果性</w:t>
      </w:r>
      <w:r>
        <w:rPr>
          <w:rFonts w:hint="eastAsia" w:ascii="仿宋_GB2312" w:cs="Times New Roman"/>
        </w:rPr>
        <w:t>”“</w:t>
      </w:r>
      <w:r>
        <w:rPr>
          <w:rFonts w:cs="Times New Roman"/>
        </w:rPr>
        <w:t>公平性</w:t>
      </w:r>
      <w:r>
        <w:rPr>
          <w:rFonts w:hint="eastAsia" w:ascii="仿宋_GB2312" w:cs="Times New Roman"/>
        </w:rPr>
        <w:t>”</w:t>
      </w:r>
      <w:r>
        <w:rPr>
          <w:rFonts w:cs="Times New Roman"/>
        </w:rPr>
        <w:t>2个二级指标，主要从社会效益、可持续影响、满意度4个方面反映项目效益实现情况及服务对象认可程度。指标分值30分，评价得分27分，评价得分率为90%。</w:t>
      </w:r>
    </w:p>
    <w:p>
      <w:pPr>
        <w:pStyle w:val="4"/>
        <w:ind w:firstLine="632"/>
        <w:rPr>
          <w:rFonts w:cs="Times New Roman"/>
        </w:rPr>
      </w:pPr>
      <w:r>
        <w:rPr>
          <w:rFonts w:cs="Times New Roman"/>
        </w:rPr>
        <w:t>（1）社会效益。</w:t>
      </w:r>
    </w:p>
    <w:p>
      <w:pPr>
        <w:ind w:firstLine="632"/>
        <w:rPr>
          <w:rFonts w:cs="Times New Roman"/>
        </w:rPr>
      </w:pPr>
      <w:r>
        <w:rPr>
          <w:rFonts w:cs="Times New Roman"/>
        </w:rPr>
        <w:t>该指标包括新增高中班数量、新学年新增招收学生数量、工程安全事故发生次数3个方面，指标分值18分，评价得分16分，评价得分率为88.89%。</w:t>
      </w:r>
    </w:p>
    <w:p>
      <w:pPr>
        <w:pStyle w:val="5"/>
        <w:ind w:firstLine="632"/>
        <w:rPr>
          <w:rFonts w:cs="Times New Roman"/>
        </w:rPr>
      </w:pPr>
      <w:r>
        <w:rPr>
          <w:rFonts w:hint="eastAsia" w:ascii="宋体" w:hAnsi="宋体" w:eastAsia="宋体" w:cs="宋体"/>
        </w:rPr>
        <w:t>①</w:t>
      </w:r>
      <w:r>
        <w:rPr>
          <w:rFonts w:cs="Times New Roman"/>
        </w:rPr>
        <w:t>新增高中班数量。</w:t>
      </w:r>
    </w:p>
    <w:p>
      <w:pPr>
        <w:ind w:firstLine="632"/>
        <w:rPr>
          <w:rFonts w:cs="Times New Roman"/>
        </w:rPr>
      </w:pPr>
      <w:r>
        <w:rPr>
          <w:rFonts w:cs="Times New Roman"/>
        </w:rPr>
        <w:t>指标分值6分，评价得分5分，评价得分率为83.33%。</w:t>
      </w:r>
    </w:p>
    <w:p>
      <w:pPr>
        <w:ind w:firstLine="632"/>
        <w:rPr>
          <w:rFonts w:cs="Times New Roman"/>
        </w:rPr>
      </w:pPr>
      <w:r>
        <w:rPr>
          <w:rFonts w:cs="Times New Roman"/>
        </w:rPr>
        <w:t>预期指标值为</w:t>
      </w:r>
      <w:r>
        <w:rPr>
          <w:rFonts w:hint="eastAsia" w:ascii="仿宋_GB2312" w:cs="Times New Roman"/>
        </w:rPr>
        <w:t>“</w:t>
      </w:r>
      <w:r>
        <w:rPr>
          <w:rFonts w:cs="Times New Roman"/>
        </w:rPr>
        <w:t>36个</w:t>
      </w:r>
      <w:r>
        <w:rPr>
          <w:rFonts w:hint="eastAsia" w:ascii="仿宋_GB2312" w:cs="Times New Roman"/>
        </w:rPr>
        <w:t>”</w:t>
      </w:r>
      <w:r>
        <w:rPr>
          <w:rFonts w:cs="Times New Roman"/>
        </w:rPr>
        <w:t>。根据《广州市建设工程施工合同》，项目拟建36个高中班。根据</w:t>
      </w:r>
      <w:r>
        <w:rPr>
          <w:rFonts w:cs="Times New Roman"/>
          <w:szCs w:val="32"/>
        </w:rPr>
        <w:t>区公共建设项目管理服务中心提供的</w:t>
      </w:r>
      <w:r>
        <w:rPr>
          <w:rFonts w:cs="Times New Roman"/>
        </w:rPr>
        <w:t>《单位（子单位）竣工验收报告》，2023年7月25日增城区应元学校高中部建设项目施工总承包【±0.000以下】及增城区应元学校高中部建设项目施工总承包-体育馆、行政楼、艺术楼、图书馆、科技楼教学楼、学生公寓、教师公寓、设备房、门楼、架空大平台、地下室（自编号1#~12#，DX1）【±0.000以上】完成竣工验收，工程已完成设计图纸及施工承包合同的内容，但结合现场核查情况，项目移交后，新学年仅完成高一年级学生的招收，36个高中班未全部投入使用，且未见实际招收学生数量及高中班投入使用情况佐证文件，综合以上情况，本指标扣1分。</w:t>
      </w:r>
    </w:p>
    <w:p>
      <w:pPr>
        <w:pStyle w:val="5"/>
        <w:ind w:firstLine="632"/>
        <w:rPr>
          <w:rFonts w:cs="Times New Roman"/>
        </w:rPr>
      </w:pPr>
      <w:r>
        <w:rPr>
          <w:rFonts w:hint="eastAsia" w:ascii="宋体" w:hAnsi="宋体" w:eastAsia="宋体" w:cs="宋体"/>
        </w:rPr>
        <w:t>②</w:t>
      </w:r>
      <w:r>
        <w:rPr>
          <w:rFonts w:cs="Times New Roman"/>
        </w:rPr>
        <w:t>新学年新增招收学生数量。</w:t>
      </w:r>
    </w:p>
    <w:p>
      <w:pPr>
        <w:ind w:firstLine="632"/>
        <w:rPr>
          <w:rFonts w:cs="Times New Roman"/>
        </w:rPr>
      </w:pPr>
      <w:r>
        <w:rPr>
          <w:rFonts w:cs="Times New Roman"/>
        </w:rPr>
        <w:t>指标分值6分，评价得分5分，评价得分率为83.33%。</w:t>
      </w:r>
    </w:p>
    <w:p>
      <w:pPr>
        <w:ind w:firstLine="632"/>
        <w:rPr>
          <w:rFonts w:cs="Times New Roman"/>
        </w:rPr>
      </w:pPr>
      <w:r>
        <w:rPr>
          <w:rFonts w:cs="Times New Roman"/>
        </w:rPr>
        <w:t>预期指标值为</w:t>
      </w:r>
      <w:r>
        <w:rPr>
          <w:rFonts w:hint="eastAsia" w:ascii="仿宋_GB2312" w:cs="Times New Roman"/>
        </w:rPr>
        <w:t>“</w:t>
      </w:r>
      <w:r>
        <w:rPr>
          <w:rFonts w:cs="Times New Roman"/>
        </w:rPr>
        <w:t>1800生</w:t>
      </w:r>
      <w:r>
        <w:rPr>
          <w:rFonts w:hint="eastAsia" w:ascii="仿宋_GB2312" w:cs="Times New Roman"/>
        </w:rPr>
        <w:t>”</w:t>
      </w:r>
      <w:r>
        <w:rPr>
          <w:rFonts w:cs="Times New Roman"/>
        </w:rPr>
        <w:t>。根据《广州市建设工程施工合同》，项目拟建36个高中班，总规模1800生。根据</w:t>
      </w:r>
      <w:r>
        <w:rPr>
          <w:rFonts w:cs="Times New Roman"/>
          <w:szCs w:val="32"/>
        </w:rPr>
        <w:t>区公共建设项目管理服务中心提供的</w:t>
      </w:r>
      <w:r>
        <w:rPr>
          <w:rFonts w:cs="Times New Roman"/>
        </w:rPr>
        <w:t>《单位（子单位）竣工验收报告》，2023年7月25日项目完成竣工验收，工程已完成设计图纸及施工承包合同的内容，但结合现场核查情况，项目投入使用后，仅完成高一年级学生的招收，且未见实际招收学生数量佐证文件，未明确新增招收学生数量是否达到预期目标，综合以上情况，本指标扣1分。</w:t>
      </w:r>
    </w:p>
    <w:p>
      <w:pPr>
        <w:pStyle w:val="5"/>
        <w:ind w:firstLine="632"/>
        <w:rPr>
          <w:rFonts w:cs="Times New Roman"/>
        </w:rPr>
      </w:pPr>
      <w:r>
        <w:rPr>
          <w:rFonts w:hint="eastAsia" w:ascii="宋体" w:hAnsi="宋体" w:eastAsia="宋体" w:cs="宋体"/>
        </w:rPr>
        <w:t>③</w:t>
      </w:r>
      <w:r>
        <w:rPr>
          <w:rFonts w:cs="Times New Roman"/>
        </w:rPr>
        <w:t>工程安全事故发生次数。</w:t>
      </w:r>
    </w:p>
    <w:p>
      <w:pPr>
        <w:ind w:firstLine="632"/>
        <w:rPr>
          <w:rFonts w:cs="Times New Roman"/>
        </w:rPr>
      </w:pPr>
      <w:r>
        <w:rPr>
          <w:rFonts w:cs="Times New Roman"/>
        </w:rPr>
        <w:t>指标分值6分，评价得分6分，评价得分率为100%。</w:t>
      </w:r>
    </w:p>
    <w:p>
      <w:pPr>
        <w:ind w:firstLine="632"/>
        <w:rPr>
          <w:rFonts w:cs="Times New Roman"/>
        </w:rPr>
      </w:pPr>
      <w:r>
        <w:rPr>
          <w:rFonts w:cs="Times New Roman"/>
        </w:rPr>
        <w:t>预期指标值为</w:t>
      </w:r>
      <w:r>
        <w:rPr>
          <w:rFonts w:hint="eastAsia" w:ascii="仿宋_GB2312" w:cs="Times New Roman"/>
        </w:rPr>
        <w:t>“</w:t>
      </w:r>
      <w:r>
        <w:rPr>
          <w:rFonts w:cs="Times New Roman"/>
        </w:rPr>
        <w:t>0</w:t>
      </w:r>
      <w:r>
        <w:rPr>
          <w:rFonts w:hint="eastAsia" w:ascii="仿宋_GB2312" w:cs="Times New Roman"/>
        </w:rPr>
        <w:t>”</w:t>
      </w:r>
      <w:r>
        <w:rPr>
          <w:rFonts w:cs="Times New Roman"/>
        </w:rPr>
        <w:t>。根据</w:t>
      </w:r>
      <w:r>
        <w:rPr>
          <w:rFonts w:cs="Times New Roman"/>
          <w:szCs w:val="32"/>
        </w:rPr>
        <w:t>区公共建设项目管理服务中心提供的</w:t>
      </w:r>
      <w:r>
        <w:rPr>
          <w:rFonts w:cs="Times New Roman"/>
        </w:rPr>
        <w:t>《单位（子单位）竣工验收报告》，2023年7月25日项目完成竣工验收，根据《单位（子单位）竣工验收报告》显示，施工过程中没有发生安全事故，工程安全事故发生次数为0。</w:t>
      </w:r>
    </w:p>
    <w:p>
      <w:pPr>
        <w:pStyle w:val="4"/>
        <w:ind w:firstLine="632"/>
        <w:rPr>
          <w:rFonts w:cs="Times New Roman"/>
        </w:rPr>
      </w:pPr>
      <w:r>
        <w:rPr>
          <w:rFonts w:cs="Times New Roman"/>
        </w:rPr>
        <w:t>（2）可持续影响。</w:t>
      </w:r>
    </w:p>
    <w:p>
      <w:pPr>
        <w:ind w:firstLine="632"/>
        <w:rPr>
          <w:rFonts w:cs="Times New Roman"/>
        </w:rPr>
      </w:pPr>
      <w:r>
        <w:rPr>
          <w:rFonts w:cs="Times New Roman"/>
        </w:rPr>
        <w:t>该指标包括助力均衡增城区区域教育资源1个方面，指标分值7分，评价得分6分，评价得分率为85.71%。</w:t>
      </w:r>
    </w:p>
    <w:p>
      <w:pPr>
        <w:pStyle w:val="5"/>
        <w:ind w:firstLine="632"/>
        <w:rPr>
          <w:rFonts w:cs="Times New Roman"/>
        </w:rPr>
      </w:pPr>
      <w:r>
        <w:rPr>
          <w:rFonts w:hint="eastAsia" w:ascii="宋体" w:hAnsi="宋体" w:eastAsia="宋体" w:cs="宋体"/>
        </w:rPr>
        <w:t>①</w:t>
      </w:r>
      <w:r>
        <w:rPr>
          <w:rFonts w:cs="Times New Roman"/>
        </w:rPr>
        <w:t>助力均衡增城区区域教育资源。</w:t>
      </w:r>
    </w:p>
    <w:p>
      <w:pPr>
        <w:ind w:firstLine="632"/>
        <w:rPr>
          <w:rFonts w:cs="Times New Roman"/>
        </w:rPr>
      </w:pPr>
      <w:r>
        <w:rPr>
          <w:rFonts w:cs="Times New Roman"/>
        </w:rPr>
        <w:t>指标分值7分，评价得分6分，评价得分率为85.71%。</w:t>
      </w:r>
    </w:p>
    <w:p>
      <w:pPr>
        <w:ind w:firstLine="632"/>
        <w:rPr>
          <w:rFonts w:cs="Times New Roman"/>
        </w:rPr>
      </w:pPr>
      <w:r>
        <w:rPr>
          <w:rFonts w:cs="Times New Roman"/>
        </w:rPr>
        <w:t>预期指标值为</w:t>
      </w:r>
      <w:r>
        <w:rPr>
          <w:rFonts w:hint="eastAsia" w:ascii="仿宋_GB2312" w:cs="Times New Roman"/>
        </w:rPr>
        <w:t>“</w:t>
      </w:r>
      <w:r>
        <w:rPr>
          <w:rFonts w:cs="Times New Roman"/>
        </w:rPr>
        <w:t>新学年100%按计划完成招生，助力均衡增城区区域教育资源</w:t>
      </w:r>
      <w:r>
        <w:rPr>
          <w:rFonts w:hint="eastAsia" w:ascii="仿宋_GB2312" w:cs="Times New Roman"/>
        </w:rPr>
        <w:t>”</w:t>
      </w:r>
      <w:r>
        <w:rPr>
          <w:rFonts w:cs="Times New Roman"/>
        </w:rPr>
        <w:t>。根据</w:t>
      </w:r>
      <w:r>
        <w:rPr>
          <w:rFonts w:cs="Times New Roman"/>
          <w:szCs w:val="32"/>
        </w:rPr>
        <w:t>区公共建设项目管理服务中心提供的</w:t>
      </w:r>
      <w:r>
        <w:rPr>
          <w:rFonts w:cs="Times New Roman"/>
        </w:rPr>
        <w:t>《广州市增城区应元学校高中部建设项目移交接管确认书》，2023年8月10日</w:t>
      </w:r>
      <w:r>
        <w:rPr>
          <w:rFonts w:cs="Times New Roman"/>
          <w:szCs w:val="32"/>
        </w:rPr>
        <w:t>区公共建设项目管理服务中心将项目</w:t>
      </w:r>
      <w:r>
        <w:rPr>
          <w:rFonts w:cs="Times New Roman"/>
        </w:rPr>
        <w:t>移交至广州市增城区应元学校管理。结合现场核查情况，截至现场核查时间（2024年6月14日），广州市增城区应元学校已完成高一年级的招生，本项目的建成一定程度上提高了广州市增城区应元学校的办学能力，一定程度上有助于均衡增城区区域教育资源，但未见实际招生计划及新生入学数，综合以上情况，本指标扣1分。</w:t>
      </w:r>
    </w:p>
    <w:p>
      <w:pPr>
        <w:pStyle w:val="4"/>
        <w:ind w:firstLine="632"/>
        <w:rPr>
          <w:rFonts w:cs="Times New Roman"/>
        </w:rPr>
      </w:pPr>
      <w:r>
        <w:rPr>
          <w:rFonts w:cs="Times New Roman"/>
        </w:rPr>
        <w:t>（3）满意度。</w:t>
      </w:r>
    </w:p>
    <w:p>
      <w:pPr>
        <w:ind w:firstLine="632"/>
        <w:rPr>
          <w:rFonts w:cs="Times New Roman"/>
        </w:rPr>
      </w:pPr>
      <w:r>
        <w:rPr>
          <w:rFonts w:cs="Times New Roman"/>
        </w:rPr>
        <w:t>该指标包括服务对象满意度1个方面，指标分值5分，评价得分5分，评价得分率为100%。</w:t>
      </w:r>
    </w:p>
    <w:p>
      <w:pPr>
        <w:pStyle w:val="5"/>
        <w:ind w:firstLine="632"/>
        <w:rPr>
          <w:rFonts w:cs="Times New Roman"/>
        </w:rPr>
      </w:pPr>
      <w:r>
        <w:rPr>
          <w:rFonts w:hint="eastAsia" w:ascii="宋体" w:hAnsi="宋体" w:eastAsia="宋体" w:cs="宋体"/>
        </w:rPr>
        <w:t>①</w:t>
      </w:r>
      <w:r>
        <w:rPr>
          <w:rFonts w:cs="Times New Roman"/>
        </w:rPr>
        <w:t>服务对象满意度。</w:t>
      </w:r>
    </w:p>
    <w:p>
      <w:pPr>
        <w:ind w:firstLine="632"/>
        <w:rPr>
          <w:rFonts w:cs="Times New Roman"/>
        </w:rPr>
      </w:pPr>
      <w:r>
        <w:rPr>
          <w:rFonts w:cs="Times New Roman"/>
        </w:rPr>
        <w:t>指标分值5分，评价得分5分，评价得分率为100%。</w:t>
      </w:r>
    </w:p>
    <w:p>
      <w:pPr>
        <w:ind w:firstLine="632"/>
        <w:rPr>
          <w:rFonts w:cs="Times New Roman"/>
        </w:rPr>
      </w:pPr>
      <w:r>
        <w:rPr>
          <w:rFonts w:cs="Times New Roman"/>
        </w:rPr>
        <w:t>预期指标值为</w:t>
      </w:r>
      <w:r>
        <w:rPr>
          <w:rFonts w:hint="eastAsia" w:ascii="仿宋_GB2312" w:cs="Times New Roman"/>
        </w:rPr>
        <w:t>“</w:t>
      </w:r>
      <w:r>
        <w:rPr>
          <w:rFonts w:cs="Times New Roman"/>
        </w:rPr>
        <w:t>≥90%</w:t>
      </w:r>
      <w:r>
        <w:rPr>
          <w:rFonts w:hint="eastAsia" w:ascii="仿宋_GB2312" w:cs="Times New Roman"/>
        </w:rPr>
        <w:t>”</w:t>
      </w:r>
      <w:r>
        <w:rPr>
          <w:rFonts w:cs="Times New Roman"/>
        </w:rPr>
        <w:t>。</w:t>
      </w:r>
      <w:r>
        <w:rPr>
          <w:rFonts w:cs="Times New Roman"/>
          <w:snapToGrid w:val="0"/>
        </w:rPr>
        <w:t>本次满意度调查问卷针对项目建设的功能用房、配套工程建设、建设规模、建成后提供的学位数量等4个方面开展满意度调查，回收问卷104份，有效问卷99份，问卷有效率为95.19%。</w:t>
      </w:r>
      <w:r>
        <w:rPr>
          <w:rFonts w:cs="Times New Roman"/>
        </w:rPr>
        <w:t>调查结果显示，</w:t>
      </w:r>
      <w:r>
        <w:rPr>
          <w:rFonts w:cs="Times New Roman"/>
          <w:snapToGrid w:val="0"/>
        </w:rPr>
        <w:t>综合满意度96.97%，按照既定的指标体系和评分标准，本指标不扣分。</w:t>
      </w:r>
    </w:p>
    <w:p>
      <w:pPr>
        <w:pStyle w:val="2"/>
        <w:ind w:firstLine="632"/>
        <w:rPr>
          <w:rFonts w:cs="Times New Roman"/>
        </w:rPr>
      </w:pPr>
      <w:bookmarkStart w:id="13" w:name="_Toc177204528"/>
      <w:r>
        <w:rPr>
          <w:rFonts w:cs="Times New Roman"/>
        </w:rPr>
        <w:t>四、项目主要绩效或成功经验</w:t>
      </w:r>
      <w:bookmarkEnd w:id="13"/>
    </w:p>
    <w:p>
      <w:pPr>
        <w:pStyle w:val="3"/>
        <w:ind w:firstLine="632"/>
        <w:rPr>
          <w:rFonts w:cs="Times New Roman"/>
        </w:rPr>
      </w:pPr>
      <w:bookmarkStart w:id="14" w:name="_Toc177204529"/>
      <w:r>
        <w:rPr>
          <w:rFonts w:cs="Times New Roman"/>
        </w:rPr>
        <w:t>（一）完善学校基础设施，优化增城区应元学校办学条件。</w:t>
      </w:r>
      <w:bookmarkEnd w:id="14"/>
    </w:p>
    <w:p>
      <w:pPr>
        <w:ind w:firstLine="632"/>
        <w:rPr>
          <w:rFonts w:cs="Times New Roman"/>
        </w:rPr>
      </w:pPr>
      <w:r>
        <w:rPr>
          <w:rFonts w:cs="Times New Roman"/>
          <w:szCs w:val="32"/>
        </w:rPr>
        <w:t>根据区公共建设项目管理服务中心提供的相关材料，通过实施本项目，新增</w:t>
      </w:r>
      <w:r>
        <w:rPr>
          <w:rFonts w:cs="Times New Roman"/>
        </w:rPr>
        <w:t>体育馆、行政楼、艺术楼、图书馆、科技楼教学楼、学生公寓、教师公寓、设备房、门楼、架空大平台等功能用房，进一步完善增城区应元学校的基础设置，优化其办学条件，提高增城区应元学校办学水平。</w:t>
      </w:r>
    </w:p>
    <w:p>
      <w:pPr>
        <w:pStyle w:val="3"/>
        <w:ind w:firstLine="632"/>
        <w:rPr>
          <w:rFonts w:cs="Times New Roman"/>
        </w:rPr>
      </w:pPr>
      <w:bookmarkStart w:id="15" w:name="_Toc177204530"/>
      <w:r>
        <w:rPr>
          <w:rFonts w:cs="Times New Roman"/>
        </w:rPr>
        <w:t>（二）满足周边群众入学需求，提高增城区基础教育水平。</w:t>
      </w:r>
      <w:bookmarkEnd w:id="15"/>
    </w:p>
    <w:p>
      <w:pPr>
        <w:ind w:firstLine="632"/>
        <w:rPr>
          <w:rFonts w:cs="Times New Roman"/>
        </w:rPr>
      </w:pPr>
      <w:r>
        <w:rPr>
          <w:rFonts w:cs="Times New Roman"/>
          <w:szCs w:val="32"/>
        </w:rPr>
        <w:t>根据区公共建设项目管理服务中心提供的相关材料，本项目所在的永宁街大型楼盘较多，公办学位严重不足。通过实施本项目，新增36个班级的教学资源储备，预计可提供1800个学位，有助于满足周边群众的入学需求，满足周边适龄学生受教育需要，提高增城区教育水平。</w:t>
      </w:r>
    </w:p>
    <w:p>
      <w:pPr>
        <w:pStyle w:val="3"/>
        <w:ind w:firstLine="632"/>
        <w:rPr>
          <w:rFonts w:cs="Times New Roman"/>
        </w:rPr>
      </w:pPr>
      <w:bookmarkStart w:id="16" w:name="_Toc177204531"/>
      <w:r>
        <w:rPr>
          <w:rFonts w:cs="Times New Roman"/>
        </w:rPr>
        <w:t>（三）落实广州市教育发展规划，促进增城区教育高质量发展。</w:t>
      </w:r>
      <w:bookmarkEnd w:id="16"/>
    </w:p>
    <w:p>
      <w:pPr>
        <w:ind w:firstLine="632"/>
        <w:rPr>
          <w:rFonts w:cs="Times New Roman"/>
        </w:rPr>
      </w:pPr>
      <w:r>
        <w:rPr>
          <w:rFonts w:cs="Times New Roman"/>
          <w:szCs w:val="32"/>
        </w:rPr>
        <w:t>根据区公共建设项目管理服务中心提供的相关材料，项目实施前永宁街片区可提供小学学位8697个，初中学位3750个，高中学位相对稀缺。通过实施本项目，完成高中部的建设，新增提供高中学位，有助于落实广州市培育一批特色普通高中和若干所在国内具有较强影响力的高中学校的教育发展规划，合理优化增城区学校布局，推进实现增城区的教育资源均衡配置，促进增城区教育高质量发展</w:t>
      </w:r>
      <w:r>
        <w:rPr>
          <w:rFonts w:cs="Times New Roman"/>
        </w:rPr>
        <w:t>。</w:t>
      </w:r>
    </w:p>
    <w:p>
      <w:pPr>
        <w:pStyle w:val="2"/>
        <w:ind w:firstLine="632"/>
        <w:rPr>
          <w:rFonts w:cs="Times New Roman"/>
        </w:rPr>
      </w:pPr>
      <w:bookmarkStart w:id="17" w:name="_Toc177204532"/>
      <w:r>
        <w:rPr>
          <w:rFonts w:cs="Times New Roman"/>
        </w:rPr>
        <w:t>五、存在问题或不足</w:t>
      </w:r>
      <w:bookmarkEnd w:id="17"/>
    </w:p>
    <w:p>
      <w:pPr>
        <w:pStyle w:val="3"/>
        <w:ind w:firstLine="632"/>
        <w:rPr>
          <w:rFonts w:cs="Times New Roman"/>
        </w:rPr>
      </w:pPr>
      <w:bookmarkStart w:id="18" w:name="_Toc177204533"/>
      <w:r>
        <w:rPr>
          <w:rFonts w:cs="Times New Roman"/>
        </w:rPr>
        <w:t>（一）项目监管措施有待优化，监管力度有待提升。</w:t>
      </w:r>
      <w:bookmarkEnd w:id="18"/>
    </w:p>
    <w:p>
      <w:pPr>
        <w:ind w:firstLine="634"/>
        <w:rPr>
          <w:rFonts w:cs="Times New Roman"/>
        </w:rPr>
      </w:pPr>
      <w:r>
        <w:rPr>
          <w:rFonts w:cs="Times New Roman"/>
          <w:b/>
          <w:bCs/>
        </w:rPr>
        <w:t>一是</w:t>
      </w:r>
      <w:r>
        <w:rPr>
          <w:rFonts w:cs="Times New Roman"/>
        </w:rPr>
        <w:t>项目监管措施有待优化。本项目为重点建设项目，业主单位为区教育局，项目投资额较大，但未见区公共建设项目管理服务中心针对本项目编制的项目实施专项管理方案。</w:t>
      </w:r>
    </w:p>
    <w:p>
      <w:pPr>
        <w:ind w:firstLine="634"/>
        <w:rPr>
          <w:rFonts w:cs="Times New Roman"/>
        </w:rPr>
      </w:pPr>
      <w:r>
        <w:rPr>
          <w:rFonts w:cs="Times New Roman"/>
          <w:b/>
          <w:bCs/>
        </w:rPr>
        <w:t>二是</w:t>
      </w:r>
      <w:r>
        <w:rPr>
          <w:rFonts w:cs="Times New Roman"/>
        </w:rPr>
        <w:t>项目监管力度有待加强。</w:t>
      </w:r>
      <w:r>
        <w:rPr>
          <w:rFonts w:cs="Times New Roman"/>
          <w:b/>
          <w:bCs/>
        </w:rPr>
        <w:t>首先是</w:t>
      </w:r>
      <w:r>
        <w:rPr>
          <w:rFonts w:cs="Times New Roman"/>
        </w:rPr>
        <w:t>项目已于2023年8月10日移交学校使用，但截至现场核查时间，未完成消防验收、人防验收等工作，且结算工作未进入审核阶段，项目整体实施进度需加快推进。</w:t>
      </w:r>
      <w:r>
        <w:rPr>
          <w:rFonts w:cs="Times New Roman"/>
          <w:b/>
          <w:bCs/>
        </w:rPr>
        <w:t>然后是</w:t>
      </w:r>
      <w:r>
        <w:rPr>
          <w:rFonts w:cs="Times New Roman"/>
        </w:rPr>
        <w:t>经现场核查，报告厅首层外地台出现质量问题，区公共建设项目管理服务中心反馈意见为报告厅首层室外地面的透水砖局部出现下沉，且截至现场核查时间，项目联合验收尚未完成，项目需加大日常巡查及维护管理力度。</w:t>
      </w:r>
    </w:p>
    <w:p>
      <w:pPr>
        <w:pStyle w:val="3"/>
        <w:ind w:firstLine="632"/>
        <w:rPr>
          <w:rFonts w:cs="Times New Roman"/>
        </w:rPr>
      </w:pPr>
      <w:bookmarkStart w:id="19" w:name="_Toc177204534"/>
      <w:r>
        <w:rPr>
          <w:rStyle w:val="24"/>
          <w:rFonts w:cs="Times New Roman"/>
          <w:bCs/>
        </w:rPr>
        <w:t>（二）财务资料不够规范完整，财务管理力度有待加强。</w:t>
      </w:r>
      <w:bookmarkEnd w:id="19"/>
    </w:p>
    <w:p>
      <w:pPr>
        <w:ind w:firstLine="632"/>
        <w:rPr>
          <w:rFonts w:cs="Times New Roman"/>
        </w:rPr>
      </w:pPr>
      <w:r>
        <w:rPr>
          <w:rFonts w:cs="Times New Roman"/>
        </w:rPr>
        <w:t>根据区公共建设项目管理服务中心提供的项目资金支出相关材料，结合现场核查情况，项目财务管理存在财务资料不够规范完整的问题，如现场抽查2023年记账-01-0049号会计凭证，未附支付依据或土地划拨相关文件，支出付款依据不够完整规范。</w:t>
      </w:r>
    </w:p>
    <w:p>
      <w:pPr>
        <w:pStyle w:val="3"/>
        <w:ind w:firstLine="632"/>
        <w:rPr>
          <w:rFonts w:cs="Times New Roman"/>
        </w:rPr>
      </w:pPr>
      <w:bookmarkStart w:id="20" w:name="_Toc177204535"/>
      <w:r>
        <w:rPr>
          <w:rFonts w:cs="Times New Roman"/>
        </w:rPr>
        <w:t>（三）绩效评价意识有待加强，绩效体系设置有待完善。</w:t>
      </w:r>
      <w:bookmarkEnd w:id="20"/>
    </w:p>
    <w:p>
      <w:pPr>
        <w:ind w:firstLine="634"/>
        <w:rPr>
          <w:rFonts w:cs="Times New Roman"/>
        </w:rPr>
      </w:pPr>
      <w:r>
        <w:rPr>
          <w:rFonts w:cs="Times New Roman"/>
          <w:b/>
          <w:bCs/>
        </w:rPr>
        <w:t>一是</w:t>
      </w:r>
      <w:r>
        <w:rPr>
          <w:rFonts w:cs="Times New Roman"/>
        </w:rPr>
        <w:t>项目绩效目标设置不够全面，如自评阶段设置的预期总体绩效目标仅体现项目实施内容，未明确项目产出及效益情况。且项目年初及自评阶段设置的绩效指标均不够全面，</w:t>
      </w:r>
      <w:r>
        <w:rPr>
          <w:rFonts w:cs="Times New Roman"/>
          <w:b/>
          <w:bCs/>
        </w:rPr>
        <w:t>首先是</w:t>
      </w:r>
      <w:r>
        <w:rPr>
          <w:rFonts w:cs="Times New Roman"/>
        </w:rPr>
        <w:t>年初设置的年度绩效目标中包含</w:t>
      </w:r>
      <w:r>
        <w:rPr>
          <w:rFonts w:hint="eastAsia" w:ascii="仿宋_GB2312" w:cs="Times New Roman"/>
        </w:rPr>
        <w:t>“</w:t>
      </w:r>
      <w:r>
        <w:rPr>
          <w:rFonts w:cs="Times New Roman"/>
        </w:rPr>
        <w:t>提升当地整体教育发展水平</w:t>
      </w:r>
      <w:r>
        <w:rPr>
          <w:rFonts w:hint="eastAsia" w:ascii="仿宋_GB2312" w:cs="Times New Roman"/>
        </w:rPr>
        <w:t>”“</w:t>
      </w:r>
      <w:r>
        <w:rPr>
          <w:rFonts w:cs="Times New Roman"/>
        </w:rPr>
        <w:t>提高居民收入水平</w:t>
      </w:r>
      <w:r>
        <w:rPr>
          <w:rFonts w:hint="eastAsia" w:ascii="仿宋_GB2312" w:cs="Times New Roman"/>
        </w:rPr>
        <w:t>”</w:t>
      </w:r>
      <w:r>
        <w:rPr>
          <w:rFonts w:cs="Times New Roman"/>
        </w:rPr>
        <w:t>等效益内容，但年初绩效指标未设置对应的绩效指标对该部分效益内容进行考核；</w:t>
      </w:r>
      <w:r>
        <w:rPr>
          <w:rFonts w:cs="Times New Roman"/>
          <w:b/>
          <w:bCs/>
        </w:rPr>
        <w:t>然后是</w:t>
      </w:r>
      <w:r>
        <w:rPr>
          <w:rFonts w:cs="Times New Roman"/>
        </w:rPr>
        <w:t>本项目为工程项目，2023年度项目仍在建设，未设置与</w:t>
      </w:r>
      <w:r>
        <w:rPr>
          <w:rFonts w:hint="eastAsia" w:ascii="仿宋_GB2312" w:cs="Times New Roman"/>
        </w:rPr>
        <w:t>“</w:t>
      </w:r>
      <w:r>
        <w:rPr>
          <w:rFonts w:cs="Times New Roman"/>
        </w:rPr>
        <w:t>施工过程安全事故发生</w:t>
      </w:r>
      <w:r>
        <w:rPr>
          <w:rFonts w:hint="eastAsia" w:ascii="仿宋_GB2312" w:cs="Times New Roman"/>
        </w:rPr>
        <w:t>”</w:t>
      </w:r>
      <w:r>
        <w:rPr>
          <w:rFonts w:cs="Times New Roman"/>
        </w:rPr>
        <w:t>相关的绩效指标对项目建设过程中安全措施的实施效果进行考核。</w:t>
      </w:r>
    </w:p>
    <w:p>
      <w:pPr>
        <w:ind w:firstLine="634"/>
        <w:rPr>
          <w:rFonts w:cs="Times New Roman"/>
        </w:rPr>
      </w:pPr>
      <w:r>
        <w:rPr>
          <w:rFonts w:cs="Times New Roman"/>
          <w:b/>
          <w:bCs/>
        </w:rPr>
        <w:t>二是</w:t>
      </w:r>
      <w:r>
        <w:rPr>
          <w:rFonts w:cs="Times New Roman"/>
        </w:rPr>
        <w:t>项目绩效目标设置不够规范。</w:t>
      </w:r>
      <w:r>
        <w:rPr>
          <w:rFonts w:cs="Times New Roman"/>
          <w:b/>
          <w:bCs/>
        </w:rPr>
        <w:t>首先是</w:t>
      </w:r>
      <w:r>
        <w:rPr>
          <w:rFonts w:cs="Times New Roman"/>
        </w:rPr>
        <w:t>部分绩效指标归类不准确，如年初将可持续影响指标归类为产出指标，但可持续影响指标为效益指标；且部分绩效指标名称与指标值不对应，如自评阶段产出指标基本设置为</w:t>
      </w:r>
      <w:r>
        <w:rPr>
          <w:rFonts w:hint="eastAsia" w:ascii="仿宋_GB2312" w:cs="Times New Roman"/>
        </w:rPr>
        <w:t>“</w:t>
      </w:r>
      <w:r>
        <w:rPr>
          <w:rFonts w:cs="Times New Roman"/>
        </w:rPr>
        <w:t>XX率</w:t>
      </w:r>
      <w:r>
        <w:rPr>
          <w:rFonts w:hint="eastAsia" w:ascii="仿宋_GB2312" w:cs="Times New Roman"/>
        </w:rPr>
        <w:t>”</w:t>
      </w:r>
      <w:r>
        <w:rPr>
          <w:rFonts w:cs="Times New Roman"/>
        </w:rPr>
        <w:t>，但对应指标值设置为定性表述，未设置为预计达成的百分比。</w:t>
      </w:r>
      <w:r>
        <w:rPr>
          <w:rFonts w:hint="eastAsia" w:cs="Times New Roman"/>
          <w:b/>
          <w:bCs/>
        </w:rPr>
        <w:t>然后</w:t>
      </w:r>
      <w:r>
        <w:rPr>
          <w:rFonts w:cs="Times New Roman"/>
          <w:b/>
          <w:bCs/>
        </w:rPr>
        <w:t>是</w:t>
      </w:r>
      <w:r>
        <w:rPr>
          <w:rFonts w:cs="Times New Roman"/>
        </w:rPr>
        <w:t>部分绩效指标与项目实施的关联性较弱，如时效指标</w:t>
      </w:r>
      <w:r>
        <w:rPr>
          <w:rFonts w:hint="eastAsia" w:ascii="仿宋_GB2312" w:cs="Times New Roman"/>
        </w:rPr>
        <w:t>“</w:t>
      </w:r>
      <w:r>
        <w:rPr>
          <w:rFonts w:cs="Times New Roman"/>
        </w:rPr>
        <w:t>资料打印的及时性</w:t>
      </w:r>
      <w:r>
        <w:rPr>
          <w:rFonts w:hint="eastAsia" w:ascii="仿宋_GB2312" w:cs="Times New Roman"/>
        </w:rPr>
        <w:t>”</w:t>
      </w:r>
      <w:r>
        <w:rPr>
          <w:rFonts w:cs="Times New Roman"/>
        </w:rPr>
        <w:t>，实际考核内容未能突出项目实施重点，属于常规性的项目管理要求，与本项目产出、效益和成本无明显关联。</w:t>
      </w:r>
      <w:r>
        <w:rPr>
          <w:rFonts w:hint="eastAsia" w:cs="Times New Roman"/>
          <w:b/>
          <w:bCs/>
        </w:rPr>
        <w:t>再次</w:t>
      </w:r>
      <w:r>
        <w:rPr>
          <w:rFonts w:cs="Times New Roman"/>
          <w:b/>
          <w:bCs/>
        </w:rPr>
        <w:t>是</w:t>
      </w:r>
      <w:r>
        <w:rPr>
          <w:rFonts w:cs="Times New Roman"/>
        </w:rPr>
        <w:t>部分绩效指标的指标值设置不合理，根据项目施工合同，2023年本项目应竣工验收，但数量指标的指标值设置为</w:t>
      </w:r>
      <w:r>
        <w:rPr>
          <w:rFonts w:hint="eastAsia" w:ascii="仿宋_GB2312" w:cs="Times New Roman"/>
        </w:rPr>
        <w:t>“</w:t>
      </w:r>
      <w:r>
        <w:rPr>
          <w:rFonts w:cs="Times New Roman"/>
        </w:rPr>
        <w:t>总体进度96%</w:t>
      </w:r>
      <w:r>
        <w:rPr>
          <w:rFonts w:hint="eastAsia" w:ascii="仿宋_GB2312" w:cs="Times New Roman"/>
        </w:rPr>
        <w:t>”“</w:t>
      </w:r>
      <w:r>
        <w:rPr>
          <w:rFonts w:cs="Times New Roman"/>
        </w:rPr>
        <w:t>周边配套及场地内绿化完成率97%</w:t>
      </w:r>
      <w:r>
        <w:rPr>
          <w:rFonts w:hint="eastAsia" w:ascii="仿宋_GB2312" w:cs="Times New Roman"/>
        </w:rPr>
        <w:t>”</w:t>
      </w:r>
      <w:r>
        <w:rPr>
          <w:rFonts w:cs="Times New Roman"/>
        </w:rPr>
        <w:t>，不符合项目实施计划要求。</w:t>
      </w:r>
      <w:r>
        <w:rPr>
          <w:rFonts w:cs="Times New Roman"/>
          <w:b/>
          <w:bCs/>
        </w:rPr>
        <w:t>最后是</w:t>
      </w:r>
      <w:r>
        <w:rPr>
          <w:rFonts w:cs="Times New Roman"/>
        </w:rPr>
        <w:t>部分绩效指标设置细化量化程度不足，绩效指标考核内容不明确，如年初设置的时效指标</w:t>
      </w:r>
      <w:r>
        <w:rPr>
          <w:rFonts w:hint="eastAsia" w:ascii="仿宋_GB2312" w:cs="Times New Roman"/>
        </w:rPr>
        <w:t>“</w:t>
      </w:r>
      <w:r>
        <w:rPr>
          <w:rFonts w:cs="Times New Roman"/>
        </w:rPr>
        <w:t>可持续影响指标</w:t>
      </w:r>
      <w:r>
        <w:rPr>
          <w:rFonts w:hint="eastAsia" w:ascii="仿宋_GB2312" w:cs="Times New Roman"/>
        </w:rPr>
        <w:t>”</w:t>
      </w:r>
      <w:r>
        <w:rPr>
          <w:rFonts w:cs="Times New Roman"/>
        </w:rPr>
        <w:t>的指标值为</w:t>
      </w:r>
      <w:r>
        <w:rPr>
          <w:rFonts w:hint="eastAsia" w:ascii="仿宋_GB2312" w:cs="Times New Roman"/>
        </w:rPr>
        <w:t>“</w:t>
      </w:r>
      <w:r>
        <w:rPr>
          <w:rFonts w:cs="Times New Roman"/>
        </w:rPr>
        <w:t>健全</w:t>
      </w:r>
      <w:r>
        <w:rPr>
          <w:rFonts w:hint="eastAsia" w:ascii="仿宋_GB2312" w:cs="Times New Roman"/>
        </w:rPr>
        <w:t>”</w:t>
      </w:r>
      <w:r>
        <w:rPr>
          <w:rFonts w:cs="Times New Roman"/>
        </w:rPr>
        <w:t>，绩效指标考核内容与标准不明确，且指标值未明确达到何种程度为健全，较难准确衡量指标完成情况；如自评阶段设置的可持续影响指标</w:t>
      </w:r>
      <w:r>
        <w:rPr>
          <w:rFonts w:hint="eastAsia" w:ascii="仿宋_GB2312" w:cs="Times New Roman"/>
        </w:rPr>
        <w:t>“</w:t>
      </w:r>
      <w:r>
        <w:rPr>
          <w:rFonts w:cs="Times New Roman"/>
        </w:rPr>
        <w:t>可持续影响指标</w:t>
      </w:r>
      <w:r>
        <w:rPr>
          <w:rFonts w:hint="eastAsia" w:ascii="仿宋_GB2312" w:cs="Times New Roman"/>
        </w:rPr>
        <w:t>”</w:t>
      </w:r>
      <w:r>
        <w:rPr>
          <w:rFonts w:cs="Times New Roman"/>
        </w:rPr>
        <w:t>、质量指标</w:t>
      </w:r>
      <w:r>
        <w:rPr>
          <w:rFonts w:hint="eastAsia" w:ascii="仿宋_GB2312" w:cs="Times New Roman"/>
        </w:rPr>
        <w:t>“</w:t>
      </w:r>
      <w:r>
        <w:rPr>
          <w:rFonts w:cs="Times New Roman"/>
        </w:rPr>
        <w:t>可研报告质量</w:t>
      </w:r>
      <w:r>
        <w:rPr>
          <w:rFonts w:hint="eastAsia" w:ascii="仿宋_GB2312" w:cs="Times New Roman"/>
        </w:rPr>
        <w:t>”</w:t>
      </w:r>
      <w:r>
        <w:rPr>
          <w:rFonts w:cs="Times New Roman"/>
        </w:rPr>
        <w:t>，均未明确绩效指标实际考核内容。</w:t>
      </w:r>
    </w:p>
    <w:p>
      <w:pPr>
        <w:pStyle w:val="2"/>
        <w:ind w:firstLine="632"/>
        <w:rPr>
          <w:rFonts w:cs="Times New Roman"/>
        </w:rPr>
      </w:pPr>
      <w:bookmarkStart w:id="21" w:name="_Toc177204536"/>
      <w:r>
        <w:rPr>
          <w:rFonts w:cs="Times New Roman"/>
        </w:rPr>
        <w:t>六、相关建议</w:t>
      </w:r>
      <w:bookmarkEnd w:id="21"/>
    </w:p>
    <w:p>
      <w:pPr>
        <w:pStyle w:val="3"/>
        <w:ind w:firstLine="632"/>
        <w:rPr>
          <w:rFonts w:cs="Times New Roman"/>
        </w:rPr>
      </w:pPr>
      <w:bookmarkStart w:id="22" w:name="_Toc177204537"/>
      <w:r>
        <w:rPr>
          <w:rFonts w:cs="Times New Roman"/>
        </w:rPr>
        <w:t>（一）进一步优化项目监管措施，提升对项目的监管力度。</w:t>
      </w:r>
      <w:bookmarkEnd w:id="22"/>
    </w:p>
    <w:p>
      <w:pPr>
        <w:ind w:firstLine="634"/>
        <w:rPr>
          <w:rFonts w:cs="Times New Roman"/>
        </w:rPr>
      </w:pPr>
      <w:r>
        <w:rPr>
          <w:rFonts w:cs="Times New Roman"/>
          <w:b/>
          <w:bCs/>
        </w:rPr>
        <w:t>一是</w:t>
      </w:r>
      <w:r>
        <w:rPr>
          <w:rFonts w:cs="Times New Roman"/>
        </w:rPr>
        <w:t>进一步优化项目监管措施。建议后续开展类似投资金额较大的建设项目时，针对项目资金及建设特点编制项目实施专项管理方案，明确项目管理责任，落实项目合同、进度、质量、安全生产、工程结算收尾等方面的管理计划，确保项目实施过程中沟通的有效性，加强项目管理的深度和力度，降低项目实施的各类风险发生可能性。</w:t>
      </w:r>
    </w:p>
    <w:p>
      <w:pPr>
        <w:ind w:firstLine="634"/>
        <w:rPr>
          <w:rFonts w:cs="Times New Roman"/>
        </w:rPr>
      </w:pPr>
      <w:r>
        <w:rPr>
          <w:rFonts w:cs="Times New Roman"/>
          <w:b/>
          <w:bCs/>
        </w:rPr>
        <w:t>二是</w:t>
      </w:r>
      <w:r>
        <w:rPr>
          <w:rFonts w:cs="Times New Roman"/>
        </w:rPr>
        <w:t>建议加强对项目实施的监管力度。</w:t>
      </w:r>
      <w:r>
        <w:rPr>
          <w:rFonts w:cs="Times New Roman"/>
          <w:b/>
          <w:bCs/>
        </w:rPr>
        <w:t>首先是</w:t>
      </w:r>
      <w:r>
        <w:rPr>
          <w:rFonts w:cs="Times New Roman"/>
        </w:rPr>
        <w:t>建议加快推进项目消防验收、人防验收等工作，加快项目联合验收进度，与施工单位及时沟通，明确结算工作进度，协调沟通施工单位无法解决的问题，提高项目实施的效率。</w:t>
      </w:r>
      <w:r>
        <w:rPr>
          <w:rFonts w:cs="Times New Roman"/>
          <w:b/>
          <w:bCs/>
        </w:rPr>
        <w:t>然后是</w:t>
      </w:r>
      <w:r>
        <w:rPr>
          <w:rFonts w:cs="Times New Roman"/>
        </w:rPr>
        <w:t>建议完善项目维护管理措施，加强日常巡查及维护管理工作，对发现的问题应尽快整改，此外需对本次现场核查发现的情况予以重视，并根据第三方出具的安全监测成果制定处理方案，确保项目的使用安全。</w:t>
      </w:r>
    </w:p>
    <w:p>
      <w:pPr>
        <w:pStyle w:val="3"/>
        <w:ind w:firstLine="632"/>
        <w:rPr>
          <w:rFonts w:cs="Times New Roman"/>
        </w:rPr>
      </w:pPr>
      <w:bookmarkStart w:id="23" w:name="_Toc177204538"/>
      <w:r>
        <w:rPr>
          <w:rFonts w:cs="Times New Roman"/>
        </w:rPr>
        <w:t>（二）提高财务资料质量，加强财务管理力度。</w:t>
      </w:r>
      <w:bookmarkEnd w:id="23"/>
    </w:p>
    <w:p>
      <w:pPr>
        <w:ind w:firstLine="632"/>
        <w:rPr>
          <w:rFonts w:cs="Times New Roman"/>
        </w:rPr>
      </w:pPr>
      <w:r>
        <w:rPr>
          <w:rFonts w:cs="Times New Roman"/>
        </w:rPr>
        <w:t>建议进一步加强财务管理力度，建议区公共建设项目管理服务中心后续开展类似项目，相关财务人员处理财务凭证时，注意完整附上支付依据，提高财务资料质量，同时保障财务凭证的完整性与规范性。</w:t>
      </w:r>
    </w:p>
    <w:p>
      <w:pPr>
        <w:pStyle w:val="3"/>
        <w:ind w:firstLine="632"/>
        <w:rPr>
          <w:rFonts w:cs="Times New Roman"/>
        </w:rPr>
      </w:pPr>
      <w:bookmarkStart w:id="24" w:name="_Toc177204539"/>
      <w:r>
        <w:rPr>
          <w:rFonts w:cs="Times New Roman"/>
        </w:rPr>
        <w:t>（三）加强绩效评价管理意识，完善绩效体系设置。</w:t>
      </w:r>
      <w:bookmarkEnd w:id="24"/>
    </w:p>
    <w:p>
      <w:pPr>
        <w:ind w:firstLine="634"/>
        <w:rPr>
          <w:rFonts w:cs="Times New Roman"/>
        </w:rPr>
      </w:pPr>
      <w:r>
        <w:rPr>
          <w:rFonts w:cs="Times New Roman"/>
          <w:b/>
          <w:bCs/>
        </w:rPr>
        <w:t>一是</w:t>
      </w:r>
      <w:r>
        <w:rPr>
          <w:rFonts w:cs="Times New Roman"/>
        </w:rPr>
        <w:t>建议根据与项目立项直接相关的依据文件，分析项目重点工作任务、需要解决的主要问题和相关财政支出的政策意图，明确项目总任务、总产出、总效益后设置总体绩效目标，如本项目自评阶段绩效目标可增设</w:t>
      </w:r>
      <w:r>
        <w:rPr>
          <w:rFonts w:hint="eastAsia" w:ascii="仿宋_GB2312" w:cs="Times New Roman"/>
        </w:rPr>
        <w:t>“</w:t>
      </w:r>
      <w:r>
        <w:rPr>
          <w:rFonts w:cs="Times New Roman"/>
        </w:rPr>
        <w:t>新增功能用房数量</w:t>
      </w:r>
      <w:r>
        <w:rPr>
          <w:rFonts w:hint="eastAsia" w:ascii="仿宋_GB2312" w:cs="Times New Roman"/>
        </w:rPr>
        <w:t>”“</w:t>
      </w:r>
      <w:r>
        <w:rPr>
          <w:rFonts w:cs="Times New Roman"/>
        </w:rPr>
        <w:t>新增提供学位</w:t>
      </w:r>
      <w:r>
        <w:rPr>
          <w:rFonts w:hint="eastAsia" w:ascii="仿宋_GB2312" w:cs="Times New Roman"/>
        </w:rPr>
        <w:t>”“</w:t>
      </w:r>
      <w:r>
        <w:rPr>
          <w:rFonts w:cs="Times New Roman"/>
        </w:rPr>
        <w:t>建设过程未发生安全事故</w:t>
      </w:r>
      <w:r>
        <w:rPr>
          <w:rFonts w:hint="eastAsia" w:ascii="仿宋_GB2312" w:cs="Times New Roman"/>
        </w:rPr>
        <w:t>”</w:t>
      </w:r>
      <w:r>
        <w:rPr>
          <w:rFonts w:cs="Times New Roman"/>
        </w:rPr>
        <w:t>等产出效益相关内容，增加项目绩效目标的导向作用。且建议以绩效目标为基础，细化量化设置项目绩效指标，如本项目可增设社会效益指标</w:t>
      </w:r>
      <w:r>
        <w:rPr>
          <w:rFonts w:hint="eastAsia" w:ascii="仿宋_GB2312" w:cs="Times New Roman"/>
        </w:rPr>
        <w:t>“</w:t>
      </w:r>
      <w:r>
        <w:rPr>
          <w:rFonts w:cs="Times New Roman"/>
        </w:rPr>
        <w:t>提升增城区整体教育发展水平</w:t>
      </w:r>
      <w:r>
        <w:rPr>
          <w:rFonts w:hint="eastAsia" w:ascii="仿宋_GB2312" w:cs="Times New Roman"/>
        </w:rPr>
        <w:t>”</w:t>
      </w:r>
      <w:r>
        <w:rPr>
          <w:rFonts w:cs="Times New Roman"/>
        </w:rPr>
        <w:t>（指标值为</w:t>
      </w:r>
      <w:r>
        <w:rPr>
          <w:rFonts w:hint="eastAsia" w:ascii="仿宋_GB2312" w:cs="Times New Roman"/>
        </w:rPr>
        <w:t>“</w:t>
      </w:r>
      <w:r>
        <w:rPr>
          <w:rFonts w:cs="Times New Roman"/>
        </w:rPr>
        <w:t>提高高中学位供给，提升增城区整体教育发展水平</w:t>
      </w:r>
      <w:r>
        <w:rPr>
          <w:rFonts w:hint="eastAsia" w:ascii="仿宋_GB2312" w:cs="Times New Roman"/>
        </w:rPr>
        <w:t>”</w:t>
      </w:r>
      <w:r>
        <w:rPr>
          <w:rFonts w:cs="Times New Roman"/>
        </w:rPr>
        <w:t>）、社会效益指标</w:t>
      </w:r>
      <w:r>
        <w:rPr>
          <w:rFonts w:hint="eastAsia" w:ascii="仿宋_GB2312" w:cs="Times New Roman"/>
        </w:rPr>
        <w:t>“</w:t>
      </w:r>
      <w:r>
        <w:rPr>
          <w:rFonts w:cs="Times New Roman"/>
        </w:rPr>
        <w:t>施工过程安全事故发生次数</w:t>
      </w:r>
      <w:r>
        <w:rPr>
          <w:rFonts w:hint="eastAsia" w:ascii="仿宋_GB2312" w:cs="Times New Roman"/>
        </w:rPr>
        <w:t>”</w:t>
      </w:r>
      <w:r>
        <w:rPr>
          <w:rFonts w:cs="Times New Roman"/>
        </w:rPr>
        <w:t>（指标值</w:t>
      </w:r>
      <w:r>
        <w:rPr>
          <w:rFonts w:hint="eastAsia" w:ascii="仿宋_GB2312" w:cs="Times New Roman"/>
        </w:rPr>
        <w:t>“</w:t>
      </w:r>
      <w:r>
        <w:rPr>
          <w:rFonts w:cs="Times New Roman"/>
        </w:rPr>
        <w:t>0次</w:t>
      </w:r>
      <w:r>
        <w:rPr>
          <w:rFonts w:hint="eastAsia" w:ascii="仿宋_GB2312" w:cs="Times New Roman"/>
        </w:rPr>
        <w:t>”</w:t>
      </w:r>
      <w:r>
        <w:rPr>
          <w:rFonts w:cs="Times New Roman"/>
        </w:rPr>
        <w:t>）等。</w:t>
      </w:r>
    </w:p>
    <w:p>
      <w:pPr>
        <w:ind w:firstLine="634"/>
        <w:rPr>
          <w:rFonts w:cs="Times New Roman"/>
        </w:rPr>
      </w:pPr>
      <w:r>
        <w:rPr>
          <w:rFonts w:cs="Times New Roman"/>
          <w:b/>
          <w:bCs/>
        </w:rPr>
        <w:t>二是</w:t>
      </w:r>
      <w:r>
        <w:rPr>
          <w:rFonts w:cs="Times New Roman"/>
        </w:rPr>
        <w:t>建议规范绩效目标设置。</w:t>
      </w:r>
      <w:r>
        <w:rPr>
          <w:rFonts w:cs="Times New Roman"/>
          <w:b/>
          <w:bCs/>
        </w:rPr>
        <w:t>首先是</w:t>
      </w:r>
      <w:r>
        <w:rPr>
          <w:rFonts w:cs="Times New Roman"/>
        </w:rPr>
        <w:t>建议明确各类绩效指标的考核对象，如产出指标产出指标是对项目预期产出内容的考核，包括数量指标、质量指标、时效指标等二级指标；效益指标是对项目实施预期产生效果的考核，包括经济效益指标、社会效益指标、生态效益指标、可持续影响指标等二级指标；且建议提高绩效指标名称与指标值的匹配度，如自评阶段产出指标基本设置为</w:t>
      </w:r>
      <w:r>
        <w:rPr>
          <w:rFonts w:hint="eastAsia" w:ascii="仿宋_GB2312" w:cs="Times New Roman"/>
        </w:rPr>
        <w:t>“</w:t>
      </w:r>
      <w:r>
        <w:rPr>
          <w:rFonts w:cs="Times New Roman"/>
        </w:rPr>
        <w:t>XX率</w:t>
      </w:r>
      <w:r>
        <w:rPr>
          <w:rFonts w:hint="eastAsia" w:ascii="仿宋_GB2312" w:cs="Times New Roman"/>
        </w:rPr>
        <w:t>”</w:t>
      </w:r>
      <w:r>
        <w:rPr>
          <w:rFonts w:cs="Times New Roman"/>
        </w:rPr>
        <w:t>，对应指标值可设置为预计达成的百分比。</w:t>
      </w:r>
      <w:r>
        <w:rPr>
          <w:rFonts w:cs="Times New Roman"/>
          <w:b/>
          <w:bCs/>
        </w:rPr>
        <w:t>然后</w:t>
      </w:r>
      <w:r>
        <w:rPr>
          <w:rFonts w:cs="Times New Roman"/>
        </w:rPr>
        <w:t>是绩效指标应指向明确，与总体绩效目标的内容直接关联，建议后续设置绩效指标时选取能体现项目主要产出和核心效果的指标，突出项目实施的重点。</w:t>
      </w:r>
      <w:r>
        <w:rPr>
          <w:rFonts w:cs="Times New Roman"/>
          <w:b/>
          <w:bCs/>
        </w:rPr>
        <w:t>再次是</w:t>
      </w:r>
      <w:r>
        <w:rPr>
          <w:rFonts w:cs="Times New Roman"/>
        </w:rPr>
        <w:t>指标值的设置建议依据或参考项目计划、行业标准或财政部和业务主管部门认可的其他标准进行设定，如本项目施工合同中规定了项目工期，设置指标值时，可对应本年度合同计划实施进度设置，提高绩效指标的约束力。</w:t>
      </w:r>
      <w:r>
        <w:rPr>
          <w:rFonts w:cs="Times New Roman"/>
          <w:b/>
          <w:bCs/>
        </w:rPr>
        <w:t>最后是</w:t>
      </w:r>
      <w:r>
        <w:rPr>
          <w:rFonts w:cs="Times New Roman"/>
        </w:rPr>
        <w:t>建议设置绩效指标时，明确绩效指标考核的内容与标准，对于指标值的设定，建议在可实现性的基础上，从严、从高设定，对于可量化表述设置的指标值，可参考相关文件标准或历史均值设置对应的预期达成数值，对于采用定性表述设置的指标值，需在指标值中明确完成的标准，确保绩效指标可衡量评比，提高绩效评价的准确性。</w:t>
      </w:r>
    </w:p>
    <w:p>
      <w:pPr>
        <w:ind w:left="1896" w:leftChars="200" w:hanging="1264" w:hangingChars="400"/>
        <w:rPr>
          <w:rFonts w:cs="Times New Roman"/>
        </w:rPr>
      </w:pPr>
    </w:p>
    <w:p>
      <w:pPr>
        <w:ind w:left="1896" w:leftChars="200" w:hanging="1264" w:hangingChars="400"/>
        <w:rPr>
          <w:rFonts w:cs="Times New Roman"/>
        </w:rPr>
      </w:pPr>
    </w:p>
    <w:p>
      <w:pPr>
        <w:ind w:left="1896" w:leftChars="200" w:hanging="1264" w:hangingChars="400"/>
        <w:rPr>
          <w:rFonts w:cs="Times New Roman"/>
        </w:rPr>
      </w:pPr>
      <w:r>
        <w:rPr>
          <w:rFonts w:cs="Times New Roman"/>
        </w:rPr>
        <w:t>附件：1.项目绩效评价指标评分表</w:t>
      </w:r>
    </w:p>
    <w:p>
      <w:pPr>
        <w:ind w:left="1911" w:leftChars="505" w:hanging="316" w:hangingChars="100"/>
        <w:rPr>
          <w:rFonts w:cs="Times New Roman"/>
        </w:rPr>
      </w:pPr>
      <w:r>
        <w:rPr>
          <w:rFonts w:cs="Times New Roman"/>
        </w:rPr>
        <w:t>2.项目满意度调查问卷结果</w:t>
      </w:r>
    </w:p>
    <w:p>
      <w:pPr>
        <w:ind w:firstLine="632"/>
        <w:rPr>
          <w:rFonts w:cs="Times New Roman"/>
        </w:rPr>
      </w:pPr>
    </w:p>
    <w:p>
      <w:pPr>
        <w:ind w:firstLine="632"/>
        <w:rPr>
          <w:rFonts w:cs="Times New Roman"/>
        </w:rPr>
      </w:pPr>
    </w:p>
    <w:p>
      <w:pPr>
        <w:ind w:firstLine="632"/>
        <w:jc w:val="right"/>
        <w:rPr>
          <w:rFonts w:cs="Times New Roman"/>
        </w:rPr>
      </w:pPr>
      <w:r>
        <w:rPr>
          <w:rFonts w:cs="Times New Roman"/>
        </w:rPr>
        <w:t>广东国众联行资产评估土地房地产估价规划咨询有限公司</w:t>
      </w:r>
    </w:p>
    <w:p>
      <w:pPr>
        <w:ind w:right="1280" w:firstLine="632"/>
        <w:jc w:val="right"/>
        <w:rPr>
          <w:rFonts w:cs="Times New Roman"/>
        </w:rPr>
        <w:sectPr>
          <w:footerReference r:id="rId11" w:type="default"/>
          <w:pgSz w:w="11906" w:h="16838"/>
          <w:pgMar w:top="2098" w:right="1474" w:bottom="1985" w:left="1588" w:header="851" w:footer="1758" w:gutter="0"/>
          <w:pgNumType w:fmt="numberInDash" w:start="1"/>
          <w:cols w:space="720" w:num="1"/>
          <w:docGrid w:type="linesAndChars" w:linePitch="579" w:charSpace="-849"/>
        </w:sectPr>
      </w:pPr>
      <w:r>
        <w:rPr>
          <w:rFonts w:cs="Times New Roman"/>
        </w:rPr>
        <w:t>2024年</w:t>
      </w:r>
      <w:r>
        <w:rPr>
          <w:rFonts w:hint="eastAsia" w:cs="Times New Roman"/>
        </w:rPr>
        <w:t>09</w:t>
      </w:r>
      <w:r>
        <w:rPr>
          <w:rFonts w:cs="Times New Roman"/>
        </w:rPr>
        <w:t>月</w:t>
      </w:r>
    </w:p>
    <w:p>
      <w:pPr>
        <w:pStyle w:val="2"/>
        <w:tabs>
          <w:tab w:val="left" w:pos="10560"/>
        </w:tabs>
        <w:ind w:firstLine="632"/>
        <w:rPr>
          <w:rFonts w:cs="Times New Roman"/>
        </w:rPr>
      </w:pPr>
      <w:bookmarkStart w:id="25" w:name="_Toc177204540"/>
      <w:bookmarkStart w:id="26" w:name="_Toc27661"/>
      <w:r>
        <w:rPr>
          <w:rFonts w:cs="Times New Roman"/>
        </w:rPr>
        <w:t>附件1：项目绩效评价指标评分表</w:t>
      </w:r>
      <w:bookmarkEnd w:id="25"/>
      <w:bookmarkEnd w:id="26"/>
    </w:p>
    <w:p>
      <w:pPr>
        <w:spacing w:line="600" w:lineRule="exact"/>
        <w:ind w:firstLine="0" w:firstLineChars="0"/>
        <w:jc w:val="center"/>
        <w:rPr>
          <w:rFonts w:eastAsia="黑体" w:cs="Times New Roman"/>
          <w:sz w:val="28"/>
          <w:szCs w:val="44"/>
        </w:rPr>
      </w:pPr>
      <w:r>
        <w:rPr>
          <w:rFonts w:eastAsia="黑体" w:cs="Times New Roman"/>
          <w:sz w:val="28"/>
          <w:szCs w:val="44"/>
        </w:rPr>
        <w:t>增城区应元学校高中部建设工程项目绩效评价指标评分表</w:t>
      </w:r>
    </w:p>
    <w:tbl>
      <w:tblPr>
        <w:tblStyle w:val="15"/>
        <w:tblW w:w="5000" w:type="pct"/>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autofit"/>
        <w:tblCellMar>
          <w:top w:w="0" w:type="dxa"/>
          <w:left w:w="108" w:type="dxa"/>
          <w:bottom w:w="0" w:type="dxa"/>
          <w:right w:w="108" w:type="dxa"/>
        </w:tblCellMar>
      </w:tblPr>
      <w:tblGrid>
        <w:gridCol w:w="789"/>
        <w:gridCol w:w="789"/>
        <w:gridCol w:w="786"/>
        <w:gridCol w:w="785"/>
        <w:gridCol w:w="784"/>
        <w:gridCol w:w="784"/>
        <w:gridCol w:w="784"/>
        <w:gridCol w:w="784"/>
        <w:gridCol w:w="2279"/>
        <w:gridCol w:w="4724"/>
        <w:gridCol w:w="704"/>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12" w:hRule="atLeast"/>
          <w:tblHeader/>
          <w:jc w:val="center"/>
        </w:trPr>
        <w:tc>
          <w:tcPr>
            <w:tcW w:w="6181" w:type="dxa"/>
            <w:gridSpan w:val="8"/>
            <w:shd w:val="clear" w:color="auto" w:fill="auto"/>
            <w:vAlign w:val="center"/>
          </w:tcPr>
          <w:p>
            <w:pPr>
              <w:widowControl/>
              <w:adjustRightInd w:val="0"/>
              <w:snapToGrid w:val="0"/>
              <w:spacing w:line="240" w:lineRule="auto"/>
              <w:ind w:firstLine="0" w:firstLineChars="0"/>
              <w:jc w:val="center"/>
              <w:rPr>
                <w:rFonts w:cs="Times New Roman"/>
                <w:b/>
                <w:bCs/>
                <w:kern w:val="0"/>
                <w:sz w:val="24"/>
                <w:szCs w:val="24"/>
                <w14:ligatures w14:val="none"/>
              </w:rPr>
            </w:pPr>
            <w:r>
              <w:rPr>
                <w:rFonts w:cs="Times New Roman"/>
                <w:b/>
                <w:bCs/>
                <w:kern w:val="0"/>
                <w:sz w:val="24"/>
                <w:szCs w:val="24"/>
                <w14:ligatures w14:val="none"/>
              </w:rPr>
              <w:t>评价指标</w:t>
            </w:r>
          </w:p>
        </w:tc>
        <w:tc>
          <w:tcPr>
            <w:tcW w:w="2241" w:type="dxa"/>
            <w:vMerge w:val="restart"/>
            <w:shd w:val="clear" w:color="auto" w:fill="auto"/>
            <w:vAlign w:val="center"/>
          </w:tcPr>
          <w:p>
            <w:pPr>
              <w:widowControl/>
              <w:adjustRightInd w:val="0"/>
              <w:snapToGrid w:val="0"/>
              <w:spacing w:line="240" w:lineRule="auto"/>
              <w:ind w:firstLine="0" w:firstLineChars="0"/>
              <w:jc w:val="center"/>
              <w:rPr>
                <w:rFonts w:cs="Times New Roman"/>
                <w:b/>
                <w:bCs/>
                <w:kern w:val="0"/>
                <w:sz w:val="24"/>
                <w:szCs w:val="24"/>
                <w14:ligatures w14:val="none"/>
              </w:rPr>
            </w:pPr>
            <w:r>
              <w:rPr>
                <w:rFonts w:cs="Times New Roman"/>
                <w:b/>
                <w:bCs/>
                <w:kern w:val="0"/>
                <w:sz w:val="24"/>
                <w:szCs w:val="24"/>
                <w14:ligatures w14:val="none"/>
              </w:rPr>
              <w:t>评分标准</w:t>
            </w:r>
          </w:p>
        </w:tc>
        <w:tc>
          <w:tcPr>
            <w:tcW w:w="4643" w:type="dxa"/>
            <w:vMerge w:val="restart"/>
            <w:shd w:val="clear" w:color="auto" w:fill="auto"/>
            <w:vAlign w:val="center"/>
          </w:tcPr>
          <w:p>
            <w:pPr>
              <w:widowControl/>
              <w:adjustRightInd w:val="0"/>
              <w:snapToGrid w:val="0"/>
              <w:spacing w:line="240" w:lineRule="auto"/>
              <w:ind w:firstLine="0" w:firstLineChars="0"/>
              <w:jc w:val="center"/>
              <w:rPr>
                <w:rFonts w:cs="Times New Roman"/>
                <w:b/>
                <w:bCs/>
                <w:kern w:val="0"/>
                <w:sz w:val="24"/>
                <w:szCs w:val="24"/>
                <w14:ligatures w14:val="none"/>
              </w:rPr>
            </w:pPr>
            <w:r>
              <w:rPr>
                <w:rFonts w:cs="Times New Roman"/>
                <w:b/>
                <w:bCs/>
                <w:kern w:val="0"/>
                <w:sz w:val="24"/>
                <w:szCs w:val="24"/>
                <w14:ligatures w14:val="none"/>
              </w:rPr>
              <w:t>评分依据、未达标原因分析</w:t>
            </w:r>
          </w:p>
        </w:tc>
        <w:tc>
          <w:tcPr>
            <w:tcW w:w="691" w:type="dxa"/>
            <w:vMerge w:val="restart"/>
            <w:shd w:val="clear" w:color="auto" w:fill="auto"/>
            <w:vAlign w:val="center"/>
          </w:tcPr>
          <w:p>
            <w:pPr>
              <w:widowControl/>
              <w:adjustRightInd w:val="0"/>
              <w:snapToGrid w:val="0"/>
              <w:spacing w:line="240" w:lineRule="auto"/>
              <w:ind w:firstLine="0" w:firstLineChars="0"/>
              <w:jc w:val="center"/>
              <w:rPr>
                <w:rFonts w:cs="Times New Roman"/>
                <w:b/>
                <w:bCs/>
                <w:kern w:val="0"/>
                <w:sz w:val="24"/>
                <w:szCs w:val="24"/>
                <w14:ligatures w14:val="none"/>
              </w:rPr>
            </w:pPr>
            <w:r>
              <w:rPr>
                <w:rFonts w:cs="Times New Roman"/>
                <w:b/>
                <w:bCs/>
                <w:kern w:val="0"/>
                <w:sz w:val="24"/>
                <w:szCs w:val="24"/>
                <w14:ligatures w14:val="none"/>
              </w:rPr>
              <w:t>评价得分</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90" w:hRule="atLeast"/>
          <w:tblHeader/>
          <w:jc w:val="center"/>
        </w:trPr>
        <w:tc>
          <w:tcPr>
            <w:tcW w:w="1552" w:type="dxa"/>
            <w:gridSpan w:val="2"/>
            <w:shd w:val="clear" w:color="auto" w:fill="auto"/>
            <w:vAlign w:val="center"/>
          </w:tcPr>
          <w:p>
            <w:pPr>
              <w:widowControl/>
              <w:adjustRightInd w:val="0"/>
              <w:snapToGrid w:val="0"/>
              <w:spacing w:line="240" w:lineRule="auto"/>
              <w:ind w:firstLine="0" w:firstLineChars="0"/>
              <w:jc w:val="center"/>
              <w:rPr>
                <w:rFonts w:cs="Times New Roman"/>
                <w:b/>
                <w:bCs/>
                <w:kern w:val="0"/>
                <w:sz w:val="24"/>
                <w:szCs w:val="24"/>
                <w14:ligatures w14:val="none"/>
              </w:rPr>
            </w:pPr>
            <w:r>
              <w:rPr>
                <w:rFonts w:cs="Times New Roman"/>
                <w:b/>
                <w:bCs/>
                <w:kern w:val="0"/>
                <w:sz w:val="24"/>
                <w:szCs w:val="24"/>
                <w14:ligatures w14:val="none"/>
              </w:rPr>
              <w:t>一级指标</w:t>
            </w:r>
          </w:p>
        </w:tc>
        <w:tc>
          <w:tcPr>
            <w:tcW w:w="1545" w:type="dxa"/>
            <w:gridSpan w:val="2"/>
            <w:shd w:val="clear" w:color="auto" w:fill="auto"/>
            <w:vAlign w:val="center"/>
          </w:tcPr>
          <w:p>
            <w:pPr>
              <w:widowControl/>
              <w:adjustRightInd w:val="0"/>
              <w:snapToGrid w:val="0"/>
              <w:spacing w:line="240" w:lineRule="auto"/>
              <w:ind w:firstLine="0" w:firstLineChars="0"/>
              <w:jc w:val="center"/>
              <w:rPr>
                <w:rFonts w:cs="Times New Roman"/>
                <w:b/>
                <w:bCs/>
                <w:kern w:val="0"/>
                <w:sz w:val="24"/>
                <w:szCs w:val="24"/>
                <w14:ligatures w14:val="none"/>
              </w:rPr>
            </w:pPr>
            <w:r>
              <w:rPr>
                <w:rFonts w:cs="Times New Roman"/>
                <w:b/>
                <w:bCs/>
                <w:kern w:val="0"/>
                <w:sz w:val="24"/>
                <w:szCs w:val="24"/>
                <w14:ligatures w14:val="none"/>
              </w:rPr>
              <w:t>二级指标</w:t>
            </w:r>
          </w:p>
        </w:tc>
        <w:tc>
          <w:tcPr>
            <w:tcW w:w="1542" w:type="dxa"/>
            <w:gridSpan w:val="2"/>
            <w:shd w:val="clear" w:color="auto" w:fill="auto"/>
            <w:vAlign w:val="center"/>
          </w:tcPr>
          <w:p>
            <w:pPr>
              <w:widowControl/>
              <w:adjustRightInd w:val="0"/>
              <w:snapToGrid w:val="0"/>
              <w:spacing w:line="240" w:lineRule="auto"/>
              <w:ind w:firstLine="0" w:firstLineChars="0"/>
              <w:jc w:val="center"/>
              <w:rPr>
                <w:rFonts w:cs="Times New Roman"/>
                <w:b/>
                <w:bCs/>
                <w:kern w:val="0"/>
                <w:sz w:val="24"/>
                <w:szCs w:val="24"/>
                <w14:ligatures w14:val="none"/>
              </w:rPr>
            </w:pPr>
            <w:r>
              <w:rPr>
                <w:rFonts w:cs="Times New Roman"/>
                <w:b/>
                <w:bCs/>
                <w:kern w:val="0"/>
                <w:sz w:val="24"/>
                <w:szCs w:val="24"/>
                <w14:ligatures w14:val="none"/>
              </w:rPr>
              <w:t>三级指标</w:t>
            </w:r>
          </w:p>
        </w:tc>
        <w:tc>
          <w:tcPr>
            <w:tcW w:w="1542" w:type="dxa"/>
            <w:gridSpan w:val="2"/>
            <w:shd w:val="clear" w:color="auto" w:fill="auto"/>
            <w:vAlign w:val="center"/>
          </w:tcPr>
          <w:p>
            <w:pPr>
              <w:widowControl/>
              <w:adjustRightInd w:val="0"/>
              <w:snapToGrid w:val="0"/>
              <w:spacing w:line="240" w:lineRule="auto"/>
              <w:ind w:firstLine="0" w:firstLineChars="0"/>
              <w:jc w:val="center"/>
              <w:rPr>
                <w:rFonts w:cs="Times New Roman"/>
                <w:b/>
                <w:bCs/>
                <w:kern w:val="0"/>
                <w:sz w:val="24"/>
                <w:szCs w:val="24"/>
                <w14:ligatures w14:val="none"/>
              </w:rPr>
            </w:pPr>
            <w:r>
              <w:rPr>
                <w:rFonts w:cs="Times New Roman"/>
                <w:b/>
                <w:bCs/>
                <w:kern w:val="0"/>
                <w:sz w:val="24"/>
                <w:szCs w:val="24"/>
                <w14:ligatures w14:val="none"/>
              </w:rPr>
              <w:t>四级指标</w:t>
            </w:r>
          </w:p>
        </w:tc>
        <w:tc>
          <w:tcPr>
            <w:tcW w:w="2241" w:type="dxa"/>
            <w:vMerge w:val="continue"/>
            <w:shd w:val="clear" w:color="auto" w:fill="auto"/>
            <w:vAlign w:val="center"/>
          </w:tcPr>
          <w:p>
            <w:pPr>
              <w:widowControl/>
              <w:adjustRightInd w:val="0"/>
              <w:snapToGrid w:val="0"/>
              <w:spacing w:line="240" w:lineRule="auto"/>
              <w:ind w:firstLine="0" w:firstLineChars="0"/>
              <w:jc w:val="center"/>
              <w:rPr>
                <w:rFonts w:cs="Times New Roman"/>
                <w:b/>
                <w:bCs/>
                <w:kern w:val="0"/>
                <w:sz w:val="24"/>
                <w:szCs w:val="24"/>
                <w14:ligatures w14:val="none"/>
              </w:rPr>
            </w:pPr>
          </w:p>
        </w:tc>
        <w:tc>
          <w:tcPr>
            <w:tcW w:w="4643" w:type="dxa"/>
            <w:vMerge w:val="continue"/>
            <w:shd w:val="clear" w:color="auto" w:fill="auto"/>
            <w:vAlign w:val="center"/>
          </w:tcPr>
          <w:p>
            <w:pPr>
              <w:widowControl/>
              <w:adjustRightInd w:val="0"/>
              <w:snapToGrid w:val="0"/>
              <w:spacing w:line="240" w:lineRule="auto"/>
              <w:ind w:firstLine="0" w:firstLineChars="0"/>
              <w:jc w:val="left"/>
              <w:rPr>
                <w:rFonts w:cs="Times New Roman"/>
                <w:b/>
                <w:bCs/>
                <w:kern w:val="0"/>
                <w:sz w:val="24"/>
                <w:szCs w:val="24"/>
                <w14:ligatures w14:val="none"/>
              </w:rPr>
            </w:pPr>
          </w:p>
        </w:tc>
        <w:tc>
          <w:tcPr>
            <w:tcW w:w="691" w:type="dxa"/>
            <w:vMerge w:val="continue"/>
            <w:shd w:val="clear" w:color="auto" w:fill="auto"/>
            <w:vAlign w:val="center"/>
          </w:tcPr>
          <w:p>
            <w:pPr>
              <w:widowControl/>
              <w:adjustRightInd w:val="0"/>
              <w:snapToGrid w:val="0"/>
              <w:spacing w:line="240" w:lineRule="auto"/>
              <w:ind w:firstLine="0" w:firstLineChars="0"/>
              <w:jc w:val="left"/>
              <w:rPr>
                <w:rFonts w:cs="Times New Roman"/>
                <w:b/>
                <w:bCs/>
                <w:kern w:val="0"/>
                <w:sz w:val="24"/>
                <w:szCs w:val="24"/>
                <w14:ligatures w14:val="none"/>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67" w:hRule="atLeast"/>
          <w:tblHeader/>
          <w:jc w:val="center"/>
        </w:trPr>
        <w:tc>
          <w:tcPr>
            <w:tcW w:w="776" w:type="dxa"/>
            <w:shd w:val="clear" w:color="auto" w:fill="auto"/>
            <w:vAlign w:val="center"/>
          </w:tcPr>
          <w:p>
            <w:pPr>
              <w:widowControl/>
              <w:adjustRightInd w:val="0"/>
              <w:snapToGrid w:val="0"/>
              <w:spacing w:line="240" w:lineRule="auto"/>
              <w:ind w:firstLine="0" w:firstLineChars="0"/>
              <w:jc w:val="center"/>
              <w:rPr>
                <w:rFonts w:cs="Times New Roman"/>
                <w:b/>
                <w:bCs/>
                <w:kern w:val="0"/>
                <w:sz w:val="24"/>
                <w:szCs w:val="24"/>
                <w14:ligatures w14:val="none"/>
              </w:rPr>
            </w:pPr>
            <w:r>
              <w:rPr>
                <w:rFonts w:cs="Times New Roman"/>
                <w:b/>
                <w:bCs/>
                <w:kern w:val="0"/>
                <w:sz w:val="24"/>
                <w:szCs w:val="24"/>
                <w14:ligatures w14:val="none"/>
              </w:rPr>
              <w:t>名称</w:t>
            </w:r>
          </w:p>
        </w:tc>
        <w:tc>
          <w:tcPr>
            <w:tcW w:w="776" w:type="dxa"/>
            <w:shd w:val="clear" w:color="auto" w:fill="auto"/>
            <w:vAlign w:val="center"/>
          </w:tcPr>
          <w:p>
            <w:pPr>
              <w:widowControl/>
              <w:adjustRightInd w:val="0"/>
              <w:snapToGrid w:val="0"/>
              <w:spacing w:line="240" w:lineRule="auto"/>
              <w:ind w:firstLine="0" w:firstLineChars="0"/>
              <w:jc w:val="center"/>
              <w:rPr>
                <w:rFonts w:cs="Times New Roman"/>
                <w:b/>
                <w:bCs/>
                <w:kern w:val="0"/>
                <w:sz w:val="24"/>
                <w:szCs w:val="24"/>
                <w14:ligatures w14:val="none"/>
              </w:rPr>
            </w:pPr>
            <w:r>
              <w:rPr>
                <w:rFonts w:cs="Times New Roman"/>
                <w:b/>
                <w:bCs/>
                <w:kern w:val="0"/>
                <w:sz w:val="24"/>
                <w:szCs w:val="24"/>
                <w14:ligatures w14:val="none"/>
              </w:rPr>
              <w:t>权重(%)</w:t>
            </w:r>
          </w:p>
        </w:tc>
        <w:tc>
          <w:tcPr>
            <w:tcW w:w="773" w:type="dxa"/>
            <w:shd w:val="clear" w:color="auto" w:fill="auto"/>
            <w:vAlign w:val="center"/>
          </w:tcPr>
          <w:p>
            <w:pPr>
              <w:widowControl/>
              <w:adjustRightInd w:val="0"/>
              <w:snapToGrid w:val="0"/>
              <w:spacing w:line="240" w:lineRule="auto"/>
              <w:ind w:firstLine="0" w:firstLineChars="0"/>
              <w:jc w:val="center"/>
              <w:rPr>
                <w:rFonts w:cs="Times New Roman"/>
                <w:b/>
                <w:bCs/>
                <w:kern w:val="0"/>
                <w:sz w:val="24"/>
                <w:szCs w:val="24"/>
                <w14:ligatures w14:val="none"/>
              </w:rPr>
            </w:pPr>
            <w:r>
              <w:rPr>
                <w:rFonts w:cs="Times New Roman"/>
                <w:b/>
                <w:bCs/>
                <w:kern w:val="0"/>
                <w:sz w:val="24"/>
                <w:szCs w:val="24"/>
                <w14:ligatures w14:val="none"/>
              </w:rPr>
              <w:t>名称</w:t>
            </w:r>
          </w:p>
        </w:tc>
        <w:tc>
          <w:tcPr>
            <w:tcW w:w="772" w:type="dxa"/>
            <w:shd w:val="clear" w:color="auto" w:fill="auto"/>
            <w:vAlign w:val="center"/>
          </w:tcPr>
          <w:p>
            <w:pPr>
              <w:widowControl/>
              <w:adjustRightInd w:val="0"/>
              <w:snapToGrid w:val="0"/>
              <w:spacing w:line="240" w:lineRule="auto"/>
              <w:ind w:firstLine="0" w:firstLineChars="0"/>
              <w:jc w:val="center"/>
              <w:rPr>
                <w:rFonts w:cs="Times New Roman"/>
                <w:b/>
                <w:bCs/>
                <w:kern w:val="0"/>
                <w:sz w:val="24"/>
                <w:szCs w:val="24"/>
                <w14:ligatures w14:val="none"/>
              </w:rPr>
            </w:pPr>
            <w:r>
              <w:rPr>
                <w:rFonts w:cs="Times New Roman"/>
                <w:b/>
                <w:bCs/>
                <w:kern w:val="0"/>
                <w:sz w:val="24"/>
                <w:szCs w:val="24"/>
                <w14:ligatures w14:val="none"/>
              </w:rPr>
              <w:t>权重(%)</w:t>
            </w:r>
          </w:p>
        </w:tc>
        <w:tc>
          <w:tcPr>
            <w:tcW w:w="771" w:type="dxa"/>
            <w:shd w:val="clear" w:color="auto" w:fill="auto"/>
            <w:vAlign w:val="center"/>
          </w:tcPr>
          <w:p>
            <w:pPr>
              <w:widowControl/>
              <w:adjustRightInd w:val="0"/>
              <w:snapToGrid w:val="0"/>
              <w:spacing w:line="240" w:lineRule="auto"/>
              <w:ind w:firstLine="0" w:firstLineChars="0"/>
              <w:jc w:val="center"/>
              <w:rPr>
                <w:rFonts w:cs="Times New Roman"/>
                <w:b/>
                <w:bCs/>
                <w:kern w:val="0"/>
                <w:sz w:val="24"/>
                <w:szCs w:val="24"/>
                <w14:ligatures w14:val="none"/>
              </w:rPr>
            </w:pPr>
            <w:r>
              <w:rPr>
                <w:rFonts w:cs="Times New Roman"/>
                <w:b/>
                <w:bCs/>
                <w:kern w:val="0"/>
                <w:sz w:val="24"/>
                <w:szCs w:val="24"/>
                <w14:ligatures w14:val="none"/>
              </w:rPr>
              <w:t>名称</w:t>
            </w:r>
          </w:p>
        </w:tc>
        <w:tc>
          <w:tcPr>
            <w:tcW w:w="771" w:type="dxa"/>
            <w:shd w:val="clear" w:color="auto" w:fill="auto"/>
            <w:vAlign w:val="center"/>
          </w:tcPr>
          <w:p>
            <w:pPr>
              <w:widowControl/>
              <w:adjustRightInd w:val="0"/>
              <w:snapToGrid w:val="0"/>
              <w:spacing w:line="240" w:lineRule="auto"/>
              <w:ind w:firstLine="0" w:firstLineChars="0"/>
              <w:jc w:val="center"/>
              <w:rPr>
                <w:rFonts w:cs="Times New Roman"/>
                <w:b/>
                <w:bCs/>
                <w:kern w:val="0"/>
                <w:sz w:val="24"/>
                <w:szCs w:val="24"/>
                <w14:ligatures w14:val="none"/>
              </w:rPr>
            </w:pPr>
            <w:r>
              <w:rPr>
                <w:rFonts w:cs="Times New Roman"/>
                <w:b/>
                <w:bCs/>
                <w:kern w:val="0"/>
                <w:sz w:val="24"/>
                <w:szCs w:val="24"/>
                <w14:ligatures w14:val="none"/>
              </w:rPr>
              <w:t>权重(%)</w:t>
            </w:r>
          </w:p>
        </w:tc>
        <w:tc>
          <w:tcPr>
            <w:tcW w:w="771" w:type="dxa"/>
            <w:shd w:val="clear" w:color="auto" w:fill="auto"/>
            <w:vAlign w:val="center"/>
          </w:tcPr>
          <w:p>
            <w:pPr>
              <w:widowControl/>
              <w:adjustRightInd w:val="0"/>
              <w:snapToGrid w:val="0"/>
              <w:spacing w:line="240" w:lineRule="auto"/>
              <w:ind w:firstLine="0" w:firstLineChars="0"/>
              <w:jc w:val="center"/>
              <w:rPr>
                <w:rFonts w:cs="Times New Roman"/>
                <w:b/>
                <w:bCs/>
                <w:kern w:val="0"/>
                <w:sz w:val="24"/>
                <w:szCs w:val="24"/>
                <w14:ligatures w14:val="none"/>
              </w:rPr>
            </w:pPr>
            <w:r>
              <w:rPr>
                <w:rFonts w:cs="Times New Roman"/>
                <w:b/>
                <w:bCs/>
                <w:kern w:val="0"/>
                <w:sz w:val="24"/>
                <w:szCs w:val="24"/>
                <w14:ligatures w14:val="none"/>
              </w:rPr>
              <w:t>名称</w:t>
            </w:r>
          </w:p>
        </w:tc>
        <w:tc>
          <w:tcPr>
            <w:tcW w:w="771" w:type="dxa"/>
            <w:shd w:val="clear" w:color="auto" w:fill="auto"/>
            <w:vAlign w:val="center"/>
          </w:tcPr>
          <w:p>
            <w:pPr>
              <w:widowControl/>
              <w:adjustRightInd w:val="0"/>
              <w:snapToGrid w:val="0"/>
              <w:spacing w:line="240" w:lineRule="auto"/>
              <w:ind w:firstLine="0" w:firstLineChars="0"/>
              <w:jc w:val="center"/>
              <w:rPr>
                <w:rFonts w:cs="Times New Roman"/>
                <w:b/>
                <w:bCs/>
                <w:kern w:val="0"/>
                <w:sz w:val="24"/>
                <w:szCs w:val="24"/>
                <w14:ligatures w14:val="none"/>
              </w:rPr>
            </w:pPr>
            <w:r>
              <w:rPr>
                <w:rFonts w:cs="Times New Roman"/>
                <w:b/>
                <w:bCs/>
                <w:kern w:val="0"/>
                <w:sz w:val="24"/>
                <w:szCs w:val="24"/>
                <w14:ligatures w14:val="none"/>
              </w:rPr>
              <w:t>权重(%)</w:t>
            </w:r>
          </w:p>
        </w:tc>
        <w:tc>
          <w:tcPr>
            <w:tcW w:w="2241" w:type="dxa"/>
            <w:vMerge w:val="continue"/>
            <w:shd w:val="clear" w:color="auto" w:fill="auto"/>
            <w:vAlign w:val="center"/>
          </w:tcPr>
          <w:p>
            <w:pPr>
              <w:widowControl/>
              <w:adjustRightInd w:val="0"/>
              <w:snapToGrid w:val="0"/>
              <w:spacing w:line="240" w:lineRule="auto"/>
              <w:ind w:firstLine="0" w:firstLineChars="0"/>
              <w:jc w:val="center"/>
              <w:rPr>
                <w:rFonts w:cs="Times New Roman"/>
                <w:b/>
                <w:bCs/>
                <w:kern w:val="0"/>
                <w:sz w:val="24"/>
                <w:szCs w:val="24"/>
                <w14:ligatures w14:val="none"/>
              </w:rPr>
            </w:pPr>
          </w:p>
        </w:tc>
        <w:tc>
          <w:tcPr>
            <w:tcW w:w="4643" w:type="dxa"/>
            <w:vMerge w:val="continue"/>
            <w:shd w:val="clear" w:color="auto" w:fill="auto"/>
            <w:vAlign w:val="center"/>
          </w:tcPr>
          <w:p>
            <w:pPr>
              <w:widowControl/>
              <w:adjustRightInd w:val="0"/>
              <w:snapToGrid w:val="0"/>
              <w:spacing w:line="240" w:lineRule="auto"/>
              <w:ind w:firstLine="0" w:firstLineChars="0"/>
              <w:jc w:val="left"/>
              <w:rPr>
                <w:rFonts w:cs="Times New Roman"/>
                <w:b/>
                <w:bCs/>
                <w:kern w:val="0"/>
                <w:sz w:val="24"/>
                <w:szCs w:val="24"/>
                <w14:ligatures w14:val="none"/>
              </w:rPr>
            </w:pPr>
          </w:p>
        </w:tc>
        <w:tc>
          <w:tcPr>
            <w:tcW w:w="691" w:type="dxa"/>
            <w:vMerge w:val="continue"/>
            <w:shd w:val="clear" w:color="auto" w:fill="auto"/>
            <w:vAlign w:val="center"/>
          </w:tcPr>
          <w:p>
            <w:pPr>
              <w:widowControl/>
              <w:adjustRightInd w:val="0"/>
              <w:snapToGrid w:val="0"/>
              <w:spacing w:line="240" w:lineRule="auto"/>
              <w:ind w:firstLine="0" w:firstLineChars="0"/>
              <w:jc w:val="left"/>
              <w:rPr>
                <w:rFonts w:cs="Times New Roman"/>
                <w:b/>
                <w:bCs/>
                <w:kern w:val="0"/>
                <w:sz w:val="24"/>
                <w:szCs w:val="24"/>
                <w14:ligatures w14:val="none"/>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67" w:hRule="atLeast"/>
          <w:jc w:val="center"/>
        </w:trPr>
        <w:tc>
          <w:tcPr>
            <w:tcW w:w="776" w:type="dxa"/>
            <w:vMerge w:val="restart"/>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决策</w:t>
            </w:r>
          </w:p>
        </w:tc>
        <w:tc>
          <w:tcPr>
            <w:tcW w:w="776" w:type="dxa"/>
            <w:vMerge w:val="restart"/>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20</w:t>
            </w:r>
          </w:p>
        </w:tc>
        <w:tc>
          <w:tcPr>
            <w:tcW w:w="773" w:type="dxa"/>
            <w:vMerge w:val="restart"/>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项目立项</w:t>
            </w:r>
          </w:p>
        </w:tc>
        <w:tc>
          <w:tcPr>
            <w:tcW w:w="772" w:type="dxa"/>
            <w:vMerge w:val="restart"/>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12</w:t>
            </w:r>
          </w:p>
        </w:tc>
        <w:tc>
          <w:tcPr>
            <w:tcW w:w="771" w:type="dxa"/>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论证决策</w:t>
            </w:r>
          </w:p>
        </w:tc>
        <w:tc>
          <w:tcPr>
            <w:tcW w:w="771" w:type="dxa"/>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4</w:t>
            </w:r>
          </w:p>
        </w:tc>
        <w:tc>
          <w:tcPr>
            <w:tcW w:w="771" w:type="dxa"/>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论证充分性</w:t>
            </w:r>
          </w:p>
        </w:tc>
        <w:tc>
          <w:tcPr>
            <w:tcW w:w="771" w:type="dxa"/>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4</w:t>
            </w:r>
          </w:p>
        </w:tc>
        <w:tc>
          <w:tcPr>
            <w:tcW w:w="2241" w:type="dxa"/>
            <w:shd w:val="clear" w:color="auto" w:fill="auto"/>
            <w:vAlign w:val="center"/>
          </w:tcPr>
          <w:p>
            <w:pPr>
              <w:widowControl/>
              <w:adjustRightInd w:val="0"/>
              <w:snapToGrid w:val="0"/>
              <w:spacing w:line="240" w:lineRule="auto"/>
              <w:ind w:firstLine="0" w:firstLineChars="0"/>
              <w:rPr>
                <w:rFonts w:cs="Times New Roman"/>
                <w:kern w:val="0"/>
                <w:sz w:val="24"/>
                <w:szCs w:val="24"/>
                <w14:ligatures w14:val="none"/>
              </w:rPr>
            </w:pPr>
            <w:r>
              <w:rPr>
                <w:rFonts w:cs="Times New Roman"/>
                <w:kern w:val="0"/>
                <w:sz w:val="24"/>
                <w:szCs w:val="24"/>
                <w14:ligatures w14:val="none"/>
              </w:rPr>
              <w:t>具有前期可行性研究报告或摸底调查工作总结等材料的，或经过集体会议协商、并咨询相关专家意见、且有文字材料的得4分。如无，则根据实际情况核定分数。</w:t>
            </w:r>
          </w:p>
        </w:tc>
        <w:tc>
          <w:tcPr>
            <w:tcW w:w="4643" w:type="dxa"/>
            <w:shd w:val="clear" w:color="auto" w:fill="auto"/>
            <w:vAlign w:val="center"/>
          </w:tcPr>
          <w:p>
            <w:pPr>
              <w:widowControl/>
              <w:adjustRightInd w:val="0"/>
              <w:snapToGrid w:val="0"/>
              <w:spacing w:line="240" w:lineRule="auto"/>
              <w:ind w:firstLine="0" w:firstLineChars="0"/>
              <w:rPr>
                <w:rFonts w:cs="Times New Roman"/>
                <w:kern w:val="0"/>
                <w:sz w:val="24"/>
                <w:szCs w:val="24"/>
                <w14:ligatures w14:val="none"/>
              </w:rPr>
            </w:pPr>
            <w:r>
              <w:rPr>
                <w:rFonts w:cs="Times New Roman"/>
                <w:sz w:val="24"/>
                <w:szCs w:val="24"/>
              </w:rPr>
              <w:t>根据《增城区人民政府常务会议纪要》（第2届90次〔2021〕1号），项目建设经过集体会议同意。根据《广州市增城区发展和改革局关于增城区应元学校高中部建设项目可行性研究报告的复函》（穗增发改投批〔2022〕21号），广州市增城区发展和改革局于2022年4月25日同意项目实施，项目已开展可行性研究工作。综合以上情况，项目前期论证基本充分。</w:t>
            </w:r>
          </w:p>
        </w:tc>
        <w:tc>
          <w:tcPr>
            <w:tcW w:w="691" w:type="dxa"/>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4</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67" w:hRule="atLeast"/>
          <w:jc w:val="center"/>
        </w:trPr>
        <w:tc>
          <w:tcPr>
            <w:tcW w:w="776" w:type="dxa"/>
            <w:vMerge w:val="continue"/>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p>
        </w:tc>
        <w:tc>
          <w:tcPr>
            <w:tcW w:w="776" w:type="dxa"/>
            <w:vMerge w:val="continue"/>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p>
        </w:tc>
        <w:tc>
          <w:tcPr>
            <w:tcW w:w="773" w:type="dxa"/>
            <w:vMerge w:val="continue"/>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p>
        </w:tc>
        <w:tc>
          <w:tcPr>
            <w:tcW w:w="772" w:type="dxa"/>
            <w:vMerge w:val="continue"/>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p>
        </w:tc>
        <w:tc>
          <w:tcPr>
            <w:tcW w:w="771" w:type="dxa"/>
            <w:vMerge w:val="restart"/>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目标设置</w:t>
            </w:r>
          </w:p>
        </w:tc>
        <w:tc>
          <w:tcPr>
            <w:tcW w:w="771" w:type="dxa"/>
            <w:vMerge w:val="restart"/>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6</w:t>
            </w:r>
          </w:p>
        </w:tc>
        <w:tc>
          <w:tcPr>
            <w:tcW w:w="771" w:type="dxa"/>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完整性</w:t>
            </w:r>
          </w:p>
        </w:tc>
        <w:tc>
          <w:tcPr>
            <w:tcW w:w="771" w:type="dxa"/>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2</w:t>
            </w:r>
          </w:p>
        </w:tc>
        <w:tc>
          <w:tcPr>
            <w:tcW w:w="2241" w:type="dxa"/>
            <w:shd w:val="clear" w:color="auto" w:fill="auto"/>
            <w:vAlign w:val="center"/>
          </w:tcPr>
          <w:p>
            <w:pPr>
              <w:widowControl/>
              <w:adjustRightInd w:val="0"/>
              <w:snapToGrid w:val="0"/>
              <w:spacing w:line="240" w:lineRule="auto"/>
              <w:ind w:firstLine="0" w:firstLineChars="0"/>
              <w:rPr>
                <w:rFonts w:cs="Times New Roman"/>
                <w:kern w:val="0"/>
                <w:sz w:val="24"/>
                <w:szCs w:val="24"/>
                <w14:ligatures w14:val="none"/>
              </w:rPr>
            </w:pPr>
            <w:r>
              <w:rPr>
                <w:rFonts w:cs="Times New Roman"/>
                <w:kern w:val="0"/>
                <w:sz w:val="24"/>
                <w:szCs w:val="24"/>
                <w14:ligatures w14:val="none"/>
              </w:rPr>
              <w:t>依据相关基础信息和证据判断目标设置的完整性，即是否包含总目标和阶段性目标，是否包括预期提供的公共产品或服务的产出数量、质量、成本指标，预期达到的效果性指标，据此核定分数。</w:t>
            </w:r>
          </w:p>
        </w:tc>
        <w:tc>
          <w:tcPr>
            <w:tcW w:w="4643" w:type="dxa"/>
            <w:shd w:val="clear" w:color="auto" w:fill="auto"/>
            <w:vAlign w:val="center"/>
          </w:tcPr>
          <w:p>
            <w:pPr>
              <w:widowControl/>
              <w:adjustRightInd w:val="0"/>
              <w:snapToGrid w:val="0"/>
              <w:spacing w:line="240" w:lineRule="auto"/>
              <w:ind w:firstLine="0" w:firstLineChars="0"/>
              <w:rPr>
                <w:rFonts w:cs="Times New Roman"/>
                <w:kern w:val="0"/>
                <w:sz w:val="24"/>
                <w:szCs w:val="24"/>
                <w14:ligatures w14:val="none"/>
              </w:rPr>
            </w:pPr>
            <w:r>
              <w:rPr>
                <w:rFonts w:cs="Times New Roman"/>
                <w:kern w:val="0"/>
                <w:sz w:val="24"/>
                <w:szCs w:val="24"/>
                <w14:ligatures w14:val="none"/>
              </w:rPr>
              <w:t>根据《项目支出绩效目标表（含转移支付项目）》《项目支出绩效自评表》等相关材料，项目年初设置的年度绩效目标为</w:t>
            </w:r>
            <w:r>
              <w:rPr>
                <w:rFonts w:hint="eastAsia" w:ascii="仿宋_GB2312" w:cs="Times New Roman"/>
                <w:kern w:val="0"/>
                <w:sz w:val="24"/>
                <w:szCs w:val="24"/>
                <w14:ligatures w14:val="none"/>
              </w:rPr>
              <w:t>“</w:t>
            </w:r>
            <w:r>
              <w:rPr>
                <w:rFonts w:cs="Times New Roman"/>
                <w:kern w:val="0"/>
                <w:sz w:val="24"/>
                <w:szCs w:val="24"/>
                <w14:ligatures w14:val="none"/>
              </w:rPr>
              <w:t>项目占地面积约85亩，项目拟建36个高中班。主要建设包括建设教学楼、师生饭堂、报告厅图书馆、体育馆（含游泳馆）、学生宿舍、教师值班用房、地下停车库等功能建筑及其它配套基础设施。项目具有一定的社会效益、经济效益和环境效益。项目在建成后，一定程度上提升当地整体教育发展水平和营商环境，打造特色的教育体系；并能提高居民收入水平，给居民带来相应的就业机会，促进城市化建设，推进文化、教育健康的发展</w:t>
            </w:r>
            <w:r>
              <w:rPr>
                <w:rFonts w:hint="eastAsia" w:ascii="仿宋_GB2312" w:cs="Times New Roman"/>
                <w:kern w:val="0"/>
                <w:sz w:val="24"/>
                <w:szCs w:val="24"/>
                <w14:ligatures w14:val="none"/>
              </w:rPr>
              <w:t>”</w:t>
            </w:r>
            <w:r>
              <w:rPr>
                <w:rFonts w:cs="Times New Roman"/>
                <w:kern w:val="0"/>
                <w:sz w:val="24"/>
                <w:szCs w:val="24"/>
                <w14:ligatures w14:val="none"/>
              </w:rPr>
              <w:t>。自评阶段设置的预期总体绩效目标为增城区应元学校高中部建设项目完成所有前期工作，项目完成主体施工并移交使用。年初设置的年度绩效目标包含项目预期产出及效益，但自评阶段设置的预期总体绩效目标仅体现项目实施内容，未明确项目产出及效益情况，且项目年初及自评阶段设置的绩效指标均不够全面，如年初设置的年度绩效目标中包含</w:t>
            </w:r>
            <w:r>
              <w:rPr>
                <w:rFonts w:hint="eastAsia" w:ascii="仿宋_GB2312" w:cs="Times New Roman"/>
                <w:kern w:val="0"/>
                <w:sz w:val="24"/>
                <w:szCs w:val="24"/>
                <w14:ligatures w14:val="none"/>
              </w:rPr>
              <w:t>“</w:t>
            </w:r>
            <w:r>
              <w:rPr>
                <w:rFonts w:cs="Times New Roman"/>
                <w:kern w:val="0"/>
                <w:sz w:val="24"/>
                <w:szCs w:val="24"/>
                <w14:ligatures w14:val="none"/>
              </w:rPr>
              <w:t>提升当地整体教育发展水平</w:t>
            </w:r>
            <w:r>
              <w:rPr>
                <w:rFonts w:hint="eastAsia" w:ascii="仿宋_GB2312" w:cs="Times New Roman"/>
                <w:kern w:val="0"/>
                <w:sz w:val="24"/>
                <w:szCs w:val="24"/>
                <w14:ligatures w14:val="none"/>
              </w:rPr>
              <w:t>”“</w:t>
            </w:r>
            <w:r>
              <w:rPr>
                <w:rFonts w:cs="Times New Roman"/>
                <w:kern w:val="0"/>
                <w:sz w:val="24"/>
                <w:szCs w:val="24"/>
                <w14:ligatures w14:val="none"/>
              </w:rPr>
              <w:t>提高居民收入水平</w:t>
            </w:r>
            <w:r>
              <w:rPr>
                <w:rFonts w:hint="eastAsia" w:ascii="仿宋_GB2312" w:cs="Times New Roman"/>
                <w:kern w:val="0"/>
                <w:sz w:val="24"/>
                <w:szCs w:val="24"/>
                <w14:ligatures w14:val="none"/>
              </w:rPr>
              <w:t>”</w:t>
            </w:r>
            <w:r>
              <w:rPr>
                <w:rFonts w:cs="Times New Roman"/>
                <w:kern w:val="0"/>
                <w:sz w:val="24"/>
                <w:szCs w:val="24"/>
                <w14:ligatures w14:val="none"/>
              </w:rPr>
              <w:t>等效益内容，未设置对应的绩效指标对该部分效益内容进行考核；本项目为工程项目，2023年度项目仍在建设，未设置与</w:t>
            </w:r>
            <w:r>
              <w:rPr>
                <w:rFonts w:hint="eastAsia" w:ascii="仿宋_GB2312" w:cs="Times New Roman"/>
                <w:kern w:val="0"/>
                <w:sz w:val="24"/>
                <w:szCs w:val="24"/>
                <w14:ligatures w14:val="none"/>
              </w:rPr>
              <w:t>“</w:t>
            </w:r>
            <w:r>
              <w:rPr>
                <w:rFonts w:cs="Times New Roman"/>
                <w:kern w:val="0"/>
                <w:sz w:val="24"/>
                <w:szCs w:val="24"/>
                <w14:ligatures w14:val="none"/>
              </w:rPr>
              <w:t>施工过程安全事故发生</w:t>
            </w:r>
            <w:r>
              <w:rPr>
                <w:rFonts w:hint="eastAsia" w:ascii="仿宋_GB2312" w:cs="Times New Roman"/>
                <w:kern w:val="0"/>
                <w:sz w:val="24"/>
                <w:szCs w:val="24"/>
                <w14:ligatures w14:val="none"/>
              </w:rPr>
              <w:t>”</w:t>
            </w:r>
            <w:r>
              <w:rPr>
                <w:rFonts w:cs="Times New Roman"/>
                <w:kern w:val="0"/>
                <w:sz w:val="24"/>
                <w:szCs w:val="24"/>
                <w14:ligatures w14:val="none"/>
              </w:rPr>
              <w:t>相关的绩效指标对项目建设过程中安全措施的实施效果进行考核。</w:t>
            </w:r>
          </w:p>
          <w:p>
            <w:pPr>
              <w:widowControl/>
              <w:adjustRightInd w:val="0"/>
              <w:snapToGrid w:val="0"/>
              <w:spacing w:line="240" w:lineRule="auto"/>
              <w:ind w:firstLine="0" w:firstLineChars="0"/>
              <w:rPr>
                <w:rFonts w:cs="Times New Roman"/>
                <w:kern w:val="0"/>
                <w:sz w:val="24"/>
                <w:szCs w:val="24"/>
                <w14:ligatures w14:val="none"/>
              </w:rPr>
            </w:pPr>
            <w:r>
              <w:rPr>
                <w:rFonts w:cs="Times New Roman"/>
                <w:kern w:val="0"/>
                <w:sz w:val="24"/>
                <w:szCs w:val="24"/>
                <w14:ligatures w14:val="none"/>
              </w:rPr>
              <w:t>综合以上情况，本指标扣1分。</w:t>
            </w:r>
          </w:p>
        </w:tc>
        <w:tc>
          <w:tcPr>
            <w:tcW w:w="691" w:type="dxa"/>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1</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67" w:hRule="atLeast"/>
          <w:jc w:val="center"/>
        </w:trPr>
        <w:tc>
          <w:tcPr>
            <w:tcW w:w="776" w:type="dxa"/>
            <w:vMerge w:val="continue"/>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p>
        </w:tc>
        <w:tc>
          <w:tcPr>
            <w:tcW w:w="776" w:type="dxa"/>
            <w:vMerge w:val="continue"/>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p>
        </w:tc>
        <w:tc>
          <w:tcPr>
            <w:tcW w:w="773" w:type="dxa"/>
            <w:vMerge w:val="continue"/>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p>
        </w:tc>
        <w:tc>
          <w:tcPr>
            <w:tcW w:w="772" w:type="dxa"/>
            <w:vMerge w:val="continue"/>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p>
        </w:tc>
        <w:tc>
          <w:tcPr>
            <w:tcW w:w="771" w:type="dxa"/>
            <w:vMerge w:val="continue"/>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p>
        </w:tc>
        <w:tc>
          <w:tcPr>
            <w:tcW w:w="771" w:type="dxa"/>
            <w:vMerge w:val="continue"/>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p>
        </w:tc>
        <w:tc>
          <w:tcPr>
            <w:tcW w:w="771" w:type="dxa"/>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合理性</w:t>
            </w:r>
          </w:p>
        </w:tc>
        <w:tc>
          <w:tcPr>
            <w:tcW w:w="771" w:type="dxa"/>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2</w:t>
            </w:r>
          </w:p>
        </w:tc>
        <w:tc>
          <w:tcPr>
            <w:tcW w:w="2241" w:type="dxa"/>
            <w:shd w:val="clear" w:color="auto" w:fill="auto"/>
            <w:vAlign w:val="center"/>
          </w:tcPr>
          <w:p>
            <w:pPr>
              <w:widowControl/>
              <w:adjustRightInd w:val="0"/>
              <w:snapToGrid w:val="0"/>
              <w:spacing w:line="240" w:lineRule="auto"/>
              <w:ind w:firstLine="0" w:firstLineChars="0"/>
              <w:rPr>
                <w:rFonts w:cs="Times New Roman"/>
                <w:kern w:val="0"/>
                <w:sz w:val="24"/>
                <w:szCs w:val="24"/>
                <w14:ligatures w14:val="none"/>
              </w:rPr>
            </w:pPr>
            <w:r>
              <w:rPr>
                <w:rFonts w:cs="Times New Roman"/>
                <w:kern w:val="0"/>
                <w:sz w:val="24"/>
                <w:szCs w:val="24"/>
                <w14:ligatures w14:val="none"/>
              </w:rPr>
              <w:t>依据相关基础信息和证据判断目标设置的相关性，即绩效目标是否与资金或项目属性特点、支出内容相关，体现决策意图，同时合乎客观实际，据此核定分数。</w:t>
            </w:r>
          </w:p>
        </w:tc>
        <w:tc>
          <w:tcPr>
            <w:tcW w:w="4643" w:type="dxa"/>
            <w:shd w:val="clear" w:color="auto" w:fill="auto"/>
            <w:vAlign w:val="center"/>
          </w:tcPr>
          <w:p>
            <w:pPr>
              <w:widowControl/>
              <w:adjustRightInd w:val="0"/>
              <w:snapToGrid w:val="0"/>
              <w:spacing w:line="240" w:lineRule="auto"/>
              <w:ind w:firstLine="0" w:firstLineChars="0"/>
              <w:rPr>
                <w:rFonts w:cs="Times New Roman"/>
                <w:kern w:val="0"/>
                <w:sz w:val="24"/>
                <w:szCs w:val="24"/>
                <w14:ligatures w14:val="none"/>
              </w:rPr>
            </w:pPr>
            <w:r>
              <w:rPr>
                <w:rFonts w:cs="Times New Roman"/>
                <w:kern w:val="0"/>
                <w:sz w:val="24"/>
                <w:szCs w:val="24"/>
                <w14:ligatures w14:val="none"/>
              </w:rPr>
              <w:t>根据《项目支出绩效目标表（含转移支付项目）》《项目支出绩效自评表》等相关材料，项目绩效目标设置与项目资金支出内容、项目特点基本相关，但部分绩效指标的设置存在以下问题：首先是部分绩效指标归类不准确，如年初将可持续影响指标归类为产出指标，但可持续影响指标为效益指标；然后是部分绩效指标与项目实施的关联性较弱，如时效指标</w:t>
            </w:r>
            <w:r>
              <w:rPr>
                <w:rFonts w:hint="eastAsia" w:ascii="仿宋_GB2312" w:cs="Times New Roman"/>
                <w:kern w:val="0"/>
                <w:sz w:val="24"/>
                <w:szCs w:val="24"/>
                <w14:ligatures w14:val="none"/>
              </w:rPr>
              <w:t>“</w:t>
            </w:r>
            <w:r>
              <w:rPr>
                <w:rFonts w:cs="Times New Roman"/>
                <w:kern w:val="0"/>
                <w:sz w:val="24"/>
                <w:szCs w:val="24"/>
                <w14:ligatures w14:val="none"/>
              </w:rPr>
              <w:t>资料打印的及时性</w:t>
            </w:r>
            <w:r>
              <w:rPr>
                <w:rFonts w:hint="eastAsia" w:ascii="仿宋_GB2312" w:cs="Times New Roman"/>
                <w:kern w:val="0"/>
                <w:sz w:val="24"/>
                <w:szCs w:val="24"/>
                <w14:ligatures w14:val="none"/>
              </w:rPr>
              <w:t>”</w:t>
            </w:r>
            <w:r>
              <w:rPr>
                <w:rFonts w:cs="Times New Roman"/>
                <w:kern w:val="0"/>
                <w:sz w:val="24"/>
                <w:szCs w:val="24"/>
                <w14:ligatures w14:val="none"/>
              </w:rPr>
              <w:t>，实际考核内容未能突出项目实施重点，属于常规性的项目管理要求，与本项目产出、效益和成本无明显关联；最后是部分绩效指标的指标值设置不合理，根据项目施工合同，2023年本项目应竣工验收，但数量指标的指标值设置为</w:t>
            </w:r>
            <w:r>
              <w:rPr>
                <w:rFonts w:hint="eastAsia" w:ascii="仿宋_GB2312" w:cs="Times New Roman"/>
                <w:kern w:val="0"/>
                <w:sz w:val="24"/>
                <w:szCs w:val="24"/>
                <w14:ligatures w14:val="none"/>
              </w:rPr>
              <w:t>“</w:t>
            </w:r>
            <w:r>
              <w:rPr>
                <w:rFonts w:cs="Times New Roman"/>
                <w:kern w:val="0"/>
                <w:sz w:val="24"/>
                <w:szCs w:val="24"/>
                <w14:ligatures w14:val="none"/>
              </w:rPr>
              <w:t>总体进度96%</w:t>
            </w:r>
            <w:r>
              <w:rPr>
                <w:rFonts w:hint="eastAsia" w:ascii="仿宋_GB2312" w:cs="Times New Roman"/>
                <w:kern w:val="0"/>
                <w:sz w:val="24"/>
                <w:szCs w:val="24"/>
                <w14:ligatures w14:val="none"/>
              </w:rPr>
              <w:t>”“</w:t>
            </w:r>
            <w:r>
              <w:rPr>
                <w:rFonts w:cs="Times New Roman"/>
                <w:kern w:val="0"/>
                <w:sz w:val="24"/>
                <w:szCs w:val="24"/>
                <w14:ligatures w14:val="none"/>
              </w:rPr>
              <w:t>周边配套及场地内绿化完成率97%</w:t>
            </w:r>
            <w:r>
              <w:rPr>
                <w:rFonts w:hint="eastAsia" w:ascii="仿宋_GB2312" w:cs="Times New Roman"/>
                <w:kern w:val="0"/>
                <w:sz w:val="24"/>
                <w:szCs w:val="24"/>
                <w14:ligatures w14:val="none"/>
              </w:rPr>
              <w:t>”</w:t>
            </w:r>
            <w:r>
              <w:rPr>
                <w:rFonts w:cs="Times New Roman"/>
                <w:kern w:val="0"/>
                <w:sz w:val="24"/>
                <w:szCs w:val="24"/>
                <w14:ligatures w14:val="none"/>
              </w:rPr>
              <w:t>，不符合项目实施计划要求。</w:t>
            </w:r>
          </w:p>
          <w:p>
            <w:pPr>
              <w:widowControl/>
              <w:adjustRightInd w:val="0"/>
              <w:snapToGrid w:val="0"/>
              <w:spacing w:line="240" w:lineRule="auto"/>
              <w:ind w:firstLine="0" w:firstLineChars="0"/>
              <w:rPr>
                <w:rFonts w:cs="Times New Roman"/>
                <w:kern w:val="0"/>
                <w:sz w:val="24"/>
                <w:szCs w:val="24"/>
                <w14:ligatures w14:val="none"/>
              </w:rPr>
            </w:pPr>
            <w:r>
              <w:rPr>
                <w:rFonts w:cs="Times New Roman"/>
                <w:kern w:val="0"/>
                <w:sz w:val="24"/>
                <w:szCs w:val="24"/>
                <w14:ligatures w14:val="none"/>
              </w:rPr>
              <w:t>综合以上情况，本指标扣1分。</w:t>
            </w:r>
          </w:p>
        </w:tc>
        <w:tc>
          <w:tcPr>
            <w:tcW w:w="691" w:type="dxa"/>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1</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67" w:hRule="atLeast"/>
          <w:jc w:val="center"/>
        </w:trPr>
        <w:tc>
          <w:tcPr>
            <w:tcW w:w="776" w:type="dxa"/>
            <w:vMerge w:val="continue"/>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p>
        </w:tc>
        <w:tc>
          <w:tcPr>
            <w:tcW w:w="776" w:type="dxa"/>
            <w:vMerge w:val="continue"/>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p>
        </w:tc>
        <w:tc>
          <w:tcPr>
            <w:tcW w:w="773" w:type="dxa"/>
            <w:vMerge w:val="continue"/>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p>
        </w:tc>
        <w:tc>
          <w:tcPr>
            <w:tcW w:w="772" w:type="dxa"/>
            <w:vMerge w:val="continue"/>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p>
        </w:tc>
        <w:tc>
          <w:tcPr>
            <w:tcW w:w="771" w:type="dxa"/>
            <w:vMerge w:val="continue"/>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p>
        </w:tc>
        <w:tc>
          <w:tcPr>
            <w:tcW w:w="771" w:type="dxa"/>
            <w:vMerge w:val="continue"/>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p>
        </w:tc>
        <w:tc>
          <w:tcPr>
            <w:tcW w:w="771" w:type="dxa"/>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可衡量性</w:t>
            </w:r>
          </w:p>
        </w:tc>
        <w:tc>
          <w:tcPr>
            <w:tcW w:w="771" w:type="dxa"/>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2</w:t>
            </w:r>
          </w:p>
        </w:tc>
        <w:tc>
          <w:tcPr>
            <w:tcW w:w="2241" w:type="dxa"/>
            <w:shd w:val="clear" w:color="auto" w:fill="auto"/>
            <w:vAlign w:val="center"/>
          </w:tcPr>
          <w:p>
            <w:pPr>
              <w:widowControl/>
              <w:adjustRightInd w:val="0"/>
              <w:snapToGrid w:val="0"/>
              <w:spacing w:line="240" w:lineRule="auto"/>
              <w:ind w:firstLine="0" w:firstLineChars="0"/>
              <w:rPr>
                <w:rFonts w:cs="Times New Roman"/>
                <w:kern w:val="0"/>
                <w:sz w:val="24"/>
                <w:szCs w:val="24"/>
                <w14:ligatures w14:val="none"/>
              </w:rPr>
            </w:pPr>
            <w:r>
              <w:rPr>
                <w:rFonts w:cs="Times New Roman"/>
                <w:kern w:val="0"/>
                <w:sz w:val="24"/>
                <w:szCs w:val="24"/>
                <w14:ligatures w14:val="none"/>
              </w:rPr>
              <w:t>依据相关基础信息和证据判断目标设置的可衡量性，即绩效目标设置是否有数据支撑、是否有可衡量性的产出和效果指标，据此核定分数。</w:t>
            </w:r>
          </w:p>
        </w:tc>
        <w:tc>
          <w:tcPr>
            <w:tcW w:w="4643" w:type="dxa"/>
            <w:shd w:val="clear" w:color="auto" w:fill="auto"/>
            <w:vAlign w:val="center"/>
          </w:tcPr>
          <w:p>
            <w:pPr>
              <w:widowControl/>
              <w:adjustRightInd w:val="0"/>
              <w:snapToGrid w:val="0"/>
              <w:spacing w:line="240" w:lineRule="auto"/>
              <w:ind w:firstLine="0" w:firstLineChars="0"/>
              <w:rPr>
                <w:rFonts w:cs="Times New Roman"/>
                <w:kern w:val="0"/>
                <w:sz w:val="24"/>
                <w:szCs w:val="24"/>
                <w14:ligatures w14:val="none"/>
              </w:rPr>
            </w:pPr>
            <w:r>
              <w:rPr>
                <w:rFonts w:cs="Times New Roman"/>
                <w:kern w:val="0"/>
                <w:sz w:val="24"/>
                <w:szCs w:val="24"/>
                <w14:ligatures w14:val="none"/>
              </w:rPr>
              <w:t>根据《项目支出绩效目标表（含转移支付项目）》《项目支出绩效自评表》等相关材料，项目绩效目标设置可衡量性不足。首先是部分绩效指标名称与指标值不对应，如自评阶段产出指标基本设置为</w:t>
            </w:r>
            <w:r>
              <w:rPr>
                <w:rFonts w:hint="eastAsia" w:ascii="仿宋_GB2312" w:cs="Times New Roman"/>
                <w:kern w:val="0"/>
                <w:sz w:val="24"/>
                <w:szCs w:val="24"/>
                <w14:ligatures w14:val="none"/>
              </w:rPr>
              <w:t>“</w:t>
            </w:r>
            <w:r>
              <w:rPr>
                <w:rFonts w:cs="Times New Roman"/>
                <w:kern w:val="0"/>
                <w:sz w:val="24"/>
                <w:szCs w:val="24"/>
                <w14:ligatures w14:val="none"/>
              </w:rPr>
              <w:t>XX率</w:t>
            </w:r>
            <w:r>
              <w:rPr>
                <w:rFonts w:hint="eastAsia" w:ascii="仿宋_GB2312" w:cs="Times New Roman"/>
                <w:kern w:val="0"/>
                <w:sz w:val="24"/>
                <w:szCs w:val="24"/>
                <w14:ligatures w14:val="none"/>
              </w:rPr>
              <w:t>”</w:t>
            </w:r>
            <w:r>
              <w:rPr>
                <w:rFonts w:cs="Times New Roman"/>
                <w:kern w:val="0"/>
                <w:sz w:val="24"/>
                <w:szCs w:val="24"/>
                <w14:ligatures w14:val="none"/>
              </w:rPr>
              <w:t>，但对应指标值设置为定性表述，未设置为预计达成的百分比。然后是部分绩效指标设置细化量化程度不足，绩效指标考核内容不明确，如年初设置的时效指标</w:t>
            </w:r>
            <w:r>
              <w:rPr>
                <w:rFonts w:hint="eastAsia" w:ascii="仿宋_GB2312" w:cs="Times New Roman"/>
                <w:kern w:val="0"/>
                <w:sz w:val="24"/>
                <w:szCs w:val="24"/>
                <w14:ligatures w14:val="none"/>
              </w:rPr>
              <w:t>“</w:t>
            </w:r>
            <w:r>
              <w:rPr>
                <w:rFonts w:cs="Times New Roman"/>
                <w:kern w:val="0"/>
                <w:sz w:val="24"/>
                <w:szCs w:val="24"/>
                <w14:ligatures w14:val="none"/>
              </w:rPr>
              <w:t>可持续影响指标</w:t>
            </w:r>
            <w:r>
              <w:rPr>
                <w:rFonts w:hint="eastAsia" w:ascii="仿宋_GB2312" w:cs="Times New Roman"/>
                <w:kern w:val="0"/>
                <w:sz w:val="24"/>
                <w:szCs w:val="24"/>
                <w14:ligatures w14:val="none"/>
              </w:rPr>
              <w:t>”</w:t>
            </w:r>
            <w:r>
              <w:rPr>
                <w:rFonts w:cs="Times New Roman"/>
                <w:kern w:val="0"/>
                <w:sz w:val="24"/>
                <w:szCs w:val="24"/>
                <w14:ligatures w14:val="none"/>
              </w:rPr>
              <w:t>的指标值为</w:t>
            </w:r>
            <w:r>
              <w:rPr>
                <w:rFonts w:hint="eastAsia" w:ascii="仿宋_GB2312" w:cs="Times New Roman"/>
                <w:kern w:val="0"/>
                <w:sz w:val="24"/>
                <w:szCs w:val="24"/>
                <w14:ligatures w14:val="none"/>
              </w:rPr>
              <w:t>“</w:t>
            </w:r>
            <w:r>
              <w:rPr>
                <w:rFonts w:cs="Times New Roman"/>
                <w:kern w:val="0"/>
                <w:sz w:val="24"/>
                <w:szCs w:val="24"/>
                <w14:ligatures w14:val="none"/>
              </w:rPr>
              <w:t>健全</w:t>
            </w:r>
            <w:r>
              <w:rPr>
                <w:rFonts w:hint="eastAsia" w:ascii="仿宋_GB2312" w:cs="Times New Roman"/>
                <w:kern w:val="0"/>
                <w:sz w:val="24"/>
                <w:szCs w:val="24"/>
                <w14:ligatures w14:val="none"/>
              </w:rPr>
              <w:t>”</w:t>
            </w:r>
            <w:r>
              <w:rPr>
                <w:rFonts w:cs="Times New Roman"/>
                <w:kern w:val="0"/>
                <w:sz w:val="24"/>
                <w:szCs w:val="24"/>
                <w14:ligatures w14:val="none"/>
              </w:rPr>
              <w:t>，绩效指标考核内容与标准不明确，且指标值未明确达到何种程度为健全，较难准确衡量指标完成情况；如自评阶段设置的可持续影响指标</w:t>
            </w:r>
            <w:r>
              <w:rPr>
                <w:rFonts w:hint="eastAsia" w:ascii="仿宋_GB2312" w:cs="Times New Roman"/>
                <w:kern w:val="0"/>
                <w:sz w:val="24"/>
                <w:szCs w:val="24"/>
                <w14:ligatures w14:val="none"/>
              </w:rPr>
              <w:t>“</w:t>
            </w:r>
            <w:r>
              <w:rPr>
                <w:rFonts w:cs="Times New Roman"/>
                <w:kern w:val="0"/>
                <w:sz w:val="24"/>
                <w:szCs w:val="24"/>
                <w14:ligatures w14:val="none"/>
              </w:rPr>
              <w:t>可持续影响指标</w:t>
            </w:r>
            <w:r>
              <w:rPr>
                <w:rFonts w:hint="eastAsia" w:ascii="仿宋_GB2312" w:cs="Times New Roman"/>
                <w:kern w:val="0"/>
                <w:sz w:val="24"/>
                <w:szCs w:val="24"/>
                <w14:ligatures w14:val="none"/>
              </w:rPr>
              <w:t>”</w:t>
            </w:r>
            <w:r>
              <w:rPr>
                <w:rFonts w:cs="Times New Roman"/>
                <w:kern w:val="0"/>
                <w:sz w:val="24"/>
                <w:szCs w:val="24"/>
                <w14:ligatures w14:val="none"/>
              </w:rPr>
              <w:t>、质量指标</w:t>
            </w:r>
            <w:r>
              <w:rPr>
                <w:rFonts w:hint="eastAsia" w:ascii="仿宋_GB2312" w:cs="Times New Roman"/>
                <w:kern w:val="0"/>
                <w:sz w:val="24"/>
                <w:szCs w:val="24"/>
                <w14:ligatures w14:val="none"/>
              </w:rPr>
              <w:t>“</w:t>
            </w:r>
            <w:r>
              <w:rPr>
                <w:rFonts w:cs="Times New Roman"/>
                <w:kern w:val="0"/>
                <w:sz w:val="24"/>
                <w:szCs w:val="24"/>
                <w14:ligatures w14:val="none"/>
              </w:rPr>
              <w:t>可研报告质量</w:t>
            </w:r>
            <w:r>
              <w:rPr>
                <w:rFonts w:hint="eastAsia" w:ascii="仿宋_GB2312" w:cs="Times New Roman"/>
                <w:kern w:val="0"/>
                <w:sz w:val="24"/>
                <w:szCs w:val="24"/>
                <w14:ligatures w14:val="none"/>
              </w:rPr>
              <w:t>”</w:t>
            </w:r>
            <w:r>
              <w:rPr>
                <w:rFonts w:cs="Times New Roman"/>
                <w:kern w:val="0"/>
                <w:sz w:val="24"/>
                <w:szCs w:val="24"/>
                <w14:ligatures w14:val="none"/>
              </w:rPr>
              <w:t>，均未明确绩效指标实际考核内容。</w:t>
            </w:r>
          </w:p>
          <w:p>
            <w:pPr>
              <w:widowControl/>
              <w:adjustRightInd w:val="0"/>
              <w:snapToGrid w:val="0"/>
              <w:spacing w:line="240" w:lineRule="auto"/>
              <w:ind w:firstLine="0" w:firstLineChars="0"/>
              <w:rPr>
                <w:rFonts w:cs="Times New Roman"/>
                <w:kern w:val="0"/>
                <w:sz w:val="24"/>
                <w:szCs w:val="24"/>
                <w14:ligatures w14:val="none"/>
              </w:rPr>
            </w:pPr>
            <w:r>
              <w:rPr>
                <w:rFonts w:cs="Times New Roman"/>
                <w:kern w:val="0"/>
                <w:sz w:val="24"/>
                <w:szCs w:val="24"/>
                <w14:ligatures w14:val="none"/>
              </w:rPr>
              <w:t>综合以上情况，本指标扣1分。</w:t>
            </w:r>
          </w:p>
        </w:tc>
        <w:tc>
          <w:tcPr>
            <w:tcW w:w="691" w:type="dxa"/>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1</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67" w:hRule="atLeast"/>
          <w:jc w:val="center"/>
        </w:trPr>
        <w:tc>
          <w:tcPr>
            <w:tcW w:w="776" w:type="dxa"/>
            <w:vMerge w:val="continue"/>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p>
        </w:tc>
        <w:tc>
          <w:tcPr>
            <w:tcW w:w="776" w:type="dxa"/>
            <w:vMerge w:val="continue"/>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p>
        </w:tc>
        <w:tc>
          <w:tcPr>
            <w:tcW w:w="773" w:type="dxa"/>
            <w:vMerge w:val="continue"/>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p>
        </w:tc>
        <w:tc>
          <w:tcPr>
            <w:tcW w:w="772" w:type="dxa"/>
            <w:vMerge w:val="continue"/>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p>
        </w:tc>
        <w:tc>
          <w:tcPr>
            <w:tcW w:w="771" w:type="dxa"/>
            <w:vMerge w:val="restart"/>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保障措施</w:t>
            </w:r>
          </w:p>
        </w:tc>
        <w:tc>
          <w:tcPr>
            <w:tcW w:w="771" w:type="dxa"/>
            <w:vMerge w:val="restart"/>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2</w:t>
            </w:r>
          </w:p>
        </w:tc>
        <w:tc>
          <w:tcPr>
            <w:tcW w:w="771" w:type="dxa"/>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制度完整性</w:t>
            </w:r>
          </w:p>
        </w:tc>
        <w:tc>
          <w:tcPr>
            <w:tcW w:w="771" w:type="dxa"/>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1</w:t>
            </w:r>
          </w:p>
        </w:tc>
        <w:tc>
          <w:tcPr>
            <w:tcW w:w="2241" w:type="dxa"/>
            <w:shd w:val="clear" w:color="auto" w:fill="auto"/>
            <w:vAlign w:val="center"/>
          </w:tcPr>
          <w:p>
            <w:pPr>
              <w:widowControl/>
              <w:adjustRightInd w:val="0"/>
              <w:snapToGrid w:val="0"/>
              <w:spacing w:line="240" w:lineRule="auto"/>
              <w:ind w:firstLine="0" w:firstLineChars="0"/>
              <w:rPr>
                <w:rFonts w:cs="Times New Roman"/>
                <w:kern w:val="0"/>
                <w:sz w:val="24"/>
                <w:szCs w:val="24"/>
                <w14:ligatures w14:val="none"/>
              </w:rPr>
            </w:pPr>
            <w:r>
              <w:rPr>
                <w:rFonts w:cs="Times New Roman"/>
                <w:kern w:val="0"/>
                <w:sz w:val="24"/>
                <w:szCs w:val="24"/>
                <w14:ligatures w14:val="none"/>
              </w:rPr>
              <w:t>依据相关基础信息和证据判断制度完整性和是否具备条件实施，根据实际情况核定分数。</w:t>
            </w:r>
          </w:p>
        </w:tc>
        <w:tc>
          <w:tcPr>
            <w:tcW w:w="4643" w:type="dxa"/>
            <w:shd w:val="clear" w:color="auto" w:fill="auto"/>
            <w:vAlign w:val="center"/>
          </w:tcPr>
          <w:p>
            <w:pPr>
              <w:widowControl/>
              <w:adjustRightInd w:val="0"/>
              <w:snapToGrid w:val="0"/>
              <w:spacing w:line="240" w:lineRule="auto"/>
              <w:ind w:firstLine="0" w:firstLineChars="0"/>
              <w:rPr>
                <w:rFonts w:cs="Times New Roman"/>
                <w:kern w:val="0"/>
                <w:sz w:val="24"/>
                <w:szCs w:val="24"/>
                <w14:ligatures w14:val="none"/>
              </w:rPr>
            </w:pPr>
            <w:r>
              <w:rPr>
                <w:rFonts w:cs="Times New Roman"/>
                <w:kern w:val="0"/>
                <w:sz w:val="24"/>
                <w:szCs w:val="24"/>
                <w14:ligatures w14:val="none"/>
              </w:rPr>
              <w:t>根据区公共建设项目管理服务中心提供的《广州市增城区公共建设项目管理服务中心制度汇编》，项目管理制度基本完整齐全，财务管理依据《广州市增城区公共建设项目管理服务中心支出管理制度》执行，项目管理主要根据《广州市增城区公共建设项目管理服务中心项目管理办法》有关要求执行，项目建设各项工作遵循岗位负责制，各司其职、各负其责，结合现场核查情况，本项目为重点建设项目，业主单位为区教育局，且项目投资额较大，但未见区公共建设项目管理服务中心针对本项目特点编制的项目实施专项管理方案，项目实施管理制度有待进一步完善，综合以上情况，本指标扣0.5分。</w:t>
            </w:r>
          </w:p>
        </w:tc>
        <w:tc>
          <w:tcPr>
            <w:tcW w:w="691" w:type="dxa"/>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0.5</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67" w:hRule="atLeast"/>
          <w:jc w:val="center"/>
        </w:trPr>
        <w:tc>
          <w:tcPr>
            <w:tcW w:w="776" w:type="dxa"/>
            <w:vMerge w:val="continue"/>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p>
        </w:tc>
        <w:tc>
          <w:tcPr>
            <w:tcW w:w="776" w:type="dxa"/>
            <w:vMerge w:val="continue"/>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p>
        </w:tc>
        <w:tc>
          <w:tcPr>
            <w:tcW w:w="773" w:type="dxa"/>
            <w:vMerge w:val="continue"/>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p>
        </w:tc>
        <w:tc>
          <w:tcPr>
            <w:tcW w:w="772" w:type="dxa"/>
            <w:vMerge w:val="continue"/>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p>
        </w:tc>
        <w:tc>
          <w:tcPr>
            <w:tcW w:w="771" w:type="dxa"/>
            <w:vMerge w:val="continue"/>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p>
        </w:tc>
        <w:tc>
          <w:tcPr>
            <w:tcW w:w="771" w:type="dxa"/>
            <w:vMerge w:val="continue"/>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p>
        </w:tc>
        <w:tc>
          <w:tcPr>
            <w:tcW w:w="771" w:type="dxa"/>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计划安排合理性</w:t>
            </w:r>
          </w:p>
        </w:tc>
        <w:tc>
          <w:tcPr>
            <w:tcW w:w="771" w:type="dxa"/>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1</w:t>
            </w:r>
          </w:p>
        </w:tc>
        <w:tc>
          <w:tcPr>
            <w:tcW w:w="2241" w:type="dxa"/>
            <w:shd w:val="clear" w:color="auto" w:fill="auto"/>
            <w:vAlign w:val="center"/>
          </w:tcPr>
          <w:p>
            <w:pPr>
              <w:widowControl/>
              <w:adjustRightInd w:val="0"/>
              <w:snapToGrid w:val="0"/>
              <w:spacing w:line="240" w:lineRule="auto"/>
              <w:ind w:firstLine="0" w:firstLineChars="0"/>
              <w:rPr>
                <w:rFonts w:cs="Times New Roman"/>
                <w:kern w:val="0"/>
                <w:sz w:val="24"/>
                <w:szCs w:val="24"/>
                <w14:ligatures w14:val="none"/>
              </w:rPr>
            </w:pPr>
            <w:r>
              <w:rPr>
                <w:rFonts w:cs="Times New Roman"/>
                <w:kern w:val="0"/>
                <w:sz w:val="24"/>
                <w:szCs w:val="24"/>
                <w14:ligatures w14:val="none"/>
              </w:rPr>
              <w:t>依据工作进度计划等相关基础信息和证据判断，并根据实际情况核定分数。</w:t>
            </w:r>
          </w:p>
        </w:tc>
        <w:tc>
          <w:tcPr>
            <w:tcW w:w="4643" w:type="dxa"/>
            <w:shd w:val="clear" w:color="auto" w:fill="auto"/>
            <w:vAlign w:val="center"/>
          </w:tcPr>
          <w:p>
            <w:pPr>
              <w:widowControl/>
              <w:adjustRightInd w:val="0"/>
              <w:snapToGrid w:val="0"/>
              <w:spacing w:line="240" w:lineRule="auto"/>
              <w:ind w:firstLine="0" w:firstLineChars="0"/>
              <w:rPr>
                <w:rFonts w:cs="Times New Roman"/>
                <w:kern w:val="0"/>
                <w:sz w:val="24"/>
                <w:szCs w:val="24"/>
                <w14:ligatures w14:val="none"/>
              </w:rPr>
            </w:pPr>
            <w:r>
              <w:rPr>
                <w:rFonts w:cs="Times New Roman"/>
                <w:kern w:val="0"/>
                <w:sz w:val="24"/>
                <w:szCs w:val="24"/>
                <w14:ligatures w14:val="none"/>
              </w:rPr>
              <w:t>根据《广州市建设工程施工合同》，项目工程合同工期总日历天数为355天。根据区公共建设项目管理服务中心提供的《工程开工令》《单位（子单位）竣工验收报告》，2022年8月5日项目经监理单位批复项目正式开工，2023年7月25日竣工验收，项目实际工期为354个日历天，项目实际工期未超出合同计划工期，项目计划安排基本合理。</w:t>
            </w:r>
          </w:p>
        </w:tc>
        <w:tc>
          <w:tcPr>
            <w:tcW w:w="691" w:type="dxa"/>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1</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67" w:hRule="atLeast"/>
          <w:jc w:val="center"/>
        </w:trPr>
        <w:tc>
          <w:tcPr>
            <w:tcW w:w="776" w:type="dxa"/>
            <w:vMerge w:val="continue"/>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p>
        </w:tc>
        <w:tc>
          <w:tcPr>
            <w:tcW w:w="776" w:type="dxa"/>
            <w:vMerge w:val="continue"/>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p>
        </w:tc>
        <w:tc>
          <w:tcPr>
            <w:tcW w:w="773" w:type="dxa"/>
            <w:vMerge w:val="restart"/>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资金落实</w:t>
            </w:r>
          </w:p>
        </w:tc>
        <w:tc>
          <w:tcPr>
            <w:tcW w:w="772" w:type="dxa"/>
            <w:vMerge w:val="restart"/>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8</w:t>
            </w:r>
          </w:p>
        </w:tc>
        <w:tc>
          <w:tcPr>
            <w:tcW w:w="771" w:type="dxa"/>
            <w:vMerge w:val="restart"/>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资金到位</w:t>
            </w:r>
          </w:p>
        </w:tc>
        <w:tc>
          <w:tcPr>
            <w:tcW w:w="771" w:type="dxa"/>
            <w:vMerge w:val="restart"/>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5</w:t>
            </w:r>
          </w:p>
        </w:tc>
        <w:tc>
          <w:tcPr>
            <w:tcW w:w="771" w:type="dxa"/>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资金到位率</w:t>
            </w:r>
          </w:p>
        </w:tc>
        <w:tc>
          <w:tcPr>
            <w:tcW w:w="771" w:type="dxa"/>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3</w:t>
            </w:r>
          </w:p>
        </w:tc>
        <w:tc>
          <w:tcPr>
            <w:tcW w:w="2241" w:type="dxa"/>
            <w:shd w:val="clear" w:color="auto" w:fill="auto"/>
            <w:vAlign w:val="center"/>
          </w:tcPr>
          <w:p>
            <w:pPr>
              <w:widowControl/>
              <w:adjustRightInd w:val="0"/>
              <w:snapToGrid w:val="0"/>
              <w:spacing w:line="240" w:lineRule="auto"/>
              <w:ind w:firstLine="0" w:firstLineChars="0"/>
              <w:rPr>
                <w:rFonts w:cs="Times New Roman"/>
                <w:kern w:val="0"/>
                <w:sz w:val="24"/>
                <w:szCs w:val="24"/>
                <w14:ligatures w14:val="none"/>
              </w:rPr>
            </w:pPr>
            <w:r>
              <w:rPr>
                <w:rFonts w:cs="Times New Roman"/>
                <w:kern w:val="0"/>
                <w:sz w:val="24"/>
                <w:szCs w:val="24"/>
                <w14:ligatures w14:val="none"/>
              </w:rPr>
              <w:t>1.各类来源的资金足额到位的，得3分；</w:t>
            </w:r>
            <w:r>
              <w:rPr>
                <w:rFonts w:cs="Times New Roman"/>
                <w:kern w:val="0"/>
                <w:sz w:val="24"/>
                <w:szCs w:val="24"/>
                <w14:ligatures w14:val="none"/>
              </w:rPr>
              <w:br w:type="textWrapping"/>
            </w:r>
            <w:r>
              <w:rPr>
                <w:rFonts w:cs="Times New Roman"/>
                <w:kern w:val="0"/>
                <w:sz w:val="24"/>
                <w:szCs w:val="24"/>
                <w14:ligatures w14:val="none"/>
              </w:rPr>
              <w:t>2.各类来源的资金未足额到位的，按实际到位金额/应到位金额*指标分值测算。</w:t>
            </w:r>
          </w:p>
        </w:tc>
        <w:tc>
          <w:tcPr>
            <w:tcW w:w="4643" w:type="dxa"/>
            <w:shd w:val="clear" w:color="auto" w:fill="auto"/>
            <w:vAlign w:val="center"/>
          </w:tcPr>
          <w:p>
            <w:pPr>
              <w:widowControl/>
              <w:adjustRightInd w:val="0"/>
              <w:snapToGrid w:val="0"/>
              <w:spacing w:line="240" w:lineRule="auto"/>
              <w:ind w:firstLine="0" w:firstLineChars="0"/>
              <w:rPr>
                <w:rFonts w:cs="Times New Roman"/>
                <w:kern w:val="0"/>
                <w:sz w:val="24"/>
                <w:szCs w:val="24"/>
                <w14:ligatures w14:val="none"/>
              </w:rPr>
            </w:pPr>
            <w:r>
              <w:rPr>
                <w:rFonts w:cs="Times New Roman"/>
                <w:kern w:val="0"/>
                <w:sz w:val="24"/>
                <w:szCs w:val="24"/>
                <w14:ligatures w14:val="none"/>
              </w:rPr>
              <w:t>根据《2023年广州市增城区公共建设项目管理服务中心部门预算》，项目2023年年初区级财政资金预算为12552.80万元，项目年初预算随部门预算下达；根据《广州市财政局关于提前下达2023年市教育局部门转移支付预算的通知》(穗财教〔2022〕133号)、《增城区教育局关于分解下达</w:t>
            </w:r>
            <w:r>
              <w:rPr>
                <w:rFonts w:hint="eastAsia" w:ascii="仿宋_GB2312" w:cs="Times New Roman"/>
                <w:kern w:val="0"/>
                <w:sz w:val="24"/>
                <w:szCs w:val="24"/>
                <w14:ligatures w14:val="none"/>
              </w:rPr>
              <w:t>“</w:t>
            </w:r>
            <w:r>
              <w:rPr>
                <w:rFonts w:cs="Times New Roman"/>
                <w:kern w:val="0"/>
                <w:sz w:val="24"/>
                <w:szCs w:val="24"/>
                <w14:ligatures w14:val="none"/>
              </w:rPr>
              <w:t>基础教育转移支付专项</w:t>
            </w:r>
            <w:r>
              <w:rPr>
                <w:rFonts w:hint="eastAsia" w:ascii="仿宋_GB2312" w:cs="Times New Roman"/>
                <w:kern w:val="0"/>
                <w:sz w:val="24"/>
                <w:szCs w:val="24"/>
                <w14:ligatures w14:val="none"/>
              </w:rPr>
              <w:t>”</w:t>
            </w:r>
            <w:r>
              <w:rPr>
                <w:rFonts w:cs="Times New Roman"/>
                <w:kern w:val="0"/>
                <w:sz w:val="24"/>
                <w:szCs w:val="24"/>
                <w14:ligatures w14:val="none"/>
              </w:rPr>
              <w:t>资金预算指标的函》（增教函〔2023〕9号）、《关于申请提前安排2023年市教育局部门转移支付预算的函》（增公建中心函〔2023〕13号），2023年下达市级财政资金9000万元。根据《单位指标情况表》，年度预算发生三次调整，一次是年初区级财政资金预算调减232.42万元，一次是调增区级财政资金预算582.2万元，一次是下达市级财政资金7283.83万元。</w:t>
            </w:r>
          </w:p>
          <w:p>
            <w:pPr>
              <w:widowControl/>
              <w:adjustRightInd w:val="0"/>
              <w:snapToGrid w:val="0"/>
              <w:spacing w:line="240" w:lineRule="auto"/>
              <w:ind w:firstLine="0" w:firstLineChars="0"/>
              <w:rPr>
                <w:rFonts w:cs="Times New Roman"/>
                <w:kern w:val="0"/>
                <w:sz w:val="24"/>
                <w:szCs w:val="24"/>
                <w14:ligatures w14:val="none"/>
              </w:rPr>
            </w:pPr>
            <w:r>
              <w:rPr>
                <w:rFonts w:cs="Times New Roman"/>
                <w:kern w:val="0"/>
                <w:sz w:val="24"/>
                <w:szCs w:val="24"/>
                <w14:ligatures w14:val="none"/>
              </w:rPr>
              <w:t>根据《单位指标情况表》，综合以上情况，2023年度项目实际到位资金29186.41万元，资金到位率100%。</w:t>
            </w:r>
          </w:p>
        </w:tc>
        <w:tc>
          <w:tcPr>
            <w:tcW w:w="691" w:type="dxa"/>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3</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67" w:hRule="atLeast"/>
          <w:jc w:val="center"/>
        </w:trPr>
        <w:tc>
          <w:tcPr>
            <w:tcW w:w="776" w:type="dxa"/>
            <w:vMerge w:val="continue"/>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p>
        </w:tc>
        <w:tc>
          <w:tcPr>
            <w:tcW w:w="776" w:type="dxa"/>
            <w:vMerge w:val="continue"/>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p>
        </w:tc>
        <w:tc>
          <w:tcPr>
            <w:tcW w:w="773" w:type="dxa"/>
            <w:vMerge w:val="continue"/>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p>
        </w:tc>
        <w:tc>
          <w:tcPr>
            <w:tcW w:w="772" w:type="dxa"/>
            <w:vMerge w:val="continue"/>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p>
        </w:tc>
        <w:tc>
          <w:tcPr>
            <w:tcW w:w="771" w:type="dxa"/>
            <w:vMerge w:val="continue"/>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p>
        </w:tc>
        <w:tc>
          <w:tcPr>
            <w:tcW w:w="771" w:type="dxa"/>
            <w:vMerge w:val="continue"/>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p>
        </w:tc>
        <w:tc>
          <w:tcPr>
            <w:tcW w:w="771" w:type="dxa"/>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资金到位及时性</w:t>
            </w:r>
          </w:p>
        </w:tc>
        <w:tc>
          <w:tcPr>
            <w:tcW w:w="771" w:type="dxa"/>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2</w:t>
            </w:r>
          </w:p>
        </w:tc>
        <w:tc>
          <w:tcPr>
            <w:tcW w:w="2241" w:type="dxa"/>
            <w:shd w:val="clear" w:color="auto" w:fill="auto"/>
            <w:vAlign w:val="center"/>
          </w:tcPr>
          <w:p>
            <w:pPr>
              <w:widowControl/>
              <w:adjustRightInd w:val="0"/>
              <w:snapToGrid w:val="0"/>
              <w:spacing w:line="240" w:lineRule="auto"/>
              <w:ind w:firstLine="0" w:firstLineChars="0"/>
              <w:rPr>
                <w:rFonts w:cs="Times New Roman"/>
                <w:kern w:val="0"/>
                <w:sz w:val="24"/>
                <w:szCs w:val="24"/>
                <w14:ligatures w14:val="none"/>
              </w:rPr>
            </w:pPr>
            <w:r>
              <w:rPr>
                <w:rFonts w:cs="Times New Roman"/>
                <w:kern w:val="0"/>
                <w:sz w:val="24"/>
                <w:szCs w:val="24"/>
                <w14:ligatures w14:val="none"/>
              </w:rPr>
              <w:t>1.各类来源的资金及时到位的，得2分；</w:t>
            </w:r>
            <w:r>
              <w:rPr>
                <w:rFonts w:cs="Times New Roman"/>
                <w:kern w:val="0"/>
                <w:sz w:val="24"/>
                <w:szCs w:val="24"/>
                <w14:ligatures w14:val="none"/>
              </w:rPr>
              <w:br w:type="textWrapping"/>
            </w:r>
            <w:r>
              <w:rPr>
                <w:rFonts w:cs="Times New Roman"/>
                <w:kern w:val="0"/>
                <w:sz w:val="24"/>
                <w:szCs w:val="24"/>
                <w14:ligatures w14:val="none"/>
              </w:rPr>
              <w:t>2.各类来源的资金未及时到位的，按实际及时到位的金额/应及时到位的金额*指标分值。</w:t>
            </w:r>
          </w:p>
        </w:tc>
        <w:tc>
          <w:tcPr>
            <w:tcW w:w="4643" w:type="dxa"/>
            <w:shd w:val="clear" w:color="auto" w:fill="auto"/>
            <w:vAlign w:val="center"/>
          </w:tcPr>
          <w:p>
            <w:pPr>
              <w:widowControl/>
              <w:adjustRightInd w:val="0"/>
              <w:snapToGrid w:val="0"/>
              <w:spacing w:line="240" w:lineRule="auto"/>
              <w:ind w:firstLine="0" w:firstLineChars="0"/>
              <w:rPr>
                <w:rFonts w:cs="Times New Roman"/>
                <w:kern w:val="0"/>
                <w:sz w:val="24"/>
                <w:szCs w:val="24"/>
                <w14:ligatures w14:val="none"/>
              </w:rPr>
            </w:pPr>
            <w:r>
              <w:rPr>
                <w:rFonts w:cs="Times New Roman"/>
                <w:kern w:val="0"/>
                <w:sz w:val="24"/>
                <w:szCs w:val="24"/>
                <w14:ligatures w14:val="none"/>
              </w:rPr>
              <w:t>根据《2023年广州市增城区公共建设项目管理服务中心部门预算》，项目2023年年初区级财政资金预算为12552.80万元，项目年初预算随部门预算下达；根据《广州市财政局关于提前下达2023年市教育局部门转移支付预算的通知》(穗财教〔2022〕133号)、《增城区教育局关于分解下达</w:t>
            </w:r>
            <w:r>
              <w:rPr>
                <w:rFonts w:hint="eastAsia" w:ascii="仿宋_GB2312" w:cs="Times New Roman"/>
                <w:kern w:val="0"/>
                <w:sz w:val="24"/>
                <w:szCs w:val="24"/>
                <w14:ligatures w14:val="none"/>
              </w:rPr>
              <w:t>“</w:t>
            </w:r>
            <w:r>
              <w:rPr>
                <w:rFonts w:cs="Times New Roman"/>
                <w:kern w:val="0"/>
                <w:sz w:val="24"/>
                <w:szCs w:val="24"/>
                <w14:ligatures w14:val="none"/>
              </w:rPr>
              <w:t>基础教育转移支付专项</w:t>
            </w:r>
            <w:r>
              <w:rPr>
                <w:rFonts w:hint="eastAsia" w:ascii="仿宋_GB2312" w:cs="Times New Roman"/>
                <w:kern w:val="0"/>
                <w:sz w:val="24"/>
                <w:szCs w:val="24"/>
                <w14:ligatures w14:val="none"/>
              </w:rPr>
              <w:t>”</w:t>
            </w:r>
            <w:r>
              <w:rPr>
                <w:rFonts w:cs="Times New Roman"/>
                <w:kern w:val="0"/>
                <w:sz w:val="24"/>
                <w:szCs w:val="24"/>
                <w14:ligatures w14:val="none"/>
              </w:rPr>
              <w:t>资金预算指标的函》（增教函〔2023〕9号）、《关于申请提前安排2023年市教育局部门转移支付预算的函》（增公建中心函〔2023〕13号），2023年下达市级财政资金9000万元。根据《单位指标情况表》，年度预算发生三次调整，一次是年初区级财政资金预算调减232.42万元，一次是调增区级财政资金预算582.2万元，一次是下达市级财政资金7283.83万元。</w:t>
            </w:r>
          </w:p>
          <w:p>
            <w:pPr>
              <w:widowControl/>
              <w:adjustRightInd w:val="0"/>
              <w:snapToGrid w:val="0"/>
              <w:spacing w:line="240" w:lineRule="auto"/>
              <w:ind w:firstLine="0" w:firstLineChars="0"/>
              <w:rPr>
                <w:rFonts w:cs="Times New Roman"/>
                <w:kern w:val="0"/>
                <w:sz w:val="24"/>
                <w:szCs w:val="24"/>
                <w14:ligatures w14:val="none"/>
              </w:rPr>
            </w:pPr>
            <w:r>
              <w:rPr>
                <w:rFonts w:cs="Times New Roman"/>
                <w:kern w:val="0"/>
                <w:sz w:val="24"/>
                <w:szCs w:val="24"/>
                <w14:ligatures w14:val="none"/>
              </w:rPr>
              <w:t>根据《单位指标情况表》，综合以上情况，2023年度项目实际及时到位资金29186.41万元，资金到位及时性100%。</w:t>
            </w:r>
          </w:p>
        </w:tc>
        <w:tc>
          <w:tcPr>
            <w:tcW w:w="691" w:type="dxa"/>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2</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67" w:hRule="atLeast"/>
          <w:jc w:val="center"/>
        </w:trPr>
        <w:tc>
          <w:tcPr>
            <w:tcW w:w="776" w:type="dxa"/>
            <w:vMerge w:val="continue"/>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p>
        </w:tc>
        <w:tc>
          <w:tcPr>
            <w:tcW w:w="776" w:type="dxa"/>
            <w:vMerge w:val="continue"/>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p>
        </w:tc>
        <w:tc>
          <w:tcPr>
            <w:tcW w:w="773" w:type="dxa"/>
            <w:vMerge w:val="continue"/>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p>
        </w:tc>
        <w:tc>
          <w:tcPr>
            <w:tcW w:w="772" w:type="dxa"/>
            <w:vMerge w:val="continue"/>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p>
        </w:tc>
        <w:tc>
          <w:tcPr>
            <w:tcW w:w="771" w:type="dxa"/>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资金分配</w:t>
            </w:r>
          </w:p>
        </w:tc>
        <w:tc>
          <w:tcPr>
            <w:tcW w:w="771" w:type="dxa"/>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3</w:t>
            </w:r>
          </w:p>
        </w:tc>
        <w:tc>
          <w:tcPr>
            <w:tcW w:w="771" w:type="dxa"/>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资金分配合理性</w:t>
            </w:r>
          </w:p>
        </w:tc>
        <w:tc>
          <w:tcPr>
            <w:tcW w:w="771" w:type="dxa"/>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3</w:t>
            </w:r>
          </w:p>
        </w:tc>
        <w:tc>
          <w:tcPr>
            <w:tcW w:w="2241" w:type="dxa"/>
            <w:shd w:val="clear" w:color="auto" w:fill="auto"/>
            <w:vAlign w:val="center"/>
          </w:tcPr>
          <w:p>
            <w:pPr>
              <w:widowControl/>
              <w:adjustRightInd w:val="0"/>
              <w:snapToGrid w:val="0"/>
              <w:spacing w:line="240" w:lineRule="auto"/>
              <w:ind w:firstLine="0" w:firstLineChars="0"/>
              <w:rPr>
                <w:rFonts w:cs="Times New Roman"/>
                <w:kern w:val="0"/>
                <w:sz w:val="24"/>
                <w:szCs w:val="24"/>
                <w14:ligatures w14:val="none"/>
              </w:rPr>
            </w:pPr>
            <w:r>
              <w:rPr>
                <w:rFonts w:cs="Times New Roman"/>
                <w:kern w:val="0"/>
                <w:sz w:val="24"/>
                <w:szCs w:val="24"/>
                <w14:ligatures w14:val="none"/>
              </w:rPr>
              <w:t>依据相关信息和证据判断资金分配是否合理，是否有助于实现资金的绩效目标。</w:t>
            </w:r>
          </w:p>
        </w:tc>
        <w:tc>
          <w:tcPr>
            <w:tcW w:w="4643" w:type="dxa"/>
            <w:shd w:val="clear" w:color="auto" w:fill="auto"/>
            <w:vAlign w:val="center"/>
          </w:tcPr>
          <w:p>
            <w:pPr>
              <w:widowControl/>
              <w:adjustRightInd w:val="0"/>
              <w:snapToGrid w:val="0"/>
              <w:spacing w:line="240" w:lineRule="auto"/>
              <w:ind w:firstLine="0" w:firstLineChars="0"/>
              <w:rPr>
                <w:rFonts w:cs="Times New Roman"/>
                <w:kern w:val="0"/>
                <w:sz w:val="24"/>
                <w:szCs w:val="24"/>
                <w14:ligatures w14:val="none"/>
              </w:rPr>
            </w:pPr>
            <w:r>
              <w:rPr>
                <w:rFonts w:cs="Times New Roman"/>
                <w:kern w:val="0"/>
                <w:sz w:val="24"/>
                <w:szCs w:val="24"/>
                <w14:ligatures w14:val="none"/>
              </w:rPr>
              <w:t>根据《2023年广州市增城区公共建设项目管理服务中心部门预算》及项目支出明细账，本项目根据相关合同及实施进度支付工程进度款、工人工资、监理费、设计费等，资金分配基本合理。</w:t>
            </w:r>
          </w:p>
        </w:tc>
        <w:tc>
          <w:tcPr>
            <w:tcW w:w="691" w:type="dxa"/>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3</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67" w:hRule="atLeast"/>
          <w:jc w:val="center"/>
        </w:trPr>
        <w:tc>
          <w:tcPr>
            <w:tcW w:w="776" w:type="dxa"/>
            <w:vMerge w:val="restart"/>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过程</w:t>
            </w:r>
          </w:p>
        </w:tc>
        <w:tc>
          <w:tcPr>
            <w:tcW w:w="776" w:type="dxa"/>
            <w:vMerge w:val="restart"/>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20</w:t>
            </w:r>
          </w:p>
        </w:tc>
        <w:tc>
          <w:tcPr>
            <w:tcW w:w="773" w:type="dxa"/>
            <w:vMerge w:val="restart"/>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资金管理</w:t>
            </w:r>
          </w:p>
        </w:tc>
        <w:tc>
          <w:tcPr>
            <w:tcW w:w="772" w:type="dxa"/>
            <w:vMerge w:val="restart"/>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12</w:t>
            </w:r>
          </w:p>
        </w:tc>
        <w:tc>
          <w:tcPr>
            <w:tcW w:w="771" w:type="dxa"/>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资金支付</w:t>
            </w:r>
          </w:p>
        </w:tc>
        <w:tc>
          <w:tcPr>
            <w:tcW w:w="771" w:type="dxa"/>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6</w:t>
            </w:r>
          </w:p>
        </w:tc>
        <w:tc>
          <w:tcPr>
            <w:tcW w:w="771" w:type="dxa"/>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资金支出率</w:t>
            </w:r>
          </w:p>
        </w:tc>
        <w:tc>
          <w:tcPr>
            <w:tcW w:w="771" w:type="dxa"/>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6</w:t>
            </w:r>
          </w:p>
        </w:tc>
        <w:tc>
          <w:tcPr>
            <w:tcW w:w="2241" w:type="dxa"/>
            <w:shd w:val="clear" w:color="auto" w:fill="auto"/>
            <w:vAlign w:val="center"/>
          </w:tcPr>
          <w:p>
            <w:pPr>
              <w:widowControl/>
              <w:adjustRightInd w:val="0"/>
              <w:snapToGrid w:val="0"/>
              <w:spacing w:line="240" w:lineRule="auto"/>
              <w:ind w:firstLine="0" w:firstLineChars="0"/>
              <w:rPr>
                <w:rFonts w:cs="Times New Roman"/>
                <w:kern w:val="0"/>
                <w:sz w:val="24"/>
                <w:szCs w:val="24"/>
                <w14:ligatures w14:val="none"/>
              </w:rPr>
            </w:pPr>
            <w:r>
              <w:rPr>
                <w:rFonts w:cs="Times New Roman"/>
                <w:kern w:val="0"/>
                <w:sz w:val="24"/>
                <w:szCs w:val="24"/>
                <w14:ligatures w14:val="none"/>
              </w:rPr>
              <w:t>主要依据</w:t>
            </w:r>
            <w:r>
              <w:rPr>
                <w:rFonts w:hint="eastAsia" w:ascii="仿宋_GB2312" w:cs="Times New Roman"/>
                <w:kern w:val="0"/>
                <w:sz w:val="24"/>
                <w:szCs w:val="24"/>
                <w14:ligatures w14:val="none"/>
              </w:rPr>
              <w:t>“</w:t>
            </w:r>
            <w:r>
              <w:rPr>
                <w:rFonts w:cs="Times New Roman"/>
                <w:kern w:val="0"/>
                <w:sz w:val="24"/>
                <w:szCs w:val="24"/>
                <w14:ligatures w14:val="none"/>
              </w:rPr>
              <w:t>支付额/预算额度*100*指标权重</w:t>
            </w:r>
            <w:r>
              <w:rPr>
                <w:rFonts w:hint="eastAsia" w:ascii="仿宋_GB2312" w:cs="Times New Roman"/>
                <w:kern w:val="0"/>
                <w:sz w:val="24"/>
                <w:szCs w:val="24"/>
                <w14:ligatures w14:val="none"/>
              </w:rPr>
              <w:t>”</w:t>
            </w:r>
            <w:r>
              <w:rPr>
                <w:rFonts w:cs="Times New Roman"/>
                <w:kern w:val="0"/>
                <w:sz w:val="24"/>
                <w:szCs w:val="24"/>
                <w14:ligatures w14:val="none"/>
              </w:rPr>
              <w:t>计算核定得分，同时综合考虑工作进度，以及是否垫资或履行支付手续而影响支出率等因素适当调整最后得分。</w:t>
            </w:r>
          </w:p>
        </w:tc>
        <w:tc>
          <w:tcPr>
            <w:tcW w:w="4643" w:type="dxa"/>
            <w:shd w:val="clear" w:color="auto" w:fill="auto"/>
            <w:vAlign w:val="center"/>
          </w:tcPr>
          <w:p>
            <w:pPr>
              <w:widowControl/>
              <w:adjustRightInd w:val="0"/>
              <w:snapToGrid w:val="0"/>
              <w:spacing w:line="240" w:lineRule="auto"/>
              <w:ind w:firstLine="0" w:firstLineChars="0"/>
              <w:rPr>
                <w:rFonts w:cs="Times New Roman"/>
                <w:kern w:val="0"/>
                <w:sz w:val="24"/>
                <w:szCs w:val="24"/>
                <w14:ligatures w14:val="none"/>
              </w:rPr>
            </w:pPr>
            <w:r>
              <w:rPr>
                <w:rFonts w:cs="Times New Roman"/>
                <w:kern w:val="0"/>
                <w:sz w:val="24"/>
                <w:szCs w:val="24"/>
                <w14:ligatures w14:val="none"/>
              </w:rPr>
              <w:t>根据《广州市财政局关于提前下达2023年市教育局部门转移支付预算的通知》(穗财教〔2022〕133号)、《增城区教育局关于分解下达</w:t>
            </w:r>
            <w:r>
              <w:rPr>
                <w:rFonts w:hint="eastAsia" w:ascii="仿宋_GB2312" w:cs="Times New Roman"/>
                <w:kern w:val="0"/>
                <w:sz w:val="24"/>
                <w:szCs w:val="24"/>
                <w14:ligatures w14:val="none"/>
              </w:rPr>
              <w:t>“</w:t>
            </w:r>
            <w:r>
              <w:rPr>
                <w:rFonts w:cs="Times New Roman"/>
                <w:kern w:val="0"/>
                <w:sz w:val="24"/>
                <w:szCs w:val="24"/>
                <w14:ligatures w14:val="none"/>
              </w:rPr>
              <w:t>基础教育转移支付专项</w:t>
            </w:r>
            <w:r>
              <w:rPr>
                <w:rFonts w:hint="eastAsia" w:ascii="仿宋_GB2312" w:cs="Times New Roman"/>
                <w:kern w:val="0"/>
                <w:sz w:val="24"/>
                <w:szCs w:val="24"/>
                <w14:ligatures w14:val="none"/>
              </w:rPr>
              <w:t>”</w:t>
            </w:r>
            <w:r>
              <w:rPr>
                <w:rFonts w:cs="Times New Roman"/>
                <w:kern w:val="0"/>
                <w:sz w:val="24"/>
                <w:szCs w:val="24"/>
                <w14:ligatures w14:val="none"/>
              </w:rPr>
              <w:t>资金预算指标的函》（增教函〔2023〕9号）、《关于申请提前安排2023年市教育局部门转移支付预算的函》（增公建中心函〔2023〕13号），2023年下达市级财政资金9000万元。</w:t>
            </w:r>
          </w:p>
          <w:p>
            <w:pPr>
              <w:widowControl/>
              <w:adjustRightInd w:val="0"/>
              <w:snapToGrid w:val="0"/>
              <w:spacing w:line="240" w:lineRule="auto"/>
              <w:ind w:firstLine="0" w:firstLineChars="0"/>
              <w:rPr>
                <w:rFonts w:cs="Times New Roman"/>
                <w:kern w:val="0"/>
                <w:sz w:val="24"/>
                <w:szCs w:val="24"/>
                <w14:ligatures w14:val="none"/>
              </w:rPr>
            </w:pPr>
            <w:r>
              <w:rPr>
                <w:rFonts w:cs="Times New Roman"/>
                <w:kern w:val="0"/>
                <w:sz w:val="24"/>
                <w:szCs w:val="24"/>
                <w14:ligatures w14:val="none"/>
              </w:rPr>
              <w:t>根据《2023年广州市增城区公共建设项目管理服务中心部门预算》，项目2023年年初区级财政资金预算为12552.80万元。根据《单位指标情况表》，年度预算发生三次调整，一次是年初区级财政资金预算调减232.42万元，一次是调增区级财政资金预算582.2万元，一次是下达市级财政资金7283.83万元。综合以上情况，项目年度预算为29186.41万元。</w:t>
            </w:r>
          </w:p>
          <w:p>
            <w:pPr>
              <w:widowControl/>
              <w:adjustRightInd w:val="0"/>
              <w:snapToGrid w:val="0"/>
              <w:spacing w:line="240" w:lineRule="auto"/>
              <w:ind w:firstLine="0" w:firstLineChars="0"/>
              <w:rPr>
                <w:rFonts w:cs="Times New Roman"/>
                <w:kern w:val="0"/>
                <w:sz w:val="24"/>
                <w:szCs w:val="24"/>
                <w14:ligatures w14:val="none"/>
              </w:rPr>
            </w:pPr>
            <w:r>
              <w:rPr>
                <w:rFonts w:cs="Times New Roman"/>
                <w:kern w:val="0"/>
                <w:sz w:val="24"/>
                <w:szCs w:val="24"/>
                <w14:ligatures w14:val="none"/>
              </w:rPr>
              <w:t>根据区公共建设项目管理服务中心提供的项目明细账，截至2023年12月31日，项目支出金额为29186.41万元，预算支出率为100%。</w:t>
            </w:r>
          </w:p>
        </w:tc>
        <w:tc>
          <w:tcPr>
            <w:tcW w:w="691" w:type="dxa"/>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6</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67" w:hRule="atLeast"/>
          <w:jc w:val="center"/>
        </w:trPr>
        <w:tc>
          <w:tcPr>
            <w:tcW w:w="776" w:type="dxa"/>
            <w:vMerge w:val="continue"/>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p>
        </w:tc>
        <w:tc>
          <w:tcPr>
            <w:tcW w:w="776" w:type="dxa"/>
            <w:vMerge w:val="continue"/>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p>
        </w:tc>
        <w:tc>
          <w:tcPr>
            <w:tcW w:w="773" w:type="dxa"/>
            <w:vMerge w:val="continue"/>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p>
        </w:tc>
        <w:tc>
          <w:tcPr>
            <w:tcW w:w="772" w:type="dxa"/>
            <w:vMerge w:val="continue"/>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p>
        </w:tc>
        <w:tc>
          <w:tcPr>
            <w:tcW w:w="771" w:type="dxa"/>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支出规范性</w:t>
            </w:r>
          </w:p>
        </w:tc>
        <w:tc>
          <w:tcPr>
            <w:tcW w:w="771" w:type="dxa"/>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6</w:t>
            </w:r>
          </w:p>
        </w:tc>
        <w:tc>
          <w:tcPr>
            <w:tcW w:w="771" w:type="dxa"/>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支出规范性</w:t>
            </w:r>
          </w:p>
        </w:tc>
        <w:tc>
          <w:tcPr>
            <w:tcW w:w="771" w:type="dxa"/>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6</w:t>
            </w:r>
          </w:p>
        </w:tc>
        <w:tc>
          <w:tcPr>
            <w:tcW w:w="2241" w:type="dxa"/>
            <w:shd w:val="clear" w:color="auto" w:fill="auto"/>
            <w:vAlign w:val="center"/>
          </w:tcPr>
          <w:p>
            <w:pPr>
              <w:widowControl/>
              <w:adjustRightInd w:val="0"/>
              <w:snapToGrid w:val="0"/>
              <w:spacing w:line="240" w:lineRule="auto"/>
              <w:ind w:firstLine="0" w:firstLineChars="0"/>
              <w:rPr>
                <w:rFonts w:cs="Times New Roman"/>
                <w:kern w:val="0"/>
                <w:sz w:val="24"/>
                <w:szCs w:val="24"/>
                <w14:ligatures w14:val="none"/>
              </w:rPr>
            </w:pPr>
            <w:r>
              <w:rPr>
                <w:rFonts w:cs="Times New Roman"/>
                <w:kern w:val="0"/>
                <w:sz w:val="24"/>
                <w:szCs w:val="24"/>
                <w14:ligatures w14:val="none"/>
              </w:rPr>
              <w:t>1.预算执行规范性2分，按规定履行调整报批手续或未发生调整的，且按事项完成进度支付资金的得满分，否则酌情扣分。2.事项支出的合规性2分，资金管理、费用标准、支付符合有关制度规定的得满分，超范围、超标准支出，虚列支出，截留、挤占、挪用资金的，以及其他不符合制度规定支出的，视情节严重情况扣分，直至扣到0分。3.会计核算规范性2分，规范执行会计核算制度得满分，未按规定设专账核算，或支出凭证不符合规定，或其他核算不规范的，视具体情况扣分。</w:t>
            </w:r>
          </w:p>
        </w:tc>
        <w:tc>
          <w:tcPr>
            <w:tcW w:w="4643" w:type="dxa"/>
            <w:shd w:val="clear" w:color="auto" w:fill="auto"/>
            <w:vAlign w:val="center"/>
          </w:tcPr>
          <w:p>
            <w:pPr>
              <w:widowControl/>
              <w:adjustRightInd w:val="0"/>
              <w:snapToGrid w:val="0"/>
              <w:spacing w:line="240" w:lineRule="auto"/>
              <w:ind w:firstLine="0" w:firstLineChars="0"/>
              <w:rPr>
                <w:rFonts w:cs="Times New Roman"/>
                <w:kern w:val="0"/>
                <w:sz w:val="24"/>
                <w:szCs w:val="24"/>
                <w14:ligatures w14:val="none"/>
              </w:rPr>
            </w:pPr>
            <w:r>
              <w:rPr>
                <w:rFonts w:cs="Times New Roman"/>
                <w:kern w:val="0"/>
                <w:sz w:val="24"/>
                <w:szCs w:val="24"/>
                <w14:ligatures w14:val="none"/>
              </w:rPr>
              <w:t>根据区公共建设项目管理服务中心提供的项目资金支出相关材料，结合现场核查情况，各项支出根据相关合同及实施进度支付，项目财务管理按照广州市增城区公共建设项目管理服务中心支出管理制度》执行，但项目财务管理存在财务资料不够完整规范的问题，如现场抽查2023年记账-01-0049号会计凭证，未附支付依据或相关文件，支出付款依据不够完整规范。综合以上情况，本指标扣1分。</w:t>
            </w:r>
          </w:p>
        </w:tc>
        <w:tc>
          <w:tcPr>
            <w:tcW w:w="691" w:type="dxa"/>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5</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67" w:hRule="atLeast"/>
          <w:jc w:val="center"/>
        </w:trPr>
        <w:tc>
          <w:tcPr>
            <w:tcW w:w="776" w:type="dxa"/>
            <w:vMerge w:val="continue"/>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p>
        </w:tc>
        <w:tc>
          <w:tcPr>
            <w:tcW w:w="776" w:type="dxa"/>
            <w:vMerge w:val="continue"/>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p>
        </w:tc>
        <w:tc>
          <w:tcPr>
            <w:tcW w:w="773" w:type="dxa"/>
            <w:vMerge w:val="restart"/>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事项管理</w:t>
            </w:r>
          </w:p>
        </w:tc>
        <w:tc>
          <w:tcPr>
            <w:tcW w:w="772" w:type="dxa"/>
            <w:vMerge w:val="restart"/>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8</w:t>
            </w:r>
          </w:p>
        </w:tc>
        <w:tc>
          <w:tcPr>
            <w:tcW w:w="771" w:type="dxa"/>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实施程序</w:t>
            </w:r>
          </w:p>
        </w:tc>
        <w:tc>
          <w:tcPr>
            <w:tcW w:w="771" w:type="dxa"/>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4</w:t>
            </w:r>
          </w:p>
        </w:tc>
        <w:tc>
          <w:tcPr>
            <w:tcW w:w="771" w:type="dxa"/>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程序规范性</w:t>
            </w:r>
          </w:p>
        </w:tc>
        <w:tc>
          <w:tcPr>
            <w:tcW w:w="771" w:type="dxa"/>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4</w:t>
            </w:r>
          </w:p>
        </w:tc>
        <w:tc>
          <w:tcPr>
            <w:tcW w:w="2241" w:type="dxa"/>
            <w:shd w:val="clear" w:color="auto" w:fill="auto"/>
            <w:vAlign w:val="center"/>
          </w:tcPr>
          <w:p>
            <w:pPr>
              <w:widowControl/>
              <w:adjustRightInd w:val="0"/>
              <w:snapToGrid w:val="0"/>
              <w:spacing w:line="240" w:lineRule="auto"/>
              <w:ind w:firstLine="0" w:firstLineChars="0"/>
              <w:rPr>
                <w:rFonts w:cs="Times New Roman"/>
                <w:kern w:val="0"/>
                <w:sz w:val="24"/>
                <w:szCs w:val="24"/>
                <w14:ligatures w14:val="none"/>
              </w:rPr>
            </w:pPr>
            <w:r>
              <w:rPr>
                <w:rFonts w:cs="Times New Roman"/>
                <w:kern w:val="0"/>
                <w:sz w:val="24"/>
                <w:szCs w:val="24"/>
                <w14:ligatures w14:val="none"/>
              </w:rPr>
              <w:t>项目或方案按规定程序实施，包括项目或方案调整按规定履行报批手续，项目招投标、建设、验收等或方案实施严格执行相关制度规定的，得满分，否则酌情扣分。</w:t>
            </w:r>
          </w:p>
        </w:tc>
        <w:tc>
          <w:tcPr>
            <w:tcW w:w="4643" w:type="dxa"/>
            <w:shd w:val="clear" w:color="auto" w:fill="auto"/>
            <w:vAlign w:val="center"/>
          </w:tcPr>
          <w:p>
            <w:pPr>
              <w:widowControl/>
              <w:adjustRightInd w:val="0"/>
              <w:snapToGrid w:val="0"/>
              <w:spacing w:line="240" w:lineRule="auto"/>
              <w:ind w:firstLine="0" w:firstLineChars="0"/>
              <w:rPr>
                <w:rFonts w:cs="Times New Roman"/>
                <w:kern w:val="0"/>
                <w:sz w:val="24"/>
                <w:szCs w:val="24"/>
                <w14:ligatures w14:val="none"/>
              </w:rPr>
            </w:pPr>
            <w:r>
              <w:rPr>
                <w:rFonts w:cs="Times New Roman"/>
                <w:kern w:val="0"/>
                <w:sz w:val="24"/>
                <w:szCs w:val="24"/>
                <w14:ligatures w14:val="none"/>
              </w:rPr>
              <w:t>根据区公共建设项目管理服务中心提供的《广州市增城区公共建设项目管理服务中心制度汇编》、《广州市增城区发展和改革局关于增城区应元学校高中部建设项目可行性研究报告的复函》（穗增发改投批〔2022〕21号）及项目实施相关材料，项目的立项、实施和管理工作根据部门项目管理、财务管理及合同要求开展，工程竣工验收基本按照相关制度规定执行，项目变更及第三方检测手续基本完整。</w:t>
            </w:r>
          </w:p>
        </w:tc>
        <w:tc>
          <w:tcPr>
            <w:tcW w:w="691" w:type="dxa"/>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4</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67" w:hRule="atLeast"/>
          <w:jc w:val="center"/>
        </w:trPr>
        <w:tc>
          <w:tcPr>
            <w:tcW w:w="776" w:type="dxa"/>
            <w:vMerge w:val="continue"/>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p>
        </w:tc>
        <w:tc>
          <w:tcPr>
            <w:tcW w:w="776" w:type="dxa"/>
            <w:vMerge w:val="continue"/>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p>
        </w:tc>
        <w:tc>
          <w:tcPr>
            <w:tcW w:w="773" w:type="dxa"/>
            <w:vMerge w:val="continue"/>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p>
        </w:tc>
        <w:tc>
          <w:tcPr>
            <w:tcW w:w="772" w:type="dxa"/>
            <w:vMerge w:val="continue"/>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p>
        </w:tc>
        <w:tc>
          <w:tcPr>
            <w:tcW w:w="771" w:type="dxa"/>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管理情况</w:t>
            </w:r>
          </w:p>
        </w:tc>
        <w:tc>
          <w:tcPr>
            <w:tcW w:w="771" w:type="dxa"/>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4</w:t>
            </w:r>
          </w:p>
        </w:tc>
        <w:tc>
          <w:tcPr>
            <w:tcW w:w="771" w:type="dxa"/>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监管有效性</w:t>
            </w:r>
          </w:p>
        </w:tc>
        <w:tc>
          <w:tcPr>
            <w:tcW w:w="771" w:type="dxa"/>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4</w:t>
            </w:r>
          </w:p>
        </w:tc>
        <w:tc>
          <w:tcPr>
            <w:tcW w:w="2241" w:type="dxa"/>
            <w:shd w:val="clear" w:color="auto" w:fill="auto"/>
            <w:vAlign w:val="center"/>
          </w:tcPr>
          <w:p>
            <w:pPr>
              <w:widowControl/>
              <w:adjustRightInd w:val="0"/>
              <w:snapToGrid w:val="0"/>
              <w:spacing w:line="240" w:lineRule="auto"/>
              <w:ind w:firstLine="0" w:firstLineChars="0"/>
              <w:rPr>
                <w:rFonts w:cs="Times New Roman"/>
                <w:kern w:val="0"/>
                <w:sz w:val="24"/>
                <w:szCs w:val="24"/>
                <w14:ligatures w14:val="none"/>
              </w:rPr>
            </w:pPr>
            <w:r>
              <w:rPr>
                <w:rFonts w:cs="Times New Roman"/>
                <w:kern w:val="0"/>
                <w:sz w:val="24"/>
                <w:szCs w:val="24"/>
                <w14:ligatures w14:val="none"/>
              </w:rPr>
              <w:t>1.资金使用单位或基层资金管理单位建立有效管理机制，且执行情况良好得2分，具体根据所提供的信息证据作出判断并核定分数。</w:t>
            </w:r>
            <w:r>
              <w:rPr>
                <w:rFonts w:cs="Times New Roman"/>
                <w:kern w:val="0"/>
                <w:sz w:val="24"/>
                <w:szCs w:val="24"/>
                <w14:ligatures w14:val="none"/>
              </w:rPr>
              <w:br w:type="textWrapping"/>
            </w:r>
            <w:r>
              <w:rPr>
                <w:rFonts w:cs="Times New Roman"/>
                <w:kern w:val="0"/>
                <w:sz w:val="24"/>
                <w:szCs w:val="24"/>
                <w14:ligatures w14:val="none"/>
              </w:rPr>
              <w:t>2.具体根据所提供的信息证据作出判断，如各级业务主管部门按规定对项目建设或方案实施开展有效的检查、监控、督促整改的，得2分；否则，视情况扣分。</w:t>
            </w:r>
          </w:p>
        </w:tc>
        <w:tc>
          <w:tcPr>
            <w:tcW w:w="4643" w:type="dxa"/>
            <w:shd w:val="clear" w:color="auto" w:fill="auto"/>
            <w:vAlign w:val="center"/>
          </w:tcPr>
          <w:p>
            <w:pPr>
              <w:widowControl/>
              <w:adjustRightInd w:val="0"/>
              <w:snapToGrid w:val="0"/>
              <w:spacing w:line="240" w:lineRule="auto"/>
              <w:ind w:firstLine="0" w:firstLineChars="0"/>
              <w:rPr>
                <w:rFonts w:cs="Times New Roman"/>
                <w:kern w:val="0"/>
                <w:sz w:val="24"/>
                <w:szCs w:val="24"/>
                <w14:ligatures w14:val="none"/>
              </w:rPr>
            </w:pPr>
            <w:r>
              <w:rPr>
                <w:rFonts w:cs="Times New Roman"/>
                <w:kern w:val="0"/>
                <w:sz w:val="24"/>
                <w:szCs w:val="24"/>
                <w14:ligatures w14:val="none"/>
              </w:rPr>
              <w:t>根据区公共建设项目管理服务中心提供的项目实施相关材料，项目依据《广州市增城区公共建设项目管理服务中心项目管理办法》建立巡查制度，由工程管理部安排项目现场人员监管，并定期组织对所管辖项目分批进行巡查，对项目质量状况进行检查、分析，向中心分管领导、主要领导报送巡查情况，监理单位依据合同对项目进行日常巡查管理。结合现场核查情况，项目监管力度有待加强：一是项目已于2023年8月10日移交学校使用，但截至现场核查时间，未完成消防验收、人防验收等工作，且结算工作未进入审核阶段，项目整体实施进度需加快推进；二是经现场核查，报告厅首层外地台出现质量问题，区公共建设项目管理服务中心反馈意见为报告厅首层室外地面的透水砖局部出现下沉，且截至现场核查时间，项目联合验收尚未完成，项目需加大日常巡查及维护管理力度。</w:t>
            </w:r>
          </w:p>
          <w:p>
            <w:pPr>
              <w:widowControl/>
              <w:adjustRightInd w:val="0"/>
              <w:snapToGrid w:val="0"/>
              <w:spacing w:line="240" w:lineRule="auto"/>
              <w:ind w:firstLine="0" w:firstLineChars="0"/>
              <w:rPr>
                <w:rFonts w:cs="Times New Roman"/>
                <w:kern w:val="0"/>
                <w:sz w:val="24"/>
                <w:szCs w:val="24"/>
                <w14:ligatures w14:val="none"/>
              </w:rPr>
            </w:pPr>
            <w:r>
              <w:rPr>
                <w:rFonts w:cs="Times New Roman"/>
                <w:kern w:val="0"/>
                <w:sz w:val="24"/>
                <w:szCs w:val="24"/>
                <w14:ligatures w14:val="none"/>
              </w:rPr>
              <w:t>综合以上情况，本指标扣1.5分。</w:t>
            </w:r>
          </w:p>
        </w:tc>
        <w:tc>
          <w:tcPr>
            <w:tcW w:w="691" w:type="dxa"/>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2.5</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67" w:hRule="atLeast"/>
          <w:jc w:val="center"/>
        </w:trPr>
        <w:tc>
          <w:tcPr>
            <w:tcW w:w="776" w:type="dxa"/>
            <w:vMerge w:val="restart"/>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产出</w:t>
            </w:r>
          </w:p>
        </w:tc>
        <w:tc>
          <w:tcPr>
            <w:tcW w:w="776" w:type="dxa"/>
            <w:vMerge w:val="restart"/>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30</w:t>
            </w:r>
          </w:p>
        </w:tc>
        <w:tc>
          <w:tcPr>
            <w:tcW w:w="773" w:type="dxa"/>
            <w:vMerge w:val="restart"/>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经济性</w:t>
            </w:r>
          </w:p>
        </w:tc>
        <w:tc>
          <w:tcPr>
            <w:tcW w:w="772" w:type="dxa"/>
            <w:vMerge w:val="restart"/>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5</w:t>
            </w:r>
          </w:p>
        </w:tc>
        <w:tc>
          <w:tcPr>
            <w:tcW w:w="771" w:type="dxa"/>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预算控制</w:t>
            </w:r>
          </w:p>
        </w:tc>
        <w:tc>
          <w:tcPr>
            <w:tcW w:w="771" w:type="dxa"/>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3</w:t>
            </w:r>
          </w:p>
        </w:tc>
        <w:tc>
          <w:tcPr>
            <w:tcW w:w="771" w:type="dxa"/>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预算控制</w:t>
            </w:r>
          </w:p>
        </w:tc>
        <w:tc>
          <w:tcPr>
            <w:tcW w:w="771" w:type="dxa"/>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3</w:t>
            </w:r>
          </w:p>
        </w:tc>
        <w:tc>
          <w:tcPr>
            <w:tcW w:w="2241" w:type="dxa"/>
            <w:shd w:val="clear" w:color="auto" w:fill="auto"/>
            <w:vAlign w:val="center"/>
          </w:tcPr>
          <w:p>
            <w:pPr>
              <w:widowControl/>
              <w:adjustRightInd w:val="0"/>
              <w:snapToGrid w:val="0"/>
              <w:spacing w:line="240" w:lineRule="auto"/>
              <w:ind w:firstLine="0" w:firstLineChars="0"/>
              <w:rPr>
                <w:rFonts w:cs="Times New Roman"/>
                <w:kern w:val="0"/>
                <w:sz w:val="24"/>
                <w:szCs w:val="24"/>
                <w14:ligatures w14:val="none"/>
              </w:rPr>
            </w:pPr>
            <w:r>
              <w:rPr>
                <w:rFonts w:cs="Times New Roman"/>
                <w:kern w:val="0"/>
                <w:sz w:val="24"/>
                <w:szCs w:val="24"/>
                <w14:ligatures w14:val="none"/>
              </w:rPr>
              <w:t>在预算执行进度与事项完成进度基本匹配的前提下，实际支出未超过预算计划的，得满分；实际支出超过预算的，或者支出未能保障事项相应完成进度的，酌情扣分。</w:t>
            </w:r>
          </w:p>
        </w:tc>
        <w:tc>
          <w:tcPr>
            <w:tcW w:w="4643" w:type="dxa"/>
            <w:shd w:val="clear" w:color="auto" w:fill="auto"/>
            <w:vAlign w:val="center"/>
          </w:tcPr>
          <w:p>
            <w:pPr>
              <w:widowControl/>
              <w:adjustRightInd w:val="0"/>
              <w:snapToGrid w:val="0"/>
              <w:spacing w:line="240" w:lineRule="auto"/>
              <w:ind w:firstLine="0" w:firstLineChars="0"/>
              <w:rPr>
                <w:rFonts w:cs="Times New Roman"/>
                <w:kern w:val="0"/>
                <w:sz w:val="24"/>
                <w:szCs w:val="24"/>
                <w14:ligatures w14:val="none"/>
              </w:rPr>
            </w:pPr>
            <w:r>
              <w:rPr>
                <w:rFonts w:cs="Times New Roman"/>
                <w:kern w:val="0"/>
                <w:sz w:val="24"/>
                <w:szCs w:val="24"/>
                <w14:ligatures w14:val="none"/>
              </w:rPr>
              <w:t>根据区公共建设项目管理服务中心提供的项目预算下达文件、单位指标文件及资金使用明细账。本项目2023年年度预算为29186.41万元，实际支出为29186.41万元，预算执行率100%，区公共建设项目管理服务中心根据工程进度及合同约定支付勘察设计费、工程进度款、监理费等，实际支出未超过预算计划。</w:t>
            </w:r>
          </w:p>
        </w:tc>
        <w:tc>
          <w:tcPr>
            <w:tcW w:w="691" w:type="dxa"/>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3</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67" w:hRule="atLeast"/>
          <w:jc w:val="center"/>
        </w:trPr>
        <w:tc>
          <w:tcPr>
            <w:tcW w:w="776" w:type="dxa"/>
            <w:vMerge w:val="continue"/>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p>
        </w:tc>
        <w:tc>
          <w:tcPr>
            <w:tcW w:w="776" w:type="dxa"/>
            <w:vMerge w:val="continue"/>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p>
        </w:tc>
        <w:tc>
          <w:tcPr>
            <w:tcW w:w="773" w:type="dxa"/>
            <w:vMerge w:val="continue"/>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p>
        </w:tc>
        <w:tc>
          <w:tcPr>
            <w:tcW w:w="772" w:type="dxa"/>
            <w:vMerge w:val="continue"/>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p>
        </w:tc>
        <w:tc>
          <w:tcPr>
            <w:tcW w:w="771" w:type="dxa"/>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成本控制</w:t>
            </w:r>
          </w:p>
        </w:tc>
        <w:tc>
          <w:tcPr>
            <w:tcW w:w="771" w:type="dxa"/>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2</w:t>
            </w:r>
          </w:p>
        </w:tc>
        <w:tc>
          <w:tcPr>
            <w:tcW w:w="771" w:type="dxa"/>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成本节约（成本指标）</w:t>
            </w:r>
          </w:p>
        </w:tc>
        <w:tc>
          <w:tcPr>
            <w:tcW w:w="771" w:type="dxa"/>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2</w:t>
            </w:r>
          </w:p>
        </w:tc>
        <w:tc>
          <w:tcPr>
            <w:tcW w:w="2241" w:type="dxa"/>
            <w:shd w:val="clear" w:color="auto" w:fill="auto"/>
            <w:vAlign w:val="center"/>
          </w:tcPr>
          <w:p>
            <w:pPr>
              <w:widowControl/>
              <w:adjustRightInd w:val="0"/>
              <w:snapToGrid w:val="0"/>
              <w:spacing w:line="240" w:lineRule="auto"/>
              <w:ind w:firstLine="0" w:firstLineChars="0"/>
              <w:rPr>
                <w:rFonts w:cs="Times New Roman"/>
                <w:kern w:val="0"/>
                <w:sz w:val="24"/>
                <w:szCs w:val="24"/>
                <w14:ligatures w14:val="none"/>
              </w:rPr>
            </w:pPr>
            <w:r>
              <w:rPr>
                <w:rFonts w:cs="Times New Roman"/>
                <w:kern w:val="0"/>
                <w:sz w:val="24"/>
                <w:szCs w:val="24"/>
                <w14:ligatures w14:val="none"/>
              </w:rPr>
              <w:t>在项目按照预算完成的前提下，与同类项目或市场价格比较，项目实施的成本（包括工程造价、物品采购单价、人员经费等）属于合理范围的（如与同类项目或市场价格大致相符的）得满分；成本不合理的（如明显高于或低于同类项目或市场价格的）酌情扣分。</w:t>
            </w:r>
          </w:p>
        </w:tc>
        <w:tc>
          <w:tcPr>
            <w:tcW w:w="4643" w:type="dxa"/>
            <w:shd w:val="clear" w:color="auto" w:fill="auto"/>
            <w:vAlign w:val="center"/>
          </w:tcPr>
          <w:p>
            <w:pPr>
              <w:widowControl/>
              <w:adjustRightInd w:val="0"/>
              <w:snapToGrid w:val="0"/>
              <w:spacing w:line="240" w:lineRule="auto"/>
              <w:ind w:firstLine="0" w:firstLineChars="0"/>
              <w:rPr>
                <w:rFonts w:cs="Times New Roman"/>
                <w:kern w:val="0"/>
                <w:sz w:val="24"/>
                <w:szCs w:val="24"/>
                <w14:ligatures w14:val="none"/>
              </w:rPr>
            </w:pPr>
            <w:r>
              <w:rPr>
                <w:rFonts w:cs="Times New Roman"/>
                <w:kern w:val="0"/>
                <w:sz w:val="24"/>
                <w:szCs w:val="24"/>
                <w14:ligatures w14:val="none"/>
              </w:rPr>
              <w:t>根据区公共建设项目管理服务中心提供的《项目管理会审表》及项目相关合同、项目支出明细账，结合现场核查情况，2023年项目资金支出按照合同金额支出，未发生超出成本的情况。</w:t>
            </w:r>
          </w:p>
        </w:tc>
        <w:tc>
          <w:tcPr>
            <w:tcW w:w="691" w:type="dxa"/>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2</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67" w:hRule="atLeast"/>
          <w:jc w:val="center"/>
        </w:trPr>
        <w:tc>
          <w:tcPr>
            <w:tcW w:w="776" w:type="dxa"/>
            <w:vMerge w:val="continue"/>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p>
        </w:tc>
        <w:tc>
          <w:tcPr>
            <w:tcW w:w="776" w:type="dxa"/>
            <w:vMerge w:val="continue"/>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p>
        </w:tc>
        <w:tc>
          <w:tcPr>
            <w:tcW w:w="773" w:type="dxa"/>
            <w:vMerge w:val="restart"/>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效率性</w:t>
            </w:r>
          </w:p>
        </w:tc>
        <w:tc>
          <w:tcPr>
            <w:tcW w:w="772" w:type="dxa"/>
            <w:vMerge w:val="restart"/>
            <w:shd w:val="clear" w:color="auto" w:fill="auto"/>
            <w:vAlign w:val="center"/>
          </w:tcPr>
          <w:p>
            <w:pPr>
              <w:widowControl/>
              <w:adjustRightInd w:val="0"/>
              <w:snapToGrid w:val="0"/>
              <w:spacing w:line="240" w:lineRule="auto"/>
              <w:ind w:firstLine="0" w:firstLineChars="0"/>
              <w:jc w:val="center"/>
              <w:rPr>
                <w:rFonts w:hint="eastAsia" w:cs="Times New Roman"/>
                <w:kern w:val="0"/>
                <w:sz w:val="24"/>
                <w:szCs w:val="24"/>
                <w14:ligatures w14:val="none"/>
              </w:rPr>
            </w:pPr>
            <w:r>
              <w:rPr>
                <w:rFonts w:hint="eastAsia" w:cs="Times New Roman"/>
                <w:kern w:val="0"/>
                <w:sz w:val="24"/>
                <w:szCs w:val="24"/>
                <w14:ligatures w14:val="none"/>
              </w:rPr>
              <w:t>25</w:t>
            </w:r>
          </w:p>
        </w:tc>
        <w:tc>
          <w:tcPr>
            <w:tcW w:w="771" w:type="dxa"/>
            <w:vMerge w:val="restart"/>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完成进度</w:t>
            </w:r>
          </w:p>
        </w:tc>
        <w:tc>
          <w:tcPr>
            <w:tcW w:w="771" w:type="dxa"/>
            <w:vMerge w:val="restart"/>
            <w:shd w:val="clear" w:color="auto" w:fill="auto"/>
            <w:vAlign w:val="center"/>
          </w:tcPr>
          <w:p>
            <w:pPr>
              <w:widowControl/>
              <w:adjustRightInd w:val="0"/>
              <w:snapToGrid w:val="0"/>
              <w:spacing w:line="240" w:lineRule="auto"/>
              <w:ind w:firstLine="0" w:firstLineChars="0"/>
              <w:jc w:val="center"/>
              <w:rPr>
                <w:rFonts w:hint="eastAsia" w:cs="Times New Roman"/>
                <w:kern w:val="0"/>
                <w:sz w:val="24"/>
                <w:szCs w:val="24"/>
                <w14:ligatures w14:val="none"/>
              </w:rPr>
            </w:pPr>
            <w:r>
              <w:rPr>
                <w:rFonts w:hint="eastAsia" w:cs="Times New Roman"/>
                <w:kern w:val="0"/>
                <w:sz w:val="24"/>
                <w:szCs w:val="24"/>
                <w14:ligatures w14:val="none"/>
              </w:rPr>
              <w:t>19</w:t>
            </w:r>
          </w:p>
        </w:tc>
        <w:tc>
          <w:tcPr>
            <w:tcW w:w="771" w:type="dxa"/>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建筑完工面积</w:t>
            </w:r>
          </w:p>
        </w:tc>
        <w:tc>
          <w:tcPr>
            <w:tcW w:w="771" w:type="dxa"/>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6</w:t>
            </w:r>
          </w:p>
        </w:tc>
        <w:tc>
          <w:tcPr>
            <w:tcW w:w="2241" w:type="dxa"/>
            <w:shd w:val="clear" w:color="auto" w:fill="auto"/>
            <w:vAlign w:val="center"/>
          </w:tcPr>
          <w:p>
            <w:pPr>
              <w:widowControl/>
              <w:adjustRightInd w:val="0"/>
              <w:snapToGrid w:val="0"/>
              <w:spacing w:line="240" w:lineRule="auto"/>
              <w:ind w:firstLine="0" w:firstLineChars="0"/>
              <w:rPr>
                <w:rFonts w:cs="Times New Roman"/>
                <w:kern w:val="0"/>
                <w:sz w:val="24"/>
                <w:szCs w:val="24"/>
                <w14:ligatures w14:val="none"/>
              </w:rPr>
            </w:pPr>
            <w:r>
              <w:rPr>
                <w:rFonts w:cs="Times New Roman"/>
                <w:kern w:val="0"/>
                <w:sz w:val="24"/>
                <w:szCs w:val="24"/>
                <w14:ligatures w14:val="none"/>
              </w:rPr>
              <w:t>评价年度预期值为</w:t>
            </w:r>
            <w:r>
              <w:rPr>
                <w:rFonts w:hint="eastAsia" w:ascii="仿宋_GB2312" w:cs="Times New Roman"/>
                <w:kern w:val="0"/>
                <w:sz w:val="24"/>
                <w:szCs w:val="24"/>
                <w14:ligatures w14:val="none"/>
              </w:rPr>
              <w:t>“</w:t>
            </w:r>
            <w:r>
              <w:rPr>
                <w:rFonts w:cs="Times New Roman"/>
                <w:kern w:val="0"/>
                <w:sz w:val="24"/>
                <w:szCs w:val="24"/>
                <w14:ligatures w14:val="none"/>
              </w:rPr>
              <w:t>63652平方米</w:t>
            </w:r>
            <w:r>
              <w:rPr>
                <w:rFonts w:hint="eastAsia" w:ascii="仿宋_GB2312" w:cs="Times New Roman"/>
                <w:kern w:val="0"/>
                <w:sz w:val="24"/>
                <w:szCs w:val="24"/>
                <w14:ligatures w14:val="none"/>
              </w:rPr>
              <w:t>”</w:t>
            </w:r>
            <w:r>
              <w:rPr>
                <w:rFonts w:cs="Times New Roman"/>
                <w:kern w:val="0"/>
                <w:sz w:val="24"/>
                <w:szCs w:val="24"/>
                <w14:ligatures w14:val="none"/>
              </w:rPr>
              <w:t>，实际建筑完工面积为63652平方米得满分，否则得分=实际建筑完工面积/63652平方米*分值。</w:t>
            </w:r>
          </w:p>
        </w:tc>
        <w:tc>
          <w:tcPr>
            <w:tcW w:w="4643" w:type="dxa"/>
            <w:shd w:val="clear" w:color="auto" w:fill="auto"/>
            <w:vAlign w:val="center"/>
          </w:tcPr>
          <w:p>
            <w:pPr>
              <w:widowControl/>
              <w:adjustRightInd w:val="0"/>
              <w:snapToGrid w:val="0"/>
              <w:spacing w:line="240" w:lineRule="auto"/>
              <w:ind w:firstLine="0" w:firstLineChars="0"/>
              <w:jc w:val="left"/>
              <w:rPr>
                <w:rFonts w:cs="Times New Roman"/>
                <w:kern w:val="0"/>
                <w:sz w:val="24"/>
                <w:szCs w:val="24"/>
                <w14:ligatures w14:val="none"/>
              </w:rPr>
            </w:pPr>
            <w:r>
              <w:rPr>
                <w:rFonts w:cs="Times New Roman"/>
                <w:kern w:val="0"/>
                <w:sz w:val="24"/>
                <w:szCs w:val="24"/>
                <w14:ligatures w14:val="none"/>
              </w:rPr>
              <w:t>根据《广州市建设工程施工合同》，项目总建筑面积为63652平方米。根据区公共建设项目管理服务中心提供的《单位（子单位）竣工验收报告》，工程已完成设计图纸及施工承包合同的内容，综合以上情况，建筑完工面积为63652平方米。</w:t>
            </w:r>
          </w:p>
        </w:tc>
        <w:tc>
          <w:tcPr>
            <w:tcW w:w="691" w:type="dxa"/>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6</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67" w:hRule="atLeast"/>
          <w:jc w:val="center"/>
        </w:trPr>
        <w:tc>
          <w:tcPr>
            <w:tcW w:w="776" w:type="dxa"/>
            <w:vMerge w:val="continue"/>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p>
        </w:tc>
        <w:tc>
          <w:tcPr>
            <w:tcW w:w="776" w:type="dxa"/>
            <w:vMerge w:val="continue"/>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p>
        </w:tc>
        <w:tc>
          <w:tcPr>
            <w:tcW w:w="773" w:type="dxa"/>
            <w:vMerge w:val="continue"/>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p>
        </w:tc>
        <w:tc>
          <w:tcPr>
            <w:tcW w:w="772" w:type="dxa"/>
            <w:vMerge w:val="continue"/>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p>
        </w:tc>
        <w:tc>
          <w:tcPr>
            <w:tcW w:w="771" w:type="dxa"/>
            <w:vMerge w:val="continue"/>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p>
        </w:tc>
        <w:tc>
          <w:tcPr>
            <w:tcW w:w="771" w:type="dxa"/>
            <w:vMerge w:val="continue"/>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p>
        </w:tc>
        <w:tc>
          <w:tcPr>
            <w:tcW w:w="771" w:type="dxa"/>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配套工程建设完成率</w:t>
            </w:r>
          </w:p>
        </w:tc>
        <w:tc>
          <w:tcPr>
            <w:tcW w:w="771" w:type="dxa"/>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6.5</w:t>
            </w:r>
          </w:p>
        </w:tc>
        <w:tc>
          <w:tcPr>
            <w:tcW w:w="2241" w:type="dxa"/>
            <w:shd w:val="clear" w:color="auto" w:fill="auto"/>
            <w:vAlign w:val="center"/>
          </w:tcPr>
          <w:p>
            <w:pPr>
              <w:widowControl/>
              <w:adjustRightInd w:val="0"/>
              <w:snapToGrid w:val="0"/>
              <w:spacing w:line="240" w:lineRule="auto"/>
              <w:ind w:firstLine="0" w:firstLineChars="0"/>
              <w:rPr>
                <w:rFonts w:cs="Times New Roman"/>
                <w:kern w:val="0"/>
                <w:sz w:val="24"/>
                <w:szCs w:val="24"/>
                <w14:ligatures w14:val="none"/>
              </w:rPr>
            </w:pPr>
            <w:r>
              <w:rPr>
                <w:rFonts w:cs="Times New Roman"/>
                <w:kern w:val="0"/>
                <w:sz w:val="24"/>
                <w:szCs w:val="24"/>
                <w14:ligatures w14:val="none"/>
              </w:rPr>
              <w:t>评价年度预期值为</w:t>
            </w:r>
            <w:r>
              <w:rPr>
                <w:rFonts w:hint="eastAsia" w:ascii="仿宋_GB2312" w:cs="Times New Roman"/>
                <w:kern w:val="0"/>
                <w:sz w:val="24"/>
                <w:szCs w:val="24"/>
                <w14:ligatures w14:val="none"/>
              </w:rPr>
              <w:t>“</w:t>
            </w:r>
            <w:r>
              <w:rPr>
                <w:rFonts w:cs="Times New Roman"/>
                <w:kern w:val="0"/>
                <w:sz w:val="24"/>
                <w:szCs w:val="24"/>
                <w14:ligatures w14:val="none"/>
              </w:rPr>
              <w:t>100%</w:t>
            </w:r>
            <w:r>
              <w:rPr>
                <w:rFonts w:hint="eastAsia" w:ascii="仿宋_GB2312" w:cs="Times New Roman"/>
                <w:kern w:val="0"/>
                <w:sz w:val="24"/>
                <w:szCs w:val="24"/>
                <w14:ligatures w14:val="none"/>
              </w:rPr>
              <w:t>”</w:t>
            </w:r>
            <w:r>
              <w:rPr>
                <w:rFonts w:cs="Times New Roman"/>
                <w:kern w:val="0"/>
                <w:sz w:val="24"/>
                <w:szCs w:val="24"/>
                <w14:ligatures w14:val="none"/>
              </w:rPr>
              <w:t>，按合同要求100%建成设计内配套工程得满分，否则得分=实际配套工程建设完成率/100%*分值。</w:t>
            </w:r>
          </w:p>
        </w:tc>
        <w:tc>
          <w:tcPr>
            <w:tcW w:w="4643" w:type="dxa"/>
            <w:shd w:val="clear" w:color="auto" w:fill="auto"/>
            <w:vAlign w:val="center"/>
          </w:tcPr>
          <w:p>
            <w:pPr>
              <w:widowControl/>
              <w:adjustRightInd w:val="0"/>
              <w:snapToGrid w:val="0"/>
              <w:spacing w:line="240" w:lineRule="auto"/>
              <w:ind w:firstLine="0" w:firstLineChars="0"/>
              <w:jc w:val="left"/>
              <w:rPr>
                <w:rFonts w:cs="Times New Roman"/>
                <w:kern w:val="0"/>
                <w:sz w:val="24"/>
                <w:szCs w:val="24"/>
                <w14:ligatures w14:val="none"/>
              </w:rPr>
            </w:pPr>
            <w:r>
              <w:rPr>
                <w:rFonts w:cs="Times New Roman"/>
                <w:kern w:val="0"/>
                <w:sz w:val="24"/>
                <w:szCs w:val="24"/>
                <w14:ligatures w14:val="none"/>
              </w:rPr>
              <w:t>根据《广州市建设工程施工合同》，项目建设内容主要包括教学及辅助用房、办公用房生活服务用房、学生及教职工宿舍、其他配套用房等功能建筑，并配套建设室外运动场地、道路广场、绿地、给排水管网、围墙大门等一批室外工程。根据区公共建设项目管理服务中心提供的《单位（子单位）竣工验收报告》，工程已完成设计图纸及施工承包合同的内容，建筑装饰装修、屋面、建筑给水排水及采暖、通风与空调、建筑电气、智能建筑、建筑节能、电梯等均已验收合格，综合以上情况，配套工程建设完成率为100%。</w:t>
            </w:r>
          </w:p>
        </w:tc>
        <w:tc>
          <w:tcPr>
            <w:tcW w:w="691" w:type="dxa"/>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6.5</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67" w:hRule="atLeast"/>
          <w:jc w:val="center"/>
        </w:trPr>
        <w:tc>
          <w:tcPr>
            <w:tcW w:w="776" w:type="dxa"/>
            <w:vMerge w:val="continue"/>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p>
        </w:tc>
        <w:tc>
          <w:tcPr>
            <w:tcW w:w="776" w:type="dxa"/>
            <w:vMerge w:val="continue"/>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p>
        </w:tc>
        <w:tc>
          <w:tcPr>
            <w:tcW w:w="773" w:type="dxa"/>
            <w:vMerge w:val="continue"/>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p>
        </w:tc>
        <w:tc>
          <w:tcPr>
            <w:tcW w:w="772" w:type="dxa"/>
            <w:vMerge w:val="continue"/>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p>
        </w:tc>
        <w:tc>
          <w:tcPr>
            <w:tcW w:w="771" w:type="dxa"/>
            <w:vMerge w:val="continue"/>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p>
        </w:tc>
        <w:tc>
          <w:tcPr>
            <w:tcW w:w="771" w:type="dxa"/>
            <w:vMerge w:val="continue"/>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p>
        </w:tc>
        <w:tc>
          <w:tcPr>
            <w:tcW w:w="771" w:type="dxa"/>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工程完工进度达标率</w:t>
            </w:r>
          </w:p>
        </w:tc>
        <w:tc>
          <w:tcPr>
            <w:tcW w:w="771" w:type="dxa"/>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6.5</w:t>
            </w:r>
          </w:p>
        </w:tc>
        <w:tc>
          <w:tcPr>
            <w:tcW w:w="2241" w:type="dxa"/>
            <w:shd w:val="clear" w:color="auto" w:fill="auto"/>
            <w:vAlign w:val="center"/>
          </w:tcPr>
          <w:p>
            <w:pPr>
              <w:widowControl/>
              <w:adjustRightInd w:val="0"/>
              <w:snapToGrid w:val="0"/>
              <w:spacing w:line="240" w:lineRule="auto"/>
              <w:ind w:firstLine="0" w:firstLineChars="0"/>
              <w:rPr>
                <w:rFonts w:cs="Times New Roman"/>
                <w:kern w:val="0"/>
                <w:sz w:val="24"/>
                <w:szCs w:val="24"/>
                <w14:ligatures w14:val="none"/>
              </w:rPr>
            </w:pPr>
            <w:r>
              <w:rPr>
                <w:rFonts w:cs="Times New Roman"/>
                <w:kern w:val="0"/>
                <w:sz w:val="24"/>
                <w:szCs w:val="24"/>
                <w14:ligatures w14:val="none"/>
              </w:rPr>
              <w:t>评价年度预期值为</w:t>
            </w:r>
            <w:r>
              <w:rPr>
                <w:rFonts w:hint="eastAsia" w:ascii="仿宋_GB2312" w:cs="Times New Roman"/>
                <w:kern w:val="0"/>
                <w:sz w:val="24"/>
                <w:szCs w:val="24"/>
                <w14:ligatures w14:val="none"/>
              </w:rPr>
              <w:t>“</w:t>
            </w:r>
            <w:r>
              <w:rPr>
                <w:rFonts w:cs="Times New Roman"/>
                <w:kern w:val="0"/>
                <w:sz w:val="24"/>
                <w:szCs w:val="24"/>
                <w14:ligatures w14:val="none"/>
              </w:rPr>
              <w:t>100%</w:t>
            </w:r>
            <w:r>
              <w:rPr>
                <w:rFonts w:hint="eastAsia" w:ascii="仿宋_GB2312" w:cs="Times New Roman"/>
                <w:kern w:val="0"/>
                <w:sz w:val="24"/>
                <w:szCs w:val="24"/>
                <w14:ligatures w14:val="none"/>
              </w:rPr>
              <w:t>”</w:t>
            </w:r>
            <w:r>
              <w:rPr>
                <w:rFonts w:cs="Times New Roman"/>
                <w:kern w:val="0"/>
                <w:sz w:val="24"/>
                <w:szCs w:val="24"/>
                <w14:ligatures w14:val="none"/>
              </w:rPr>
              <w:t>，项目工程按合同要求及时完成，进度达标率为100%得满分，否则得分=实际工期/合同计划工期*分值。</w:t>
            </w:r>
          </w:p>
        </w:tc>
        <w:tc>
          <w:tcPr>
            <w:tcW w:w="4643" w:type="dxa"/>
            <w:shd w:val="clear" w:color="auto" w:fill="auto"/>
            <w:vAlign w:val="center"/>
          </w:tcPr>
          <w:p>
            <w:pPr>
              <w:widowControl/>
              <w:adjustRightInd w:val="0"/>
              <w:snapToGrid w:val="0"/>
              <w:spacing w:line="240" w:lineRule="auto"/>
              <w:ind w:firstLine="0" w:firstLineChars="0"/>
              <w:jc w:val="left"/>
              <w:rPr>
                <w:rFonts w:cs="Times New Roman"/>
                <w:kern w:val="0"/>
                <w:sz w:val="24"/>
                <w:szCs w:val="24"/>
                <w14:ligatures w14:val="none"/>
              </w:rPr>
            </w:pPr>
            <w:r>
              <w:rPr>
                <w:rFonts w:cs="Times New Roman"/>
                <w:kern w:val="0"/>
                <w:sz w:val="24"/>
                <w:szCs w:val="24"/>
                <w14:ligatures w14:val="none"/>
              </w:rPr>
              <w:t>根据区公共建设项目管理服务中心提供的《工程开工令》及《单位（子单位）竣工验收报告》，项目2022年8月5日经监理单位批复项目正式开工，2023年7月25日项目完成竣工验收，项目实际工期为354个日历天，项目实际工期未超出合同计划工期355个日历天，工程完工进度达标率100%。</w:t>
            </w:r>
          </w:p>
        </w:tc>
        <w:tc>
          <w:tcPr>
            <w:tcW w:w="691" w:type="dxa"/>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6.5</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67" w:hRule="atLeast"/>
          <w:jc w:val="center"/>
        </w:trPr>
        <w:tc>
          <w:tcPr>
            <w:tcW w:w="776" w:type="dxa"/>
            <w:vMerge w:val="continue"/>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p>
        </w:tc>
        <w:tc>
          <w:tcPr>
            <w:tcW w:w="776" w:type="dxa"/>
            <w:vMerge w:val="continue"/>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p>
        </w:tc>
        <w:tc>
          <w:tcPr>
            <w:tcW w:w="773" w:type="dxa"/>
            <w:vMerge w:val="continue"/>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p>
        </w:tc>
        <w:tc>
          <w:tcPr>
            <w:tcW w:w="772" w:type="dxa"/>
            <w:vMerge w:val="continue"/>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p>
        </w:tc>
        <w:tc>
          <w:tcPr>
            <w:tcW w:w="771" w:type="dxa"/>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完成质量</w:t>
            </w:r>
          </w:p>
        </w:tc>
        <w:tc>
          <w:tcPr>
            <w:tcW w:w="771" w:type="dxa"/>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hint="eastAsia" w:cs="Times New Roman"/>
                <w:kern w:val="0"/>
                <w:sz w:val="24"/>
                <w:szCs w:val="24"/>
                <w14:ligatures w14:val="none"/>
              </w:rPr>
              <w:t>6</w:t>
            </w:r>
          </w:p>
        </w:tc>
        <w:tc>
          <w:tcPr>
            <w:tcW w:w="771" w:type="dxa"/>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工程验收合格率</w:t>
            </w:r>
          </w:p>
        </w:tc>
        <w:tc>
          <w:tcPr>
            <w:tcW w:w="771" w:type="dxa"/>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6</w:t>
            </w:r>
          </w:p>
        </w:tc>
        <w:tc>
          <w:tcPr>
            <w:tcW w:w="2241" w:type="dxa"/>
            <w:shd w:val="clear" w:color="auto" w:fill="auto"/>
            <w:vAlign w:val="center"/>
          </w:tcPr>
          <w:p>
            <w:pPr>
              <w:widowControl/>
              <w:adjustRightInd w:val="0"/>
              <w:snapToGrid w:val="0"/>
              <w:spacing w:line="240" w:lineRule="auto"/>
              <w:ind w:firstLine="0" w:firstLineChars="0"/>
              <w:rPr>
                <w:rFonts w:cs="Times New Roman"/>
                <w:kern w:val="0"/>
                <w:sz w:val="24"/>
                <w:szCs w:val="24"/>
                <w14:ligatures w14:val="none"/>
              </w:rPr>
            </w:pPr>
            <w:r>
              <w:rPr>
                <w:rFonts w:cs="Times New Roman"/>
                <w:kern w:val="0"/>
                <w:sz w:val="24"/>
                <w:szCs w:val="24"/>
                <w14:ligatures w14:val="none"/>
              </w:rPr>
              <w:t>评价年度预期值为</w:t>
            </w:r>
            <w:r>
              <w:rPr>
                <w:rFonts w:hint="eastAsia" w:ascii="仿宋_GB2312" w:cs="Times New Roman"/>
                <w:kern w:val="0"/>
                <w:sz w:val="24"/>
                <w:szCs w:val="24"/>
                <w14:ligatures w14:val="none"/>
              </w:rPr>
              <w:t>“</w:t>
            </w:r>
            <w:r>
              <w:rPr>
                <w:rFonts w:cs="Times New Roman"/>
                <w:kern w:val="0"/>
                <w:sz w:val="24"/>
                <w:szCs w:val="24"/>
                <w14:ligatures w14:val="none"/>
              </w:rPr>
              <w:t>100%</w:t>
            </w:r>
            <w:r>
              <w:rPr>
                <w:rFonts w:hint="eastAsia" w:ascii="仿宋_GB2312" w:cs="Times New Roman"/>
                <w:kern w:val="0"/>
                <w:sz w:val="24"/>
                <w:szCs w:val="24"/>
                <w14:ligatures w14:val="none"/>
              </w:rPr>
              <w:t>”</w:t>
            </w:r>
            <w:r>
              <w:rPr>
                <w:rFonts w:cs="Times New Roman"/>
                <w:kern w:val="0"/>
                <w:sz w:val="24"/>
                <w:szCs w:val="24"/>
                <w14:ligatures w14:val="none"/>
              </w:rPr>
              <w:t>，工程验收合格率100%得满分，否则得分=实际工程验收合格率/100%*分值。</w:t>
            </w:r>
          </w:p>
        </w:tc>
        <w:tc>
          <w:tcPr>
            <w:tcW w:w="4643" w:type="dxa"/>
            <w:shd w:val="clear" w:color="auto" w:fill="auto"/>
            <w:vAlign w:val="center"/>
          </w:tcPr>
          <w:p>
            <w:pPr>
              <w:widowControl/>
              <w:adjustRightInd w:val="0"/>
              <w:snapToGrid w:val="0"/>
              <w:spacing w:line="240" w:lineRule="auto"/>
              <w:ind w:firstLine="0" w:firstLineChars="0"/>
              <w:jc w:val="left"/>
              <w:rPr>
                <w:rFonts w:cs="Times New Roman"/>
                <w:kern w:val="0"/>
                <w:sz w:val="24"/>
                <w:szCs w:val="24"/>
                <w14:ligatures w14:val="none"/>
              </w:rPr>
            </w:pPr>
            <w:r>
              <w:rPr>
                <w:rFonts w:cs="Times New Roman"/>
                <w:kern w:val="0"/>
                <w:sz w:val="24"/>
                <w:szCs w:val="24"/>
                <w14:ligatures w14:val="none"/>
              </w:rPr>
              <w:t>根据区公共建设项目管理服务中心提供的《单位（子单位）竣工验收报告》，2023年7月25日增城区应元学校高中部建设项目施工总承包【±0.000以下】及增城区应元学校高中部建设项目施工总承包-体育馆、行政楼、艺术楼、图书馆、科技楼教学楼、学生公寓、教师公寓、设备房、门楼、架空大平台、地下室（自编号1#~12#，DX1）【±0.000以上】完成竣工验收，工程质量等级评定为合格。但结合现场核查情况，报告厅首层外地台出现质量，且2023年度项目未完成联合验收工作，综合以上情况，本指标扣1.5分。</w:t>
            </w:r>
          </w:p>
        </w:tc>
        <w:tc>
          <w:tcPr>
            <w:tcW w:w="691" w:type="dxa"/>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4.5</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67" w:hRule="atLeast"/>
          <w:jc w:val="center"/>
        </w:trPr>
        <w:tc>
          <w:tcPr>
            <w:tcW w:w="776" w:type="dxa"/>
            <w:vMerge w:val="restart"/>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效益</w:t>
            </w:r>
          </w:p>
        </w:tc>
        <w:tc>
          <w:tcPr>
            <w:tcW w:w="776" w:type="dxa"/>
            <w:vMerge w:val="restart"/>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30</w:t>
            </w:r>
          </w:p>
        </w:tc>
        <w:tc>
          <w:tcPr>
            <w:tcW w:w="773" w:type="dxa"/>
            <w:vMerge w:val="restart"/>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效果性</w:t>
            </w:r>
          </w:p>
        </w:tc>
        <w:tc>
          <w:tcPr>
            <w:tcW w:w="772" w:type="dxa"/>
            <w:vMerge w:val="restart"/>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hint="eastAsia" w:cs="Times New Roman"/>
                <w:kern w:val="0"/>
                <w:sz w:val="24"/>
                <w:szCs w:val="24"/>
                <w14:ligatures w14:val="none"/>
              </w:rPr>
              <w:t>25</w:t>
            </w:r>
          </w:p>
        </w:tc>
        <w:tc>
          <w:tcPr>
            <w:tcW w:w="771" w:type="dxa"/>
            <w:vMerge w:val="restart"/>
            <w:shd w:val="clear" w:color="auto" w:fill="auto"/>
            <w:vAlign w:val="center"/>
          </w:tcPr>
          <w:p>
            <w:pPr>
              <w:widowControl/>
              <w:adjustRightInd w:val="0"/>
              <w:snapToGrid w:val="0"/>
              <w:spacing w:line="240" w:lineRule="auto"/>
              <w:ind w:firstLine="0" w:firstLineChars="0"/>
              <w:jc w:val="center"/>
              <w:rPr>
                <w:rFonts w:hint="eastAsia" w:cs="Times New Roman"/>
                <w:kern w:val="0"/>
                <w:sz w:val="24"/>
                <w:szCs w:val="24"/>
                <w14:ligatures w14:val="none"/>
              </w:rPr>
            </w:pPr>
            <w:r>
              <w:rPr>
                <w:rFonts w:cs="Times New Roman"/>
                <w:kern w:val="0"/>
                <w:sz w:val="24"/>
                <w:szCs w:val="24"/>
                <w14:ligatures w14:val="none"/>
              </w:rPr>
              <w:t>社会效益</w:t>
            </w:r>
          </w:p>
        </w:tc>
        <w:tc>
          <w:tcPr>
            <w:tcW w:w="771" w:type="dxa"/>
            <w:vMerge w:val="restart"/>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hint="eastAsia" w:cs="Times New Roman"/>
                <w:kern w:val="0"/>
                <w:sz w:val="24"/>
                <w:szCs w:val="24"/>
                <w14:ligatures w14:val="none"/>
              </w:rPr>
              <w:t>18</w:t>
            </w:r>
          </w:p>
        </w:tc>
        <w:tc>
          <w:tcPr>
            <w:tcW w:w="771" w:type="dxa"/>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新增高中班数量</w:t>
            </w:r>
          </w:p>
        </w:tc>
        <w:tc>
          <w:tcPr>
            <w:tcW w:w="771" w:type="dxa"/>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6</w:t>
            </w:r>
          </w:p>
        </w:tc>
        <w:tc>
          <w:tcPr>
            <w:tcW w:w="2241" w:type="dxa"/>
            <w:shd w:val="clear" w:color="auto" w:fill="auto"/>
            <w:vAlign w:val="center"/>
          </w:tcPr>
          <w:p>
            <w:pPr>
              <w:widowControl/>
              <w:adjustRightInd w:val="0"/>
              <w:snapToGrid w:val="0"/>
              <w:spacing w:line="240" w:lineRule="auto"/>
              <w:ind w:firstLine="0" w:firstLineChars="0"/>
              <w:rPr>
                <w:rFonts w:cs="Times New Roman"/>
                <w:kern w:val="0"/>
                <w:sz w:val="24"/>
                <w:szCs w:val="24"/>
                <w14:ligatures w14:val="none"/>
              </w:rPr>
            </w:pPr>
            <w:r>
              <w:rPr>
                <w:rFonts w:cs="Times New Roman"/>
                <w:kern w:val="0"/>
                <w:sz w:val="24"/>
                <w:szCs w:val="24"/>
                <w14:ligatures w14:val="none"/>
              </w:rPr>
              <w:t>评价年度预期值为</w:t>
            </w:r>
            <w:r>
              <w:rPr>
                <w:rFonts w:hint="eastAsia" w:ascii="仿宋_GB2312" w:cs="Times New Roman"/>
                <w:kern w:val="0"/>
                <w:sz w:val="24"/>
                <w:szCs w:val="24"/>
                <w14:ligatures w14:val="none"/>
              </w:rPr>
              <w:t>“</w:t>
            </w:r>
            <w:r>
              <w:rPr>
                <w:rFonts w:cs="Times New Roman"/>
                <w:kern w:val="0"/>
                <w:sz w:val="24"/>
                <w:szCs w:val="24"/>
                <w14:ligatures w14:val="none"/>
              </w:rPr>
              <w:t>36个</w:t>
            </w:r>
            <w:r>
              <w:rPr>
                <w:rFonts w:hint="eastAsia" w:ascii="仿宋_GB2312" w:cs="Times New Roman"/>
                <w:kern w:val="0"/>
                <w:sz w:val="24"/>
                <w:szCs w:val="24"/>
                <w14:ligatures w14:val="none"/>
              </w:rPr>
              <w:t>”</w:t>
            </w:r>
            <w:r>
              <w:rPr>
                <w:rFonts w:cs="Times New Roman"/>
                <w:kern w:val="0"/>
                <w:sz w:val="24"/>
                <w:szCs w:val="24"/>
                <w14:ligatures w14:val="none"/>
              </w:rPr>
              <w:t>，得分=高中班实际新增数量/36个*分值。</w:t>
            </w:r>
          </w:p>
        </w:tc>
        <w:tc>
          <w:tcPr>
            <w:tcW w:w="4643" w:type="dxa"/>
            <w:shd w:val="clear" w:color="auto" w:fill="auto"/>
            <w:vAlign w:val="center"/>
          </w:tcPr>
          <w:p>
            <w:pPr>
              <w:widowControl/>
              <w:adjustRightInd w:val="0"/>
              <w:snapToGrid w:val="0"/>
              <w:spacing w:line="240" w:lineRule="auto"/>
              <w:ind w:firstLine="0" w:firstLineChars="0"/>
              <w:jc w:val="left"/>
              <w:rPr>
                <w:rFonts w:cs="Times New Roman"/>
                <w:kern w:val="0"/>
                <w:sz w:val="24"/>
                <w:szCs w:val="24"/>
                <w14:ligatures w14:val="none"/>
              </w:rPr>
            </w:pPr>
            <w:r>
              <w:rPr>
                <w:rFonts w:cs="Times New Roman"/>
                <w:kern w:val="0"/>
                <w:sz w:val="24"/>
                <w:szCs w:val="24"/>
                <w14:ligatures w14:val="none"/>
              </w:rPr>
              <w:t>根据《广州市建设工程施工合同》，项目拟建36个高中班。根据区公共建设项目管理服务中心提供的《单位（子单位）竣工验收报告》，2023年7月25日增城区应元学校高中部建设项目施工总承包【±0.000以下】及增城区应元学校高中部建设项目施工总承包-体育馆、行政楼、艺术楼、图书馆、科技楼教学楼、学生公寓、教师公寓、设备房、门楼、架空大平台、地下室（自编号1#~12#，DX1）【±0.000以上】完成竣工验收，工程已完成设计图纸及施工承包合同的内容，但结合现场核查情况，项目移交后，新学年仅完成高一年级学生的招收，36个高中班未全部投入使用，且未见实际招收学生数量及高中班投入使用情况佐证文件，综合以上情况，本指标扣1分。</w:t>
            </w:r>
          </w:p>
        </w:tc>
        <w:tc>
          <w:tcPr>
            <w:tcW w:w="691" w:type="dxa"/>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5</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67" w:hRule="atLeast"/>
          <w:jc w:val="center"/>
        </w:trPr>
        <w:tc>
          <w:tcPr>
            <w:tcW w:w="776" w:type="dxa"/>
            <w:vMerge w:val="continue"/>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p>
        </w:tc>
        <w:tc>
          <w:tcPr>
            <w:tcW w:w="776" w:type="dxa"/>
            <w:vMerge w:val="continue"/>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p>
        </w:tc>
        <w:tc>
          <w:tcPr>
            <w:tcW w:w="773" w:type="dxa"/>
            <w:vMerge w:val="continue"/>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p>
        </w:tc>
        <w:tc>
          <w:tcPr>
            <w:tcW w:w="772" w:type="dxa"/>
            <w:vMerge w:val="continue"/>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p>
        </w:tc>
        <w:tc>
          <w:tcPr>
            <w:tcW w:w="771" w:type="dxa"/>
            <w:vMerge w:val="continue"/>
            <w:shd w:val="clear" w:color="auto" w:fill="auto"/>
            <w:vAlign w:val="center"/>
          </w:tcPr>
          <w:p>
            <w:pPr>
              <w:adjustRightInd w:val="0"/>
              <w:snapToGrid w:val="0"/>
              <w:spacing w:line="240" w:lineRule="auto"/>
              <w:ind w:firstLine="472"/>
              <w:jc w:val="center"/>
              <w:rPr>
                <w:rFonts w:cs="Times New Roman"/>
                <w:kern w:val="0"/>
                <w:sz w:val="24"/>
                <w:szCs w:val="24"/>
                <w14:ligatures w14:val="none"/>
              </w:rPr>
            </w:pPr>
          </w:p>
        </w:tc>
        <w:tc>
          <w:tcPr>
            <w:tcW w:w="771" w:type="dxa"/>
            <w:vMerge w:val="continue"/>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p>
        </w:tc>
        <w:tc>
          <w:tcPr>
            <w:tcW w:w="771" w:type="dxa"/>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新学年新增招收学生数量</w:t>
            </w:r>
          </w:p>
        </w:tc>
        <w:tc>
          <w:tcPr>
            <w:tcW w:w="771" w:type="dxa"/>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6</w:t>
            </w:r>
          </w:p>
        </w:tc>
        <w:tc>
          <w:tcPr>
            <w:tcW w:w="2241" w:type="dxa"/>
            <w:shd w:val="clear" w:color="auto" w:fill="auto"/>
            <w:vAlign w:val="center"/>
          </w:tcPr>
          <w:p>
            <w:pPr>
              <w:widowControl/>
              <w:adjustRightInd w:val="0"/>
              <w:snapToGrid w:val="0"/>
              <w:spacing w:line="240" w:lineRule="auto"/>
              <w:ind w:firstLine="0" w:firstLineChars="0"/>
              <w:rPr>
                <w:rFonts w:cs="Times New Roman"/>
                <w:kern w:val="0"/>
                <w:sz w:val="24"/>
                <w:szCs w:val="24"/>
                <w14:ligatures w14:val="none"/>
              </w:rPr>
            </w:pPr>
            <w:r>
              <w:rPr>
                <w:rFonts w:cs="Times New Roman"/>
                <w:kern w:val="0"/>
                <w:sz w:val="24"/>
                <w:szCs w:val="24"/>
                <w14:ligatures w14:val="none"/>
              </w:rPr>
              <w:t>评价年度预期值为</w:t>
            </w:r>
            <w:r>
              <w:rPr>
                <w:rFonts w:hint="eastAsia" w:ascii="仿宋_GB2312" w:cs="Times New Roman"/>
                <w:kern w:val="0"/>
                <w:sz w:val="24"/>
                <w:szCs w:val="24"/>
                <w14:ligatures w14:val="none"/>
              </w:rPr>
              <w:t>“</w:t>
            </w:r>
            <w:r>
              <w:rPr>
                <w:rFonts w:cs="Times New Roman"/>
                <w:kern w:val="0"/>
                <w:sz w:val="24"/>
                <w:szCs w:val="24"/>
                <w14:ligatures w14:val="none"/>
              </w:rPr>
              <w:t>1800生</w:t>
            </w:r>
            <w:r>
              <w:rPr>
                <w:rFonts w:hint="eastAsia" w:ascii="仿宋_GB2312" w:cs="Times New Roman"/>
                <w:kern w:val="0"/>
                <w:sz w:val="24"/>
                <w:szCs w:val="24"/>
                <w14:ligatures w14:val="none"/>
              </w:rPr>
              <w:t>”</w:t>
            </w:r>
            <w:r>
              <w:rPr>
                <w:rFonts w:cs="Times New Roman"/>
                <w:kern w:val="0"/>
                <w:sz w:val="24"/>
                <w:szCs w:val="24"/>
                <w14:ligatures w14:val="none"/>
              </w:rPr>
              <w:t>，得分=新学年实际新增招收学生数量/1800生*分值。</w:t>
            </w:r>
          </w:p>
        </w:tc>
        <w:tc>
          <w:tcPr>
            <w:tcW w:w="4643" w:type="dxa"/>
            <w:shd w:val="clear" w:color="auto" w:fill="auto"/>
            <w:vAlign w:val="center"/>
          </w:tcPr>
          <w:p>
            <w:pPr>
              <w:widowControl/>
              <w:adjustRightInd w:val="0"/>
              <w:snapToGrid w:val="0"/>
              <w:spacing w:line="240" w:lineRule="auto"/>
              <w:ind w:firstLine="0" w:firstLineChars="0"/>
              <w:jc w:val="left"/>
              <w:rPr>
                <w:rFonts w:cs="Times New Roman"/>
                <w:kern w:val="0"/>
                <w:sz w:val="24"/>
                <w:szCs w:val="24"/>
                <w14:ligatures w14:val="none"/>
              </w:rPr>
            </w:pPr>
            <w:r>
              <w:rPr>
                <w:rFonts w:cs="Times New Roman"/>
                <w:kern w:val="0"/>
                <w:sz w:val="24"/>
                <w:szCs w:val="24"/>
                <w14:ligatures w14:val="none"/>
              </w:rPr>
              <w:t>根据《广州市建设工程施工合同》，项目拟建36个高中班，总规模1800生。根据区公共建设项目管理服务中心提供的《单位（子单位）竣工验收报告》，2023年7月25日项目完成竣工验收，工程已完成设计图纸及施工承包合同的内容，但结合现场核查情况，项目投入使用后，仅完成高一年级学生的招收，未见实际招收学生数量佐证文件，未明确新增招收学生数量是否达到预期目标，综合以上情况，本指标扣1分。</w:t>
            </w:r>
          </w:p>
        </w:tc>
        <w:tc>
          <w:tcPr>
            <w:tcW w:w="691" w:type="dxa"/>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5</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67" w:hRule="atLeast"/>
          <w:jc w:val="center"/>
        </w:trPr>
        <w:tc>
          <w:tcPr>
            <w:tcW w:w="776" w:type="dxa"/>
            <w:vMerge w:val="continue"/>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p>
        </w:tc>
        <w:tc>
          <w:tcPr>
            <w:tcW w:w="776" w:type="dxa"/>
            <w:vMerge w:val="continue"/>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p>
        </w:tc>
        <w:tc>
          <w:tcPr>
            <w:tcW w:w="773" w:type="dxa"/>
            <w:vMerge w:val="continue"/>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p>
        </w:tc>
        <w:tc>
          <w:tcPr>
            <w:tcW w:w="772" w:type="dxa"/>
            <w:vMerge w:val="continue"/>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p>
        </w:tc>
        <w:tc>
          <w:tcPr>
            <w:tcW w:w="771" w:type="dxa"/>
            <w:vMerge w:val="continue"/>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p>
        </w:tc>
        <w:tc>
          <w:tcPr>
            <w:tcW w:w="771" w:type="dxa"/>
            <w:vMerge w:val="continue"/>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p>
        </w:tc>
        <w:tc>
          <w:tcPr>
            <w:tcW w:w="771" w:type="dxa"/>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工程安全事故发生次数</w:t>
            </w:r>
          </w:p>
        </w:tc>
        <w:tc>
          <w:tcPr>
            <w:tcW w:w="771" w:type="dxa"/>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6</w:t>
            </w:r>
          </w:p>
        </w:tc>
        <w:tc>
          <w:tcPr>
            <w:tcW w:w="2241" w:type="dxa"/>
            <w:shd w:val="clear" w:color="auto" w:fill="auto"/>
            <w:vAlign w:val="center"/>
          </w:tcPr>
          <w:p>
            <w:pPr>
              <w:widowControl/>
              <w:adjustRightInd w:val="0"/>
              <w:snapToGrid w:val="0"/>
              <w:spacing w:line="240" w:lineRule="auto"/>
              <w:ind w:firstLine="0" w:firstLineChars="0"/>
              <w:rPr>
                <w:rFonts w:cs="Times New Roman"/>
                <w:kern w:val="0"/>
                <w:sz w:val="24"/>
                <w:szCs w:val="24"/>
                <w14:ligatures w14:val="none"/>
              </w:rPr>
            </w:pPr>
            <w:r>
              <w:rPr>
                <w:rFonts w:cs="Times New Roman"/>
                <w:kern w:val="0"/>
                <w:sz w:val="24"/>
                <w:szCs w:val="24"/>
                <w14:ligatures w14:val="none"/>
              </w:rPr>
              <w:t>评价年度预期值为</w:t>
            </w:r>
            <w:r>
              <w:rPr>
                <w:rFonts w:hint="eastAsia" w:ascii="仿宋_GB2312" w:cs="Times New Roman"/>
                <w:kern w:val="0"/>
                <w:sz w:val="24"/>
                <w:szCs w:val="24"/>
                <w14:ligatures w14:val="none"/>
              </w:rPr>
              <w:t>“</w:t>
            </w:r>
            <w:r>
              <w:rPr>
                <w:rFonts w:cs="Times New Roman"/>
                <w:kern w:val="0"/>
                <w:sz w:val="24"/>
                <w:szCs w:val="24"/>
                <w14:ligatures w14:val="none"/>
              </w:rPr>
              <w:t>0</w:t>
            </w:r>
            <w:r>
              <w:rPr>
                <w:rFonts w:hint="eastAsia" w:ascii="仿宋_GB2312" w:cs="Times New Roman"/>
                <w:kern w:val="0"/>
                <w:sz w:val="24"/>
                <w:szCs w:val="24"/>
                <w14:ligatures w14:val="none"/>
              </w:rPr>
              <w:t>”</w:t>
            </w:r>
            <w:r>
              <w:rPr>
                <w:rFonts w:cs="Times New Roman"/>
                <w:kern w:val="0"/>
                <w:sz w:val="24"/>
                <w:szCs w:val="24"/>
                <w14:ligatures w14:val="none"/>
              </w:rPr>
              <w:t>，年度未发生施工安全事故得满分，否则根据工程开展情况综合评分。</w:t>
            </w:r>
          </w:p>
        </w:tc>
        <w:tc>
          <w:tcPr>
            <w:tcW w:w="4643" w:type="dxa"/>
            <w:shd w:val="clear" w:color="auto" w:fill="auto"/>
            <w:vAlign w:val="center"/>
          </w:tcPr>
          <w:p>
            <w:pPr>
              <w:widowControl/>
              <w:adjustRightInd w:val="0"/>
              <w:snapToGrid w:val="0"/>
              <w:spacing w:line="240" w:lineRule="auto"/>
              <w:ind w:firstLine="0" w:firstLineChars="0"/>
              <w:jc w:val="left"/>
              <w:rPr>
                <w:rFonts w:cs="Times New Roman"/>
                <w:kern w:val="0"/>
                <w:sz w:val="24"/>
                <w:szCs w:val="24"/>
                <w14:ligatures w14:val="none"/>
              </w:rPr>
            </w:pPr>
            <w:r>
              <w:rPr>
                <w:rFonts w:cs="Times New Roman"/>
                <w:kern w:val="0"/>
                <w:sz w:val="24"/>
                <w:szCs w:val="24"/>
                <w14:ligatures w14:val="none"/>
              </w:rPr>
              <w:t>根据区公共建设项目管理服务中心提供的《单位（子单位）竣工验收报告》，2023年7月25日项目完成竣工验收，根据《单位（子单位）竣工验收报告》显示，施工过程中没有发生安全事故，工程安全事故发生次数为0。</w:t>
            </w:r>
          </w:p>
        </w:tc>
        <w:tc>
          <w:tcPr>
            <w:tcW w:w="691" w:type="dxa"/>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6</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67" w:hRule="atLeast"/>
          <w:jc w:val="center"/>
        </w:trPr>
        <w:tc>
          <w:tcPr>
            <w:tcW w:w="776" w:type="dxa"/>
            <w:vMerge w:val="continue"/>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p>
        </w:tc>
        <w:tc>
          <w:tcPr>
            <w:tcW w:w="776" w:type="dxa"/>
            <w:vMerge w:val="continue"/>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p>
        </w:tc>
        <w:tc>
          <w:tcPr>
            <w:tcW w:w="773" w:type="dxa"/>
            <w:vMerge w:val="continue"/>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p>
        </w:tc>
        <w:tc>
          <w:tcPr>
            <w:tcW w:w="772" w:type="dxa"/>
            <w:vMerge w:val="continue"/>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p>
        </w:tc>
        <w:tc>
          <w:tcPr>
            <w:tcW w:w="771" w:type="dxa"/>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可持续影响</w:t>
            </w:r>
          </w:p>
        </w:tc>
        <w:tc>
          <w:tcPr>
            <w:tcW w:w="771" w:type="dxa"/>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hint="eastAsia" w:cs="Times New Roman"/>
                <w:kern w:val="0"/>
                <w:sz w:val="24"/>
                <w:szCs w:val="24"/>
                <w14:ligatures w14:val="none"/>
              </w:rPr>
              <w:t>7</w:t>
            </w:r>
          </w:p>
        </w:tc>
        <w:tc>
          <w:tcPr>
            <w:tcW w:w="771" w:type="dxa"/>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助力均衡增城区区域教育资源</w:t>
            </w:r>
          </w:p>
        </w:tc>
        <w:tc>
          <w:tcPr>
            <w:tcW w:w="771" w:type="dxa"/>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7</w:t>
            </w:r>
          </w:p>
        </w:tc>
        <w:tc>
          <w:tcPr>
            <w:tcW w:w="2241" w:type="dxa"/>
            <w:shd w:val="clear" w:color="auto" w:fill="auto"/>
            <w:vAlign w:val="center"/>
          </w:tcPr>
          <w:p>
            <w:pPr>
              <w:widowControl/>
              <w:adjustRightInd w:val="0"/>
              <w:snapToGrid w:val="0"/>
              <w:spacing w:line="240" w:lineRule="auto"/>
              <w:ind w:firstLine="0" w:firstLineChars="0"/>
              <w:rPr>
                <w:rFonts w:cs="Times New Roman"/>
                <w:kern w:val="0"/>
                <w:sz w:val="24"/>
                <w:szCs w:val="24"/>
                <w14:ligatures w14:val="none"/>
              </w:rPr>
            </w:pPr>
            <w:r>
              <w:rPr>
                <w:rFonts w:cs="Times New Roman"/>
                <w:kern w:val="0"/>
                <w:sz w:val="24"/>
                <w:szCs w:val="24"/>
                <w14:ligatures w14:val="none"/>
              </w:rPr>
              <w:t>评价年度预期值为</w:t>
            </w:r>
            <w:r>
              <w:rPr>
                <w:rFonts w:hint="eastAsia" w:ascii="仿宋_GB2312" w:cs="Times New Roman"/>
                <w:kern w:val="0"/>
                <w:sz w:val="24"/>
                <w:szCs w:val="24"/>
                <w14:ligatures w14:val="none"/>
              </w:rPr>
              <w:t>“</w:t>
            </w:r>
            <w:r>
              <w:rPr>
                <w:rFonts w:cs="Times New Roman"/>
                <w:kern w:val="0"/>
                <w:sz w:val="24"/>
                <w:szCs w:val="24"/>
                <w14:ligatures w14:val="none"/>
              </w:rPr>
              <w:t>新学年100%按计划完成招生，助力均衡增城区区域教育资源</w:t>
            </w:r>
            <w:r>
              <w:rPr>
                <w:rFonts w:hint="eastAsia" w:ascii="仿宋_GB2312" w:cs="Times New Roman"/>
                <w:kern w:val="0"/>
                <w:sz w:val="24"/>
                <w:szCs w:val="24"/>
                <w14:ligatures w14:val="none"/>
              </w:rPr>
              <w:t>”</w:t>
            </w:r>
            <w:r>
              <w:rPr>
                <w:rFonts w:cs="Times New Roman"/>
                <w:kern w:val="0"/>
                <w:sz w:val="24"/>
                <w:szCs w:val="24"/>
                <w14:ligatures w14:val="none"/>
              </w:rPr>
              <w:t>，根据新学年项目相关班级招生情况及项目开展情况综合评分。</w:t>
            </w:r>
          </w:p>
        </w:tc>
        <w:tc>
          <w:tcPr>
            <w:tcW w:w="4643" w:type="dxa"/>
            <w:shd w:val="clear" w:color="auto" w:fill="auto"/>
            <w:vAlign w:val="center"/>
          </w:tcPr>
          <w:p>
            <w:pPr>
              <w:widowControl/>
              <w:adjustRightInd w:val="0"/>
              <w:snapToGrid w:val="0"/>
              <w:spacing w:line="240" w:lineRule="auto"/>
              <w:ind w:firstLine="0" w:firstLineChars="0"/>
              <w:jc w:val="left"/>
              <w:rPr>
                <w:rFonts w:cs="Times New Roman"/>
                <w:kern w:val="0"/>
                <w:sz w:val="24"/>
                <w:szCs w:val="24"/>
                <w14:ligatures w14:val="none"/>
              </w:rPr>
            </w:pPr>
            <w:r>
              <w:rPr>
                <w:rFonts w:cs="Times New Roman"/>
                <w:kern w:val="0"/>
                <w:sz w:val="24"/>
                <w:szCs w:val="24"/>
                <w14:ligatures w14:val="none"/>
              </w:rPr>
              <w:t>根据区公共建设项目管理服务中心提供的《广州市增城区应元学校高中部建设项目移交接管确认书》，2023年8月10日区公共建设项目管理服务中心将项目移交至广州市增城区应元学校管理。结合现场核查情况，截至现场核查时间（2024年6月14日），广州市增城区应元学校已完成高一年级的招生，本项目的建成一定程度上提高了广州市增城区应元学校的办学能力，一定程度上有助于均衡增城区区域教育资源，但未见实际招生计划及新生入学数，综合以上情况，本指标扣1分。</w:t>
            </w:r>
          </w:p>
        </w:tc>
        <w:tc>
          <w:tcPr>
            <w:tcW w:w="691" w:type="dxa"/>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6</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67" w:hRule="atLeast"/>
          <w:jc w:val="center"/>
        </w:trPr>
        <w:tc>
          <w:tcPr>
            <w:tcW w:w="776" w:type="dxa"/>
            <w:vMerge w:val="continue"/>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p>
        </w:tc>
        <w:tc>
          <w:tcPr>
            <w:tcW w:w="776" w:type="dxa"/>
            <w:vMerge w:val="continue"/>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p>
        </w:tc>
        <w:tc>
          <w:tcPr>
            <w:tcW w:w="773" w:type="dxa"/>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公平性</w:t>
            </w:r>
          </w:p>
        </w:tc>
        <w:tc>
          <w:tcPr>
            <w:tcW w:w="772" w:type="dxa"/>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5</w:t>
            </w:r>
          </w:p>
        </w:tc>
        <w:tc>
          <w:tcPr>
            <w:tcW w:w="771" w:type="dxa"/>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满意度</w:t>
            </w:r>
          </w:p>
        </w:tc>
        <w:tc>
          <w:tcPr>
            <w:tcW w:w="771" w:type="dxa"/>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5</w:t>
            </w:r>
          </w:p>
        </w:tc>
        <w:tc>
          <w:tcPr>
            <w:tcW w:w="771" w:type="dxa"/>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服务对象满意度</w:t>
            </w:r>
          </w:p>
        </w:tc>
        <w:tc>
          <w:tcPr>
            <w:tcW w:w="771" w:type="dxa"/>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5</w:t>
            </w:r>
          </w:p>
        </w:tc>
        <w:tc>
          <w:tcPr>
            <w:tcW w:w="2241" w:type="dxa"/>
            <w:shd w:val="clear" w:color="auto" w:fill="auto"/>
            <w:vAlign w:val="center"/>
          </w:tcPr>
          <w:p>
            <w:pPr>
              <w:widowControl/>
              <w:adjustRightInd w:val="0"/>
              <w:snapToGrid w:val="0"/>
              <w:spacing w:line="240" w:lineRule="auto"/>
              <w:ind w:firstLine="0" w:firstLineChars="0"/>
              <w:rPr>
                <w:rFonts w:cs="Times New Roman"/>
                <w:kern w:val="0"/>
                <w:sz w:val="24"/>
                <w:szCs w:val="24"/>
                <w14:ligatures w14:val="none"/>
              </w:rPr>
            </w:pPr>
            <w:r>
              <w:rPr>
                <w:rFonts w:cs="Times New Roman"/>
                <w:kern w:val="0"/>
                <w:sz w:val="24"/>
                <w:szCs w:val="24"/>
                <w14:ligatures w14:val="none"/>
              </w:rPr>
              <w:t>评价年度预期值为</w:t>
            </w:r>
            <w:r>
              <w:rPr>
                <w:rFonts w:hint="eastAsia" w:ascii="仿宋_GB2312" w:cs="Times New Roman"/>
                <w:kern w:val="0"/>
                <w:sz w:val="24"/>
                <w:szCs w:val="24"/>
                <w14:ligatures w14:val="none"/>
              </w:rPr>
              <w:t>“</w:t>
            </w:r>
            <w:r>
              <w:rPr>
                <w:rFonts w:cs="Times New Roman"/>
                <w:kern w:val="0"/>
                <w:sz w:val="24"/>
                <w:szCs w:val="24"/>
                <w14:ligatures w14:val="none"/>
              </w:rPr>
              <w:t>90%</w:t>
            </w:r>
            <w:r>
              <w:rPr>
                <w:rFonts w:hint="eastAsia" w:ascii="仿宋_GB2312" w:cs="Times New Roman"/>
                <w:kern w:val="0"/>
                <w:sz w:val="24"/>
                <w:szCs w:val="24"/>
                <w14:ligatures w14:val="none"/>
              </w:rPr>
              <w:t>”</w:t>
            </w:r>
            <w:r>
              <w:rPr>
                <w:rFonts w:cs="Times New Roman"/>
                <w:kern w:val="0"/>
                <w:sz w:val="24"/>
                <w:szCs w:val="24"/>
                <w14:ligatures w14:val="none"/>
              </w:rPr>
              <w:t>，家长及师生满意度达90%以上得满分，否则实际满意度每降低5%扣0.5分。</w:t>
            </w:r>
          </w:p>
        </w:tc>
        <w:tc>
          <w:tcPr>
            <w:tcW w:w="4643" w:type="dxa"/>
            <w:shd w:val="clear" w:color="auto" w:fill="auto"/>
            <w:vAlign w:val="center"/>
          </w:tcPr>
          <w:p>
            <w:pPr>
              <w:widowControl/>
              <w:adjustRightInd w:val="0"/>
              <w:snapToGrid w:val="0"/>
              <w:spacing w:line="240" w:lineRule="auto"/>
              <w:ind w:firstLine="0" w:firstLineChars="0"/>
              <w:jc w:val="left"/>
              <w:rPr>
                <w:rFonts w:cs="Times New Roman"/>
                <w:kern w:val="0"/>
                <w:sz w:val="24"/>
                <w:szCs w:val="24"/>
                <w14:ligatures w14:val="none"/>
              </w:rPr>
            </w:pPr>
            <w:r>
              <w:rPr>
                <w:rFonts w:cs="Times New Roman"/>
                <w:kern w:val="0"/>
                <w:sz w:val="24"/>
                <w:szCs w:val="24"/>
                <w14:ligatures w14:val="none"/>
              </w:rPr>
              <w:t>本次满意度调查问卷针对项目建设的功能用房、配套工程建设、建设规模、建成后提供的学位数量等4个方面开展满意度调查，回收问卷104份，有效问卷99份，问卷有效率为95.19%。调查结果显示，综合满意度96.97%，按照既定的指标体系和评分标准，本指标不扣分。</w:t>
            </w:r>
          </w:p>
        </w:tc>
        <w:tc>
          <w:tcPr>
            <w:tcW w:w="691" w:type="dxa"/>
            <w:shd w:val="clear" w:color="auto" w:fill="auto"/>
            <w:vAlign w:val="center"/>
          </w:tcPr>
          <w:p>
            <w:pPr>
              <w:widowControl/>
              <w:adjustRightInd w:val="0"/>
              <w:snapToGrid w:val="0"/>
              <w:spacing w:line="240" w:lineRule="auto"/>
              <w:ind w:firstLine="0" w:firstLineChars="0"/>
              <w:jc w:val="center"/>
              <w:rPr>
                <w:rFonts w:cs="Times New Roman"/>
                <w:kern w:val="0"/>
                <w:sz w:val="24"/>
                <w:szCs w:val="24"/>
                <w14:ligatures w14:val="none"/>
              </w:rPr>
            </w:pPr>
            <w:r>
              <w:rPr>
                <w:rFonts w:cs="Times New Roman"/>
                <w:kern w:val="0"/>
                <w:sz w:val="24"/>
                <w:szCs w:val="24"/>
                <w14:ligatures w14:val="none"/>
              </w:rPr>
              <w:t>5</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67" w:hRule="atLeast"/>
          <w:jc w:val="center"/>
        </w:trPr>
        <w:tc>
          <w:tcPr>
            <w:tcW w:w="776" w:type="dxa"/>
            <w:shd w:val="clear" w:color="auto" w:fill="auto"/>
            <w:noWrap/>
            <w:vAlign w:val="center"/>
          </w:tcPr>
          <w:p>
            <w:pPr>
              <w:widowControl/>
              <w:adjustRightInd w:val="0"/>
              <w:snapToGrid w:val="0"/>
              <w:spacing w:line="240" w:lineRule="auto"/>
              <w:ind w:firstLine="0" w:firstLineChars="0"/>
              <w:jc w:val="center"/>
              <w:rPr>
                <w:rFonts w:cs="Times New Roman"/>
                <w:b/>
                <w:bCs/>
                <w:kern w:val="0"/>
                <w:sz w:val="24"/>
                <w:szCs w:val="24"/>
                <w14:ligatures w14:val="none"/>
              </w:rPr>
            </w:pPr>
            <w:r>
              <w:rPr>
                <w:rFonts w:cs="Times New Roman"/>
                <w:b/>
                <w:bCs/>
                <w:kern w:val="0"/>
                <w:sz w:val="24"/>
                <w:szCs w:val="24"/>
                <w14:ligatures w14:val="none"/>
              </w:rPr>
              <w:t>合计</w:t>
            </w:r>
          </w:p>
        </w:tc>
        <w:tc>
          <w:tcPr>
            <w:tcW w:w="776" w:type="dxa"/>
            <w:shd w:val="clear" w:color="auto" w:fill="auto"/>
            <w:noWrap/>
            <w:vAlign w:val="center"/>
          </w:tcPr>
          <w:p>
            <w:pPr>
              <w:widowControl/>
              <w:adjustRightInd w:val="0"/>
              <w:snapToGrid w:val="0"/>
              <w:spacing w:line="240" w:lineRule="auto"/>
              <w:ind w:firstLine="0" w:firstLineChars="0"/>
              <w:jc w:val="center"/>
              <w:rPr>
                <w:rFonts w:cs="Times New Roman"/>
                <w:b/>
                <w:bCs/>
                <w:kern w:val="0"/>
                <w:sz w:val="24"/>
                <w:szCs w:val="24"/>
                <w14:ligatures w14:val="none"/>
              </w:rPr>
            </w:pPr>
            <w:r>
              <w:rPr>
                <w:rFonts w:cs="Times New Roman"/>
                <w:b/>
                <w:bCs/>
                <w:kern w:val="0"/>
                <w:sz w:val="24"/>
                <w:szCs w:val="24"/>
                <w14:ligatures w14:val="none"/>
              </w:rPr>
              <w:t>100</w:t>
            </w:r>
          </w:p>
        </w:tc>
        <w:tc>
          <w:tcPr>
            <w:tcW w:w="773" w:type="dxa"/>
            <w:shd w:val="clear" w:color="auto" w:fill="auto"/>
            <w:noWrap/>
            <w:vAlign w:val="center"/>
          </w:tcPr>
          <w:p>
            <w:pPr>
              <w:widowControl/>
              <w:adjustRightInd w:val="0"/>
              <w:snapToGrid w:val="0"/>
              <w:spacing w:line="240" w:lineRule="auto"/>
              <w:ind w:firstLine="0" w:firstLineChars="0"/>
              <w:jc w:val="center"/>
              <w:rPr>
                <w:rFonts w:cs="Times New Roman"/>
                <w:b/>
                <w:bCs/>
                <w:kern w:val="0"/>
                <w:sz w:val="24"/>
                <w:szCs w:val="24"/>
                <w14:ligatures w14:val="none"/>
              </w:rPr>
            </w:pPr>
            <w:r>
              <w:rPr>
                <w:rFonts w:cs="Times New Roman"/>
                <w:b/>
                <w:bCs/>
                <w:kern w:val="0"/>
                <w:sz w:val="24"/>
                <w:szCs w:val="24"/>
                <w14:ligatures w14:val="none"/>
              </w:rPr>
              <w:t>/</w:t>
            </w:r>
          </w:p>
        </w:tc>
        <w:tc>
          <w:tcPr>
            <w:tcW w:w="772" w:type="dxa"/>
            <w:shd w:val="clear" w:color="auto" w:fill="auto"/>
            <w:noWrap/>
            <w:vAlign w:val="center"/>
          </w:tcPr>
          <w:p>
            <w:pPr>
              <w:widowControl/>
              <w:adjustRightInd w:val="0"/>
              <w:snapToGrid w:val="0"/>
              <w:spacing w:line="240" w:lineRule="auto"/>
              <w:ind w:firstLine="0" w:firstLineChars="0"/>
              <w:jc w:val="center"/>
              <w:rPr>
                <w:rFonts w:cs="Times New Roman"/>
                <w:b/>
                <w:bCs/>
                <w:kern w:val="0"/>
                <w:sz w:val="24"/>
                <w:szCs w:val="24"/>
                <w14:ligatures w14:val="none"/>
              </w:rPr>
            </w:pPr>
            <w:r>
              <w:rPr>
                <w:rFonts w:cs="Times New Roman"/>
                <w:b/>
                <w:bCs/>
                <w:kern w:val="0"/>
                <w:sz w:val="24"/>
                <w:szCs w:val="24"/>
                <w14:ligatures w14:val="none"/>
              </w:rPr>
              <w:t>100</w:t>
            </w:r>
          </w:p>
        </w:tc>
        <w:tc>
          <w:tcPr>
            <w:tcW w:w="771" w:type="dxa"/>
            <w:shd w:val="clear" w:color="auto" w:fill="auto"/>
            <w:noWrap/>
            <w:vAlign w:val="center"/>
          </w:tcPr>
          <w:p>
            <w:pPr>
              <w:widowControl/>
              <w:adjustRightInd w:val="0"/>
              <w:snapToGrid w:val="0"/>
              <w:spacing w:line="240" w:lineRule="auto"/>
              <w:ind w:firstLine="0" w:firstLineChars="0"/>
              <w:jc w:val="center"/>
              <w:rPr>
                <w:rFonts w:cs="Times New Roman"/>
                <w:b/>
                <w:bCs/>
                <w:kern w:val="0"/>
                <w:sz w:val="24"/>
                <w:szCs w:val="24"/>
                <w14:ligatures w14:val="none"/>
              </w:rPr>
            </w:pPr>
            <w:r>
              <w:rPr>
                <w:rFonts w:cs="Times New Roman"/>
                <w:b/>
                <w:bCs/>
                <w:kern w:val="0"/>
                <w:sz w:val="24"/>
                <w:szCs w:val="24"/>
                <w14:ligatures w14:val="none"/>
              </w:rPr>
              <w:t>/</w:t>
            </w:r>
          </w:p>
        </w:tc>
        <w:tc>
          <w:tcPr>
            <w:tcW w:w="771" w:type="dxa"/>
            <w:shd w:val="clear" w:color="auto" w:fill="auto"/>
            <w:noWrap/>
            <w:vAlign w:val="center"/>
          </w:tcPr>
          <w:p>
            <w:pPr>
              <w:widowControl/>
              <w:adjustRightInd w:val="0"/>
              <w:snapToGrid w:val="0"/>
              <w:spacing w:line="240" w:lineRule="auto"/>
              <w:ind w:firstLine="0" w:firstLineChars="0"/>
              <w:jc w:val="center"/>
              <w:rPr>
                <w:rFonts w:cs="Times New Roman"/>
                <w:b/>
                <w:bCs/>
                <w:kern w:val="0"/>
                <w:sz w:val="24"/>
                <w:szCs w:val="24"/>
                <w14:ligatures w14:val="none"/>
              </w:rPr>
            </w:pPr>
            <w:r>
              <w:rPr>
                <w:rFonts w:cs="Times New Roman"/>
                <w:b/>
                <w:bCs/>
                <w:kern w:val="0"/>
                <w:sz w:val="24"/>
                <w:szCs w:val="24"/>
                <w14:ligatures w14:val="none"/>
              </w:rPr>
              <w:t>100</w:t>
            </w:r>
          </w:p>
        </w:tc>
        <w:tc>
          <w:tcPr>
            <w:tcW w:w="771" w:type="dxa"/>
            <w:shd w:val="clear" w:color="auto" w:fill="auto"/>
            <w:noWrap/>
            <w:vAlign w:val="center"/>
          </w:tcPr>
          <w:p>
            <w:pPr>
              <w:widowControl/>
              <w:adjustRightInd w:val="0"/>
              <w:snapToGrid w:val="0"/>
              <w:spacing w:line="240" w:lineRule="auto"/>
              <w:ind w:firstLine="0" w:firstLineChars="0"/>
              <w:jc w:val="center"/>
              <w:rPr>
                <w:rFonts w:cs="Times New Roman"/>
                <w:b/>
                <w:bCs/>
                <w:kern w:val="0"/>
                <w:sz w:val="24"/>
                <w:szCs w:val="24"/>
                <w14:ligatures w14:val="none"/>
              </w:rPr>
            </w:pPr>
            <w:r>
              <w:rPr>
                <w:rFonts w:cs="Times New Roman"/>
                <w:b/>
                <w:bCs/>
                <w:kern w:val="0"/>
                <w:sz w:val="24"/>
                <w:szCs w:val="24"/>
                <w14:ligatures w14:val="none"/>
              </w:rPr>
              <w:t>/</w:t>
            </w:r>
          </w:p>
        </w:tc>
        <w:tc>
          <w:tcPr>
            <w:tcW w:w="771" w:type="dxa"/>
            <w:shd w:val="clear" w:color="auto" w:fill="auto"/>
            <w:noWrap/>
            <w:vAlign w:val="center"/>
          </w:tcPr>
          <w:p>
            <w:pPr>
              <w:widowControl/>
              <w:adjustRightInd w:val="0"/>
              <w:snapToGrid w:val="0"/>
              <w:spacing w:line="240" w:lineRule="auto"/>
              <w:ind w:firstLine="0" w:firstLineChars="0"/>
              <w:jc w:val="center"/>
              <w:rPr>
                <w:rFonts w:cs="Times New Roman"/>
                <w:b/>
                <w:bCs/>
                <w:kern w:val="0"/>
                <w:sz w:val="24"/>
                <w:szCs w:val="24"/>
                <w14:ligatures w14:val="none"/>
              </w:rPr>
            </w:pPr>
            <w:r>
              <w:rPr>
                <w:rFonts w:cs="Times New Roman"/>
                <w:b/>
                <w:bCs/>
                <w:kern w:val="0"/>
                <w:sz w:val="24"/>
                <w:szCs w:val="24"/>
                <w14:ligatures w14:val="none"/>
              </w:rPr>
              <w:t>100</w:t>
            </w:r>
          </w:p>
        </w:tc>
        <w:tc>
          <w:tcPr>
            <w:tcW w:w="2241" w:type="dxa"/>
            <w:shd w:val="clear" w:color="auto" w:fill="auto"/>
            <w:noWrap/>
            <w:vAlign w:val="center"/>
          </w:tcPr>
          <w:p>
            <w:pPr>
              <w:widowControl/>
              <w:adjustRightInd w:val="0"/>
              <w:snapToGrid w:val="0"/>
              <w:spacing w:line="240" w:lineRule="auto"/>
              <w:ind w:firstLine="0" w:firstLineChars="0"/>
              <w:jc w:val="center"/>
              <w:rPr>
                <w:rFonts w:cs="Times New Roman"/>
                <w:b/>
                <w:bCs/>
                <w:kern w:val="0"/>
                <w:sz w:val="24"/>
                <w:szCs w:val="24"/>
                <w14:ligatures w14:val="none"/>
              </w:rPr>
            </w:pPr>
            <w:r>
              <w:rPr>
                <w:rFonts w:cs="Times New Roman"/>
                <w:b/>
                <w:bCs/>
                <w:kern w:val="0"/>
                <w:sz w:val="24"/>
                <w:szCs w:val="24"/>
                <w14:ligatures w14:val="none"/>
              </w:rPr>
              <w:t>/</w:t>
            </w:r>
          </w:p>
        </w:tc>
        <w:tc>
          <w:tcPr>
            <w:tcW w:w="4643" w:type="dxa"/>
            <w:shd w:val="clear" w:color="auto" w:fill="auto"/>
            <w:noWrap/>
            <w:vAlign w:val="center"/>
          </w:tcPr>
          <w:p>
            <w:pPr>
              <w:widowControl/>
              <w:adjustRightInd w:val="0"/>
              <w:snapToGrid w:val="0"/>
              <w:spacing w:line="240" w:lineRule="auto"/>
              <w:ind w:firstLine="0" w:firstLineChars="0"/>
              <w:jc w:val="center"/>
              <w:rPr>
                <w:rFonts w:cs="Times New Roman"/>
                <w:b/>
                <w:bCs/>
                <w:kern w:val="0"/>
                <w:sz w:val="24"/>
                <w:szCs w:val="24"/>
                <w14:ligatures w14:val="none"/>
              </w:rPr>
            </w:pPr>
            <w:r>
              <w:rPr>
                <w:rFonts w:cs="Times New Roman"/>
                <w:b/>
                <w:bCs/>
                <w:kern w:val="0"/>
                <w:sz w:val="24"/>
                <w:szCs w:val="24"/>
                <w14:ligatures w14:val="none"/>
              </w:rPr>
              <w:t>/</w:t>
            </w:r>
          </w:p>
        </w:tc>
        <w:tc>
          <w:tcPr>
            <w:tcW w:w="691" w:type="dxa"/>
            <w:shd w:val="clear" w:color="auto" w:fill="auto"/>
            <w:noWrap/>
            <w:vAlign w:val="center"/>
          </w:tcPr>
          <w:p>
            <w:pPr>
              <w:widowControl/>
              <w:adjustRightInd w:val="0"/>
              <w:snapToGrid w:val="0"/>
              <w:spacing w:line="240" w:lineRule="auto"/>
              <w:ind w:firstLine="0" w:firstLineChars="0"/>
              <w:jc w:val="center"/>
              <w:rPr>
                <w:rFonts w:cs="Times New Roman"/>
                <w:b/>
                <w:bCs/>
                <w:kern w:val="0"/>
                <w:sz w:val="24"/>
                <w:szCs w:val="24"/>
                <w14:ligatures w14:val="none"/>
              </w:rPr>
            </w:pPr>
            <w:r>
              <w:rPr>
                <w:rFonts w:cs="Times New Roman"/>
                <w:b/>
                <w:bCs/>
                <w:kern w:val="0"/>
                <w:sz w:val="24"/>
                <w:szCs w:val="24"/>
                <w14:ligatures w14:val="none"/>
              </w:rPr>
              <w:t>89.5</w:t>
            </w:r>
          </w:p>
        </w:tc>
      </w:tr>
    </w:tbl>
    <w:p>
      <w:pPr>
        <w:ind w:firstLine="632"/>
        <w:rPr>
          <w:rFonts w:cs="Times New Roman"/>
        </w:rPr>
        <w:sectPr>
          <w:footerReference r:id="rId12" w:type="default"/>
          <w:pgSz w:w="16838" w:h="11906" w:orient="landscape"/>
          <w:pgMar w:top="2098" w:right="1474" w:bottom="1985" w:left="1588" w:header="851" w:footer="1758" w:gutter="0"/>
          <w:pgNumType w:fmt="numberInDash"/>
          <w:cols w:space="425" w:num="1"/>
          <w:docGrid w:type="linesAndChars" w:linePitch="579" w:charSpace="-849"/>
        </w:sectPr>
      </w:pPr>
    </w:p>
    <w:p>
      <w:pPr>
        <w:pStyle w:val="2"/>
        <w:ind w:firstLine="632"/>
        <w:rPr>
          <w:rFonts w:cs="Times New Roman"/>
        </w:rPr>
      </w:pPr>
      <w:bookmarkStart w:id="27" w:name="_Toc9090"/>
      <w:bookmarkStart w:id="28" w:name="_Toc177204541"/>
      <w:r>
        <w:rPr>
          <w:rFonts w:cs="Times New Roman"/>
        </w:rPr>
        <w:t>附件2：项目满意度问卷结果</w:t>
      </w:r>
      <w:bookmarkEnd w:id="27"/>
      <w:bookmarkEnd w:id="28"/>
    </w:p>
    <w:p>
      <w:pPr>
        <w:ind w:firstLine="632"/>
      </w:pPr>
    </w:p>
    <w:tbl>
      <w:tblPr>
        <w:tblStyle w:val="15"/>
        <w:tblW w:w="869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11"/>
        <w:gridCol w:w="3995"/>
        <w:gridCol w:w="1395"/>
        <w:gridCol w:w="13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blHeader/>
          <w:jc w:val="center"/>
        </w:trPr>
        <w:tc>
          <w:tcPr>
            <w:tcW w:w="1911" w:type="dxa"/>
            <w:shd w:val="clear" w:color="auto" w:fill="auto"/>
            <w:noWrap/>
            <w:vAlign w:val="center"/>
          </w:tcPr>
          <w:p>
            <w:pPr>
              <w:widowControl/>
              <w:adjustRightInd w:val="0"/>
              <w:snapToGrid w:val="0"/>
              <w:spacing w:line="240" w:lineRule="auto"/>
              <w:ind w:firstLine="0" w:firstLineChars="0"/>
              <w:jc w:val="center"/>
              <w:rPr>
                <w:rFonts w:cs="Times New Roman"/>
                <w:b/>
                <w:kern w:val="0"/>
                <w:sz w:val="24"/>
              </w:rPr>
            </w:pPr>
            <w:r>
              <w:rPr>
                <w:rFonts w:cs="Times New Roman"/>
                <w:b/>
                <w:kern w:val="0"/>
                <w:sz w:val="24"/>
              </w:rPr>
              <w:t>调查统计</w:t>
            </w:r>
          </w:p>
        </w:tc>
        <w:tc>
          <w:tcPr>
            <w:tcW w:w="6785" w:type="dxa"/>
            <w:gridSpan w:val="3"/>
            <w:shd w:val="clear" w:color="auto" w:fill="auto"/>
            <w:noWrap/>
            <w:vAlign w:val="center"/>
          </w:tcPr>
          <w:p>
            <w:pPr>
              <w:widowControl/>
              <w:adjustRightInd w:val="0"/>
              <w:snapToGrid w:val="0"/>
              <w:spacing w:line="240" w:lineRule="auto"/>
              <w:ind w:firstLine="0" w:firstLineChars="0"/>
              <w:jc w:val="center"/>
              <w:rPr>
                <w:rFonts w:cs="Times New Roman"/>
                <w:b/>
                <w:kern w:val="0"/>
                <w:sz w:val="24"/>
              </w:rPr>
            </w:pPr>
            <w:r>
              <w:rPr>
                <w:rFonts w:cs="Times New Roman"/>
                <w:b/>
                <w:kern w:val="0"/>
                <w:sz w:val="24"/>
              </w:rPr>
              <w:t>回收问卷104份，有效问卷99份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blHeader/>
          <w:jc w:val="center"/>
        </w:trPr>
        <w:tc>
          <w:tcPr>
            <w:tcW w:w="1911" w:type="dxa"/>
            <w:shd w:val="clear" w:color="auto" w:fill="auto"/>
            <w:noWrap/>
            <w:vAlign w:val="center"/>
          </w:tcPr>
          <w:p>
            <w:pPr>
              <w:widowControl/>
              <w:adjustRightInd w:val="0"/>
              <w:snapToGrid w:val="0"/>
              <w:spacing w:line="240" w:lineRule="auto"/>
              <w:ind w:firstLine="0" w:firstLineChars="0"/>
              <w:jc w:val="center"/>
              <w:rPr>
                <w:rFonts w:cs="Times New Roman"/>
                <w:b/>
                <w:kern w:val="0"/>
                <w:sz w:val="24"/>
              </w:rPr>
            </w:pPr>
            <w:r>
              <w:rPr>
                <w:rFonts w:cs="Times New Roman"/>
                <w:b/>
                <w:kern w:val="0"/>
                <w:sz w:val="24"/>
              </w:rPr>
              <w:t>调查对象</w:t>
            </w:r>
          </w:p>
        </w:tc>
        <w:tc>
          <w:tcPr>
            <w:tcW w:w="6785" w:type="dxa"/>
            <w:gridSpan w:val="3"/>
            <w:shd w:val="clear" w:color="auto" w:fill="auto"/>
            <w:noWrap/>
            <w:vAlign w:val="center"/>
          </w:tcPr>
          <w:p>
            <w:pPr>
              <w:widowControl/>
              <w:adjustRightInd w:val="0"/>
              <w:snapToGrid w:val="0"/>
              <w:spacing w:line="240" w:lineRule="auto"/>
              <w:ind w:firstLine="0" w:firstLineChars="0"/>
              <w:jc w:val="center"/>
              <w:rPr>
                <w:rFonts w:cs="Times New Roman"/>
                <w:b/>
                <w:kern w:val="0"/>
                <w:sz w:val="24"/>
              </w:rPr>
            </w:pPr>
            <w:r>
              <w:rPr>
                <w:rFonts w:cs="Times New Roman"/>
                <w:b/>
                <w:kern w:val="0"/>
                <w:sz w:val="24"/>
              </w:rPr>
              <w:t>增城区应元学校师生及家长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blHeader/>
          <w:jc w:val="center"/>
        </w:trPr>
        <w:tc>
          <w:tcPr>
            <w:tcW w:w="1911" w:type="dxa"/>
            <w:shd w:val="clear" w:color="auto" w:fill="auto"/>
            <w:vAlign w:val="center"/>
          </w:tcPr>
          <w:p>
            <w:pPr>
              <w:widowControl/>
              <w:adjustRightInd w:val="0"/>
              <w:snapToGrid w:val="0"/>
              <w:spacing w:line="240" w:lineRule="auto"/>
              <w:ind w:firstLine="0" w:firstLineChars="0"/>
              <w:jc w:val="center"/>
              <w:rPr>
                <w:rFonts w:cs="Times New Roman"/>
                <w:b/>
                <w:bCs/>
                <w:kern w:val="0"/>
                <w:sz w:val="24"/>
              </w:rPr>
            </w:pPr>
            <w:r>
              <w:rPr>
                <w:rFonts w:cs="Times New Roman"/>
                <w:b/>
                <w:bCs/>
                <w:kern w:val="0"/>
                <w:sz w:val="24"/>
              </w:rPr>
              <w:t>问题</w:t>
            </w:r>
          </w:p>
        </w:tc>
        <w:tc>
          <w:tcPr>
            <w:tcW w:w="3995" w:type="dxa"/>
            <w:shd w:val="clear" w:color="auto" w:fill="auto"/>
            <w:vAlign w:val="center"/>
          </w:tcPr>
          <w:p>
            <w:pPr>
              <w:widowControl/>
              <w:adjustRightInd w:val="0"/>
              <w:snapToGrid w:val="0"/>
              <w:spacing w:line="240" w:lineRule="auto"/>
              <w:ind w:firstLine="0" w:firstLineChars="0"/>
              <w:jc w:val="center"/>
              <w:rPr>
                <w:rFonts w:cs="Times New Roman"/>
                <w:b/>
                <w:bCs/>
                <w:kern w:val="0"/>
                <w:sz w:val="24"/>
              </w:rPr>
            </w:pPr>
            <w:r>
              <w:rPr>
                <w:rFonts w:cs="Times New Roman"/>
                <w:b/>
                <w:bCs/>
                <w:kern w:val="0"/>
                <w:sz w:val="24"/>
              </w:rPr>
              <w:t>选项</w:t>
            </w:r>
          </w:p>
        </w:tc>
        <w:tc>
          <w:tcPr>
            <w:tcW w:w="1395" w:type="dxa"/>
            <w:shd w:val="clear" w:color="auto" w:fill="auto"/>
            <w:noWrap/>
            <w:vAlign w:val="center"/>
          </w:tcPr>
          <w:p>
            <w:pPr>
              <w:widowControl/>
              <w:adjustRightInd w:val="0"/>
              <w:snapToGrid w:val="0"/>
              <w:spacing w:line="240" w:lineRule="auto"/>
              <w:ind w:firstLine="0" w:firstLineChars="0"/>
              <w:jc w:val="center"/>
              <w:rPr>
                <w:rFonts w:cs="Times New Roman"/>
                <w:b/>
                <w:bCs/>
                <w:kern w:val="0"/>
                <w:sz w:val="24"/>
              </w:rPr>
            </w:pPr>
            <w:r>
              <w:rPr>
                <w:rFonts w:cs="Times New Roman"/>
                <w:b/>
                <w:bCs/>
                <w:kern w:val="0"/>
                <w:sz w:val="24"/>
              </w:rPr>
              <w:t>人数</w:t>
            </w:r>
          </w:p>
        </w:tc>
        <w:tc>
          <w:tcPr>
            <w:tcW w:w="1395" w:type="dxa"/>
            <w:shd w:val="clear" w:color="auto" w:fill="auto"/>
            <w:noWrap/>
            <w:vAlign w:val="center"/>
          </w:tcPr>
          <w:p>
            <w:pPr>
              <w:widowControl/>
              <w:adjustRightInd w:val="0"/>
              <w:snapToGrid w:val="0"/>
              <w:spacing w:line="240" w:lineRule="auto"/>
              <w:ind w:firstLine="0" w:firstLineChars="0"/>
              <w:jc w:val="center"/>
              <w:rPr>
                <w:rFonts w:cs="Times New Roman"/>
                <w:b/>
                <w:bCs/>
                <w:kern w:val="0"/>
                <w:sz w:val="24"/>
              </w:rPr>
            </w:pPr>
            <w:r>
              <w:rPr>
                <w:rFonts w:cs="Times New Roman"/>
                <w:b/>
                <w:bCs/>
                <w:kern w:val="0"/>
                <w:sz w:val="24"/>
              </w:rPr>
              <w:t>占比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911" w:type="dxa"/>
            <w:vMerge w:val="restart"/>
            <w:shd w:val="clear" w:color="auto" w:fill="auto"/>
            <w:vAlign w:val="center"/>
          </w:tcPr>
          <w:p>
            <w:pPr>
              <w:widowControl/>
              <w:adjustRightInd w:val="0"/>
              <w:snapToGrid w:val="0"/>
              <w:spacing w:line="240" w:lineRule="auto"/>
              <w:ind w:firstLine="0" w:firstLineChars="0"/>
              <w:rPr>
                <w:rFonts w:cs="Times New Roman"/>
                <w:b/>
                <w:bCs/>
                <w:kern w:val="0"/>
                <w:sz w:val="24"/>
              </w:rPr>
            </w:pPr>
            <w:r>
              <w:rPr>
                <w:rFonts w:cs="Times New Roman"/>
                <w:b/>
                <w:bCs/>
                <w:kern w:val="0"/>
                <w:sz w:val="24"/>
              </w:rPr>
              <w:t>4.您对增城区应元学校高中部建设工程项目的功能用房是否满意：</w:t>
            </w:r>
          </w:p>
        </w:tc>
        <w:tc>
          <w:tcPr>
            <w:tcW w:w="3995" w:type="dxa"/>
            <w:shd w:val="clear" w:color="auto" w:fill="auto"/>
            <w:vAlign w:val="center"/>
          </w:tcPr>
          <w:p>
            <w:pPr>
              <w:pStyle w:val="13"/>
              <w:adjustRightInd w:val="0"/>
              <w:snapToGrid w:val="0"/>
              <w:spacing w:line="240" w:lineRule="auto"/>
              <w:ind w:firstLine="0" w:firstLineChars="0"/>
              <w:jc w:val="center"/>
              <w:rPr>
                <w:rFonts w:eastAsia="仿宋_GB2312"/>
                <w:sz w:val="24"/>
              </w:rPr>
            </w:pPr>
            <w:r>
              <w:rPr>
                <w:rFonts w:eastAsia="仿宋_GB2312"/>
                <w:sz w:val="24"/>
              </w:rPr>
              <w:t>非常满意</w:t>
            </w:r>
          </w:p>
        </w:tc>
        <w:tc>
          <w:tcPr>
            <w:tcW w:w="1395" w:type="dxa"/>
            <w:shd w:val="clear" w:color="auto" w:fill="auto"/>
            <w:noWrap/>
            <w:vAlign w:val="center"/>
          </w:tcPr>
          <w:p>
            <w:pPr>
              <w:widowControl/>
              <w:adjustRightInd w:val="0"/>
              <w:snapToGrid w:val="0"/>
              <w:spacing w:line="240" w:lineRule="auto"/>
              <w:ind w:firstLine="0" w:firstLineChars="0"/>
              <w:jc w:val="center"/>
              <w:rPr>
                <w:rFonts w:cs="Times New Roman"/>
                <w:kern w:val="0"/>
                <w:sz w:val="24"/>
              </w:rPr>
            </w:pPr>
            <w:r>
              <w:rPr>
                <w:rFonts w:cs="Times New Roman"/>
                <w:kern w:val="0"/>
                <w:sz w:val="24"/>
              </w:rPr>
              <w:t>89</w:t>
            </w:r>
          </w:p>
        </w:tc>
        <w:tc>
          <w:tcPr>
            <w:tcW w:w="1395" w:type="dxa"/>
            <w:shd w:val="clear" w:color="auto" w:fill="auto"/>
            <w:noWrap/>
            <w:vAlign w:val="center"/>
          </w:tcPr>
          <w:p>
            <w:pPr>
              <w:widowControl/>
              <w:adjustRightInd w:val="0"/>
              <w:snapToGrid w:val="0"/>
              <w:spacing w:line="240" w:lineRule="auto"/>
              <w:ind w:firstLine="0" w:firstLineChars="0"/>
              <w:jc w:val="center"/>
              <w:rPr>
                <w:rFonts w:cs="Times New Roman"/>
                <w:kern w:val="0"/>
                <w:sz w:val="24"/>
              </w:rPr>
            </w:pPr>
            <w:r>
              <w:rPr>
                <w:rFonts w:cs="Times New Roman"/>
                <w:kern w:val="0"/>
                <w:sz w:val="24"/>
              </w:rPr>
              <w:t>89.90%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911" w:type="dxa"/>
            <w:vMerge w:val="continue"/>
            <w:shd w:val="clear" w:color="auto" w:fill="auto"/>
            <w:vAlign w:val="center"/>
          </w:tcPr>
          <w:p>
            <w:pPr>
              <w:widowControl/>
              <w:adjustRightInd w:val="0"/>
              <w:snapToGrid w:val="0"/>
              <w:spacing w:line="240" w:lineRule="auto"/>
              <w:ind w:firstLine="0" w:firstLineChars="0"/>
              <w:rPr>
                <w:rFonts w:cs="Times New Roman"/>
                <w:b/>
                <w:bCs/>
                <w:kern w:val="0"/>
                <w:sz w:val="24"/>
              </w:rPr>
            </w:pPr>
          </w:p>
        </w:tc>
        <w:tc>
          <w:tcPr>
            <w:tcW w:w="3995" w:type="dxa"/>
            <w:shd w:val="clear" w:color="auto" w:fill="auto"/>
            <w:vAlign w:val="center"/>
          </w:tcPr>
          <w:p>
            <w:pPr>
              <w:pStyle w:val="13"/>
              <w:adjustRightInd w:val="0"/>
              <w:snapToGrid w:val="0"/>
              <w:spacing w:line="240" w:lineRule="auto"/>
              <w:ind w:firstLine="0" w:firstLineChars="0"/>
              <w:jc w:val="center"/>
              <w:rPr>
                <w:rFonts w:eastAsia="仿宋_GB2312"/>
                <w:sz w:val="24"/>
              </w:rPr>
            </w:pPr>
            <w:r>
              <w:rPr>
                <w:rFonts w:eastAsia="仿宋_GB2312"/>
                <w:sz w:val="24"/>
              </w:rPr>
              <w:t>满意</w:t>
            </w:r>
          </w:p>
        </w:tc>
        <w:tc>
          <w:tcPr>
            <w:tcW w:w="1395" w:type="dxa"/>
            <w:shd w:val="clear" w:color="auto" w:fill="auto"/>
            <w:noWrap/>
            <w:vAlign w:val="center"/>
          </w:tcPr>
          <w:p>
            <w:pPr>
              <w:widowControl/>
              <w:adjustRightInd w:val="0"/>
              <w:snapToGrid w:val="0"/>
              <w:spacing w:line="240" w:lineRule="auto"/>
              <w:ind w:firstLine="0" w:firstLineChars="0"/>
              <w:jc w:val="center"/>
              <w:rPr>
                <w:rFonts w:cs="Times New Roman"/>
                <w:kern w:val="0"/>
                <w:sz w:val="24"/>
              </w:rPr>
            </w:pPr>
            <w:r>
              <w:rPr>
                <w:rFonts w:cs="Times New Roman"/>
                <w:kern w:val="0"/>
                <w:sz w:val="24"/>
              </w:rPr>
              <w:t>10</w:t>
            </w:r>
          </w:p>
        </w:tc>
        <w:tc>
          <w:tcPr>
            <w:tcW w:w="1395" w:type="dxa"/>
            <w:shd w:val="clear" w:color="auto" w:fill="auto"/>
            <w:noWrap/>
            <w:vAlign w:val="center"/>
          </w:tcPr>
          <w:p>
            <w:pPr>
              <w:widowControl/>
              <w:adjustRightInd w:val="0"/>
              <w:snapToGrid w:val="0"/>
              <w:spacing w:line="240" w:lineRule="auto"/>
              <w:ind w:firstLine="0" w:firstLineChars="0"/>
              <w:jc w:val="center"/>
              <w:rPr>
                <w:rFonts w:cs="Times New Roman"/>
                <w:kern w:val="0"/>
                <w:sz w:val="24"/>
              </w:rPr>
            </w:pPr>
            <w:r>
              <w:rPr>
                <w:rFonts w:cs="Times New Roman"/>
                <w:kern w:val="0"/>
                <w:sz w:val="24"/>
              </w:rPr>
              <w:t>10.10%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911" w:type="dxa"/>
            <w:vMerge w:val="continue"/>
            <w:shd w:val="clear" w:color="auto" w:fill="auto"/>
            <w:vAlign w:val="center"/>
          </w:tcPr>
          <w:p>
            <w:pPr>
              <w:widowControl/>
              <w:adjustRightInd w:val="0"/>
              <w:snapToGrid w:val="0"/>
              <w:spacing w:line="240" w:lineRule="auto"/>
              <w:ind w:firstLine="0" w:firstLineChars="0"/>
              <w:rPr>
                <w:rFonts w:cs="Times New Roman"/>
                <w:b/>
                <w:bCs/>
                <w:kern w:val="0"/>
                <w:sz w:val="24"/>
              </w:rPr>
            </w:pPr>
          </w:p>
        </w:tc>
        <w:tc>
          <w:tcPr>
            <w:tcW w:w="3995" w:type="dxa"/>
            <w:shd w:val="clear" w:color="auto" w:fill="auto"/>
            <w:vAlign w:val="center"/>
          </w:tcPr>
          <w:p>
            <w:pPr>
              <w:pStyle w:val="13"/>
              <w:adjustRightInd w:val="0"/>
              <w:snapToGrid w:val="0"/>
              <w:spacing w:line="240" w:lineRule="auto"/>
              <w:ind w:firstLine="0" w:firstLineChars="0"/>
              <w:jc w:val="center"/>
              <w:rPr>
                <w:rFonts w:eastAsia="仿宋_GB2312"/>
                <w:sz w:val="24"/>
              </w:rPr>
            </w:pPr>
            <w:r>
              <w:rPr>
                <w:rFonts w:eastAsia="仿宋_GB2312"/>
                <w:sz w:val="24"/>
              </w:rPr>
              <w:t>一般</w:t>
            </w:r>
          </w:p>
        </w:tc>
        <w:tc>
          <w:tcPr>
            <w:tcW w:w="1395" w:type="dxa"/>
            <w:shd w:val="clear" w:color="auto" w:fill="auto"/>
            <w:noWrap/>
            <w:vAlign w:val="center"/>
          </w:tcPr>
          <w:p>
            <w:pPr>
              <w:widowControl/>
              <w:adjustRightInd w:val="0"/>
              <w:snapToGrid w:val="0"/>
              <w:spacing w:line="240" w:lineRule="auto"/>
              <w:ind w:firstLine="0" w:firstLineChars="0"/>
              <w:jc w:val="center"/>
              <w:rPr>
                <w:rFonts w:cs="Times New Roman"/>
                <w:kern w:val="0"/>
                <w:sz w:val="24"/>
              </w:rPr>
            </w:pPr>
            <w:r>
              <w:rPr>
                <w:rFonts w:cs="Times New Roman"/>
                <w:kern w:val="0"/>
                <w:sz w:val="24"/>
              </w:rPr>
              <w:t>0</w:t>
            </w:r>
          </w:p>
        </w:tc>
        <w:tc>
          <w:tcPr>
            <w:tcW w:w="1395" w:type="dxa"/>
            <w:shd w:val="clear" w:color="auto" w:fill="auto"/>
            <w:noWrap/>
            <w:vAlign w:val="center"/>
          </w:tcPr>
          <w:p>
            <w:pPr>
              <w:widowControl/>
              <w:adjustRightInd w:val="0"/>
              <w:snapToGrid w:val="0"/>
              <w:spacing w:line="240" w:lineRule="auto"/>
              <w:ind w:firstLine="0" w:firstLineChars="0"/>
              <w:jc w:val="center"/>
              <w:rPr>
                <w:rFonts w:cs="Times New Roman"/>
                <w:kern w:val="0"/>
                <w:sz w:val="24"/>
              </w:rPr>
            </w:pPr>
            <w:r>
              <w:rPr>
                <w:rFonts w:cs="Times New Roman"/>
                <w:kern w:val="0"/>
                <w:sz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911" w:type="dxa"/>
            <w:vMerge w:val="continue"/>
            <w:shd w:val="clear" w:color="auto" w:fill="auto"/>
            <w:vAlign w:val="center"/>
          </w:tcPr>
          <w:p>
            <w:pPr>
              <w:widowControl/>
              <w:adjustRightInd w:val="0"/>
              <w:snapToGrid w:val="0"/>
              <w:spacing w:line="240" w:lineRule="auto"/>
              <w:ind w:firstLine="0" w:firstLineChars="0"/>
              <w:rPr>
                <w:rFonts w:cs="Times New Roman"/>
                <w:b/>
                <w:bCs/>
                <w:kern w:val="0"/>
                <w:sz w:val="24"/>
              </w:rPr>
            </w:pPr>
          </w:p>
        </w:tc>
        <w:tc>
          <w:tcPr>
            <w:tcW w:w="3995" w:type="dxa"/>
            <w:shd w:val="clear" w:color="auto" w:fill="auto"/>
            <w:vAlign w:val="center"/>
          </w:tcPr>
          <w:p>
            <w:pPr>
              <w:pStyle w:val="13"/>
              <w:adjustRightInd w:val="0"/>
              <w:snapToGrid w:val="0"/>
              <w:spacing w:line="240" w:lineRule="auto"/>
              <w:ind w:firstLine="0" w:firstLineChars="0"/>
              <w:jc w:val="center"/>
              <w:rPr>
                <w:rFonts w:eastAsia="仿宋_GB2312"/>
                <w:sz w:val="24"/>
              </w:rPr>
            </w:pPr>
            <w:r>
              <w:rPr>
                <w:rFonts w:eastAsia="仿宋_GB2312"/>
                <w:sz w:val="24"/>
              </w:rPr>
              <w:t>不太满意</w:t>
            </w:r>
          </w:p>
        </w:tc>
        <w:tc>
          <w:tcPr>
            <w:tcW w:w="1395" w:type="dxa"/>
            <w:shd w:val="clear" w:color="auto" w:fill="auto"/>
            <w:noWrap/>
            <w:vAlign w:val="center"/>
          </w:tcPr>
          <w:p>
            <w:pPr>
              <w:widowControl/>
              <w:adjustRightInd w:val="0"/>
              <w:snapToGrid w:val="0"/>
              <w:spacing w:line="240" w:lineRule="auto"/>
              <w:ind w:firstLine="0" w:firstLineChars="0"/>
              <w:jc w:val="center"/>
              <w:rPr>
                <w:rFonts w:cs="Times New Roman"/>
                <w:kern w:val="0"/>
                <w:sz w:val="24"/>
              </w:rPr>
            </w:pPr>
            <w:r>
              <w:rPr>
                <w:rFonts w:cs="Times New Roman"/>
                <w:kern w:val="0"/>
                <w:sz w:val="24"/>
              </w:rPr>
              <w:t>0</w:t>
            </w:r>
          </w:p>
        </w:tc>
        <w:tc>
          <w:tcPr>
            <w:tcW w:w="1395" w:type="dxa"/>
            <w:shd w:val="clear" w:color="auto" w:fill="auto"/>
            <w:noWrap/>
            <w:vAlign w:val="center"/>
          </w:tcPr>
          <w:p>
            <w:pPr>
              <w:widowControl/>
              <w:adjustRightInd w:val="0"/>
              <w:snapToGrid w:val="0"/>
              <w:spacing w:line="240" w:lineRule="auto"/>
              <w:ind w:firstLine="0" w:firstLineChars="0"/>
              <w:jc w:val="center"/>
              <w:rPr>
                <w:rFonts w:cs="Times New Roman"/>
                <w:kern w:val="0"/>
                <w:sz w:val="24"/>
              </w:rPr>
            </w:pPr>
            <w:r>
              <w:rPr>
                <w:rFonts w:cs="Times New Roman"/>
                <w:kern w:val="0"/>
                <w:sz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911" w:type="dxa"/>
            <w:vMerge w:val="continue"/>
            <w:shd w:val="clear" w:color="auto" w:fill="auto"/>
            <w:vAlign w:val="center"/>
          </w:tcPr>
          <w:p>
            <w:pPr>
              <w:widowControl/>
              <w:adjustRightInd w:val="0"/>
              <w:snapToGrid w:val="0"/>
              <w:spacing w:line="240" w:lineRule="auto"/>
              <w:ind w:firstLine="0" w:firstLineChars="0"/>
              <w:rPr>
                <w:rFonts w:cs="Times New Roman"/>
                <w:b/>
                <w:bCs/>
                <w:kern w:val="0"/>
                <w:sz w:val="24"/>
              </w:rPr>
            </w:pPr>
          </w:p>
        </w:tc>
        <w:tc>
          <w:tcPr>
            <w:tcW w:w="3995" w:type="dxa"/>
            <w:shd w:val="clear" w:color="auto" w:fill="auto"/>
            <w:vAlign w:val="center"/>
          </w:tcPr>
          <w:p>
            <w:pPr>
              <w:widowControl/>
              <w:adjustRightInd w:val="0"/>
              <w:snapToGrid w:val="0"/>
              <w:spacing w:line="240" w:lineRule="auto"/>
              <w:ind w:firstLine="0" w:firstLineChars="0"/>
              <w:jc w:val="center"/>
              <w:rPr>
                <w:rFonts w:cs="Times New Roman"/>
                <w:sz w:val="24"/>
              </w:rPr>
            </w:pPr>
            <w:r>
              <w:rPr>
                <w:rFonts w:cs="Times New Roman"/>
                <w:sz w:val="24"/>
              </w:rPr>
              <w:t>不满意</w:t>
            </w:r>
          </w:p>
        </w:tc>
        <w:tc>
          <w:tcPr>
            <w:tcW w:w="1395" w:type="dxa"/>
            <w:shd w:val="clear" w:color="auto" w:fill="auto"/>
            <w:noWrap/>
            <w:vAlign w:val="center"/>
          </w:tcPr>
          <w:p>
            <w:pPr>
              <w:widowControl/>
              <w:adjustRightInd w:val="0"/>
              <w:snapToGrid w:val="0"/>
              <w:spacing w:line="240" w:lineRule="auto"/>
              <w:ind w:firstLine="0" w:firstLineChars="0"/>
              <w:jc w:val="center"/>
              <w:rPr>
                <w:rFonts w:cs="Times New Roman"/>
                <w:kern w:val="0"/>
                <w:sz w:val="24"/>
              </w:rPr>
            </w:pPr>
            <w:r>
              <w:rPr>
                <w:rFonts w:cs="Times New Roman"/>
                <w:kern w:val="0"/>
                <w:sz w:val="24"/>
              </w:rPr>
              <w:t>0</w:t>
            </w:r>
          </w:p>
        </w:tc>
        <w:tc>
          <w:tcPr>
            <w:tcW w:w="1395" w:type="dxa"/>
            <w:shd w:val="clear" w:color="auto" w:fill="auto"/>
            <w:noWrap/>
            <w:vAlign w:val="center"/>
          </w:tcPr>
          <w:p>
            <w:pPr>
              <w:widowControl/>
              <w:adjustRightInd w:val="0"/>
              <w:snapToGrid w:val="0"/>
              <w:spacing w:line="240" w:lineRule="auto"/>
              <w:ind w:firstLine="0" w:firstLineChars="0"/>
              <w:jc w:val="center"/>
              <w:rPr>
                <w:rFonts w:cs="Times New Roman"/>
                <w:kern w:val="0"/>
                <w:sz w:val="24"/>
              </w:rPr>
            </w:pPr>
            <w:r>
              <w:rPr>
                <w:rFonts w:cs="Times New Roman"/>
                <w:kern w:val="0"/>
                <w:sz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911" w:type="dxa"/>
            <w:vMerge w:val="continue"/>
            <w:shd w:val="clear" w:color="auto" w:fill="auto"/>
            <w:vAlign w:val="center"/>
          </w:tcPr>
          <w:p>
            <w:pPr>
              <w:widowControl/>
              <w:adjustRightInd w:val="0"/>
              <w:snapToGrid w:val="0"/>
              <w:spacing w:line="240" w:lineRule="auto"/>
              <w:ind w:firstLine="0" w:firstLineChars="0"/>
              <w:rPr>
                <w:rFonts w:cs="Times New Roman"/>
                <w:sz w:val="24"/>
              </w:rPr>
            </w:pPr>
          </w:p>
        </w:tc>
        <w:tc>
          <w:tcPr>
            <w:tcW w:w="3995" w:type="dxa"/>
            <w:shd w:val="clear" w:color="auto" w:fill="auto"/>
            <w:vAlign w:val="center"/>
          </w:tcPr>
          <w:p>
            <w:pPr>
              <w:widowControl/>
              <w:adjustRightInd w:val="0"/>
              <w:snapToGrid w:val="0"/>
              <w:spacing w:line="240" w:lineRule="auto"/>
              <w:ind w:firstLine="0" w:firstLineChars="0"/>
              <w:jc w:val="center"/>
              <w:rPr>
                <w:rFonts w:cs="Times New Roman"/>
                <w:b/>
                <w:bCs/>
                <w:sz w:val="24"/>
              </w:rPr>
            </w:pPr>
            <w:r>
              <w:rPr>
                <w:rFonts w:cs="Times New Roman"/>
                <w:b/>
                <w:bCs/>
                <w:sz w:val="24"/>
              </w:rPr>
              <w:t>问题4满意度</w:t>
            </w:r>
          </w:p>
        </w:tc>
        <w:tc>
          <w:tcPr>
            <w:tcW w:w="2790" w:type="dxa"/>
            <w:gridSpan w:val="2"/>
            <w:shd w:val="clear" w:color="auto" w:fill="auto"/>
            <w:noWrap/>
            <w:vAlign w:val="center"/>
          </w:tcPr>
          <w:p>
            <w:pPr>
              <w:widowControl/>
              <w:adjustRightInd w:val="0"/>
              <w:snapToGrid w:val="0"/>
              <w:spacing w:line="240" w:lineRule="auto"/>
              <w:ind w:firstLine="0" w:firstLineChars="0"/>
              <w:jc w:val="center"/>
              <w:rPr>
                <w:rFonts w:cs="Times New Roman"/>
                <w:kern w:val="0"/>
                <w:sz w:val="24"/>
              </w:rPr>
            </w:pPr>
            <w:r>
              <w:rPr>
                <w:rFonts w:cs="Times New Roman"/>
                <w:b/>
                <w:bCs/>
                <w:kern w:val="0"/>
                <w:sz w:val="24"/>
              </w:rPr>
              <w:t>97.98%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911" w:type="dxa"/>
            <w:vMerge w:val="restart"/>
            <w:shd w:val="clear" w:color="auto" w:fill="auto"/>
            <w:vAlign w:val="center"/>
          </w:tcPr>
          <w:p>
            <w:pPr>
              <w:widowControl/>
              <w:snapToGrid w:val="0"/>
              <w:spacing w:line="240" w:lineRule="auto"/>
              <w:ind w:firstLine="0" w:firstLineChars="0"/>
              <w:rPr>
                <w:rFonts w:cs="Times New Roman"/>
                <w:sz w:val="24"/>
              </w:rPr>
            </w:pPr>
            <w:r>
              <w:rPr>
                <w:rFonts w:cs="Times New Roman"/>
                <w:b/>
                <w:bCs/>
                <w:kern w:val="0"/>
                <w:sz w:val="24"/>
              </w:rPr>
              <w:t>5.您对增城区应元学校高中部建设工程项目的配套工程建设是否满意：</w:t>
            </w:r>
          </w:p>
        </w:tc>
        <w:tc>
          <w:tcPr>
            <w:tcW w:w="3995" w:type="dxa"/>
            <w:shd w:val="clear" w:color="auto" w:fill="auto"/>
            <w:vAlign w:val="center"/>
          </w:tcPr>
          <w:p>
            <w:pPr>
              <w:pStyle w:val="13"/>
              <w:adjustRightInd w:val="0"/>
              <w:snapToGrid w:val="0"/>
              <w:spacing w:line="240" w:lineRule="auto"/>
              <w:ind w:firstLine="0" w:firstLineChars="0"/>
              <w:jc w:val="center"/>
              <w:rPr>
                <w:b/>
                <w:bCs/>
                <w:sz w:val="24"/>
              </w:rPr>
            </w:pPr>
            <w:r>
              <w:rPr>
                <w:rFonts w:eastAsia="仿宋_GB2312"/>
                <w:sz w:val="24"/>
              </w:rPr>
              <w:t>非常满意</w:t>
            </w:r>
          </w:p>
        </w:tc>
        <w:tc>
          <w:tcPr>
            <w:tcW w:w="1395" w:type="dxa"/>
            <w:shd w:val="clear" w:color="auto" w:fill="auto"/>
            <w:noWrap/>
            <w:vAlign w:val="center"/>
          </w:tcPr>
          <w:p>
            <w:pPr>
              <w:widowControl/>
              <w:adjustRightInd w:val="0"/>
              <w:snapToGrid w:val="0"/>
              <w:spacing w:line="240" w:lineRule="auto"/>
              <w:ind w:firstLine="0" w:firstLineChars="0"/>
              <w:jc w:val="center"/>
              <w:rPr>
                <w:rFonts w:cs="Times New Roman"/>
                <w:kern w:val="0"/>
                <w:sz w:val="24"/>
              </w:rPr>
            </w:pPr>
            <w:r>
              <w:rPr>
                <w:rFonts w:cs="Times New Roman"/>
                <w:kern w:val="0"/>
                <w:sz w:val="24"/>
              </w:rPr>
              <w:t>89</w:t>
            </w:r>
          </w:p>
        </w:tc>
        <w:tc>
          <w:tcPr>
            <w:tcW w:w="1395" w:type="dxa"/>
            <w:shd w:val="clear" w:color="auto" w:fill="auto"/>
            <w:noWrap/>
            <w:vAlign w:val="center"/>
          </w:tcPr>
          <w:p>
            <w:pPr>
              <w:widowControl/>
              <w:adjustRightInd w:val="0"/>
              <w:snapToGrid w:val="0"/>
              <w:spacing w:line="240" w:lineRule="auto"/>
              <w:ind w:firstLine="0" w:firstLineChars="0"/>
              <w:jc w:val="center"/>
              <w:rPr>
                <w:rFonts w:cs="Times New Roman"/>
                <w:kern w:val="0"/>
                <w:sz w:val="24"/>
              </w:rPr>
            </w:pPr>
            <w:r>
              <w:rPr>
                <w:rFonts w:cs="Times New Roman"/>
                <w:kern w:val="0"/>
                <w:sz w:val="24"/>
              </w:rPr>
              <w:t>89.90%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911" w:type="dxa"/>
            <w:vMerge w:val="continue"/>
            <w:shd w:val="clear" w:color="auto" w:fill="auto"/>
            <w:vAlign w:val="center"/>
          </w:tcPr>
          <w:p>
            <w:pPr>
              <w:widowControl/>
              <w:adjustRightInd w:val="0"/>
              <w:snapToGrid w:val="0"/>
              <w:spacing w:line="240" w:lineRule="auto"/>
              <w:ind w:firstLine="0" w:firstLineChars="0"/>
              <w:rPr>
                <w:rFonts w:cs="Times New Roman"/>
                <w:sz w:val="24"/>
              </w:rPr>
            </w:pPr>
          </w:p>
        </w:tc>
        <w:tc>
          <w:tcPr>
            <w:tcW w:w="3995" w:type="dxa"/>
            <w:shd w:val="clear" w:color="auto" w:fill="auto"/>
            <w:vAlign w:val="center"/>
          </w:tcPr>
          <w:p>
            <w:pPr>
              <w:pStyle w:val="13"/>
              <w:adjustRightInd w:val="0"/>
              <w:snapToGrid w:val="0"/>
              <w:spacing w:line="240" w:lineRule="auto"/>
              <w:ind w:firstLine="0" w:firstLineChars="0"/>
              <w:jc w:val="center"/>
              <w:rPr>
                <w:b/>
                <w:bCs/>
                <w:sz w:val="24"/>
              </w:rPr>
            </w:pPr>
            <w:r>
              <w:rPr>
                <w:rFonts w:eastAsia="仿宋_GB2312"/>
                <w:sz w:val="24"/>
              </w:rPr>
              <w:t>满意</w:t>
            </w:r>
          </w:p>
        </w:tc>
        <w:tc>
          <w:tcPr>
            <w:tcW w:w="1395" w:type="dxa"/>
            <w:shd w:val="clear" w:color="auto" w:fill="auto"/>
            <w:noWrap/>
            <w:vAlign w:val="center"/>
          </w:tcPr>
          <w:p>
            <w:pPr>
              <w:widowControl/>
              <w:adjustRightInd w:val="0"/>
              <w:snapToGrid w:val="0"/>
              <w:spacing w:line="240" w:lineRule="auto"/>
              <w:ind w:firstLine="0" w:firstLineChars="0"/>
              <w:jc w:val="center"/>
              <w:rPr>
                <w:rFonts w:cs="Times New Roman"/>
                <w:kern w:val="0"/>
                <w:sz w:val="24"/>
              </w:rPr>
            </w:pPr>
            <w:r>
              <w:rPr>
                <w:rFonts w:cs="Times New Roman"/>
                <w:kern w:val="0"/>
                <w:sz w:val="24"/>
              </w:rPr>
              <w:t>10</w:t>
            </w:r>
          </w:p>
        </w:tc>
        <w:tc>
          <w:tcPr>
            <w:tcW w:w="1395" w:type="dxa"/>
            <w:shd w:val="clear" w:color="auto" w:fill="auto"/>
            <w:noWrap/>
            <w:vAlign w:val="center"/>
          </w:tcPr>
          <w:p>
            <w:pPr>
              <w:widowControl/>
              <w:adjustRightInd w:val="0"/>
              <w:snapToGrid w:val="0"/>
              <w:spacing w:line="240" w:lineRule="auto"/>
              <w:ind w:firstLine="0" w:firstLineChars="0"/>
              <w:jc w:val="center"/>
              <w:rPr>
                <w:rFonts w:cs="Times New Roman"/>
                <w:kern w:val="0"/>
                <w:sz w:val="24"/>
              </w:rPr>
            </w:pPr>
            <w:r>
              <w:rPr>
                <w:rFonts w:cs="Times New Roman"/>
                <w:kern w:val="0"/>
                <w:sz w:val="24"/>
              </w:rPr>
              <w:t>10.10%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911" w:type="dxa"/>
            <w:vMerge w:val="continue"/>
            <w:shd w:val="clear" w:color="auto" w:fill="auto"/>
            <w:vAlign w:val="center"/>
          </w:tcPr>
          <w:p>
            <w:pPr>
              <w:widowControl/>
              <w:adjustRightInd w:val="0"/>
              <w:snapToGrid w:val="0"/>
              <w:spacing w:line="240" w:lineRule="auto"/>
              <w:ind w:firstLine="0" w:firstLineChars="0"/>
              <w:rPr>
                <w:rFonts w:cs="Times New Roman"/>
                <w:sz w:val="24"/>
              </w:rPr>
            </w:pPr>
          </w:p>
        </w:tc>
        <w:tc>
          <w:tcPr>
            <w:tcW w:w="3995" w:type="dxa"/>
            <w:shd w:val="clear" w:color="auto" w:fill="auto"/>
            <w:vAlign w:val="center"/>
          </w:tcPr>
          <w:p>
            <w:pPr>
              <w:pStyle w:val="13"/>
              <w:adjustRightInd w:val="0"/>
              <w:snapToGrid w:val="0"/>
              <w:spacing w:line="240" w:lineRule="auto"/>
              <w:ind w:firstLine="0" w:firstLineChars="0"/>
              <w:jc w:val="center"/>
              <w:rPr>
                <w:b/>
                <w:bCs/>
                <w:sz w:val="24"/>
              </w:rPr>
            </w:pPr>
            <w:r>
              <w:rPr>
                <w:rFonts w:eastAsia="仿宋_GB2312"/>
                <w:sz w:val="24"/>
              </w:rPr>
              <w:t>一般</w:t>
            </w:r>
          </w:p>
        </w:tc>
        <w:tc>
          <w:tcPr>
            <w:tcW w:w="1395" w:type="dxa"/>
            <w:shd w:val="clear" w:color="auto" w:fill="auto"/>
            <w:noWrap/>
            <w:vAlign w:val="center"/>
          </w:tcPr>
          <w:p>
            <w:pPr>
              <w:widowControl/>
              <w:adjustRightInd w:val="0"/>
              <w:snapToGrid w:val="0"/>
              <w:spacing w:line="240" w:lineRule="auto"/>
              <w:ind w:firstLine="0" w:firstLineChars="0"/>
              <w:jc w:val="center"/>
              <w:rPr>
                <w:rFonts w:cs="Times New Roman"/>
                <w:kern w:val="0"/>
                <w:sz w:val="24"/>
              </w:rPr>
            </w:pPr>
            <w:r>
              <w:rPr>
                <w:rFonts w:cs="Times New Roman"/>
                <w:kern w:val="0"/>
                <w:sz w:val="24"/>
              </w:rPr>
              <w:t>0</w:t>
            </w:r>
          </w:p>
        </w:tc>
        <w:tc>
          <w:tcPr>
            <w:tcW w:w="1395" w:type="dxa"/>
            <w:shd w:val="clear" w:color="auto" w:fill="auto"/>
            <w:noWrap/>
            <w:vAlign w:val="center"/>
          </w:tcPr>
          <w:p>
            <w:pPr>
              <w:widowControl/>
              <w:adjustRightInd w:val="0"/>
              <w:snapToGrid w:val="0"/>
              <w:spacing w:line="240" w:lineRule="auto"/>
              <w:ind w:firstLine="0" w:firstLineChars="0"/>
              <w:jc w:val="center"/>
              <w:rPr>
                <w:rFonts w:cs="Times New Roman"/>
                <w:kern w:val="0"/>
                <w:sz w:val="24"/>
              </w:rPr>
            </w:pPr>
            <w:r>
              <w:rPr>
                <w:rFonts w:cs="Times New Roman"/>
                <w:kern w:val="0"/>
                <w:sz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911" w:type="dxa"/>
            <w:vMerge w:val="continue"/>
            <w:shd w:val="clear" w:color="auto" w:fill="auto"/>
            <w:vAlign w:val="center"/>
          </w:tcPr>
          <w:p>
            <w:pPr>
              <w:widowControl/>
              <w:snapToGrid w:val="0"/>
              <w:spacing w:line="240" w:lineRule="auto"/>
              <w:ind w:firstLine="0" w:firstLineChars="0"/>
              <w:rPr>
                <w:rFonts w:cs="Times New Roman"/>
                <w:kern w:val="0"/>
                <w:sz w:val="24"/>
              </w:rPr>
            </w:pPr>
          </w:p>
        </w:tc>
        <w:tc>
          <w:tcPr>
            <w:tcW w:w="3995" w:type="dxa"/>
            <w:shd w:val="clear" w:color="auto" w:fill="auto"/>
            <w:vAlign w:val="center"/>
          </w:tcPr>
          <w:p>
            <w:pPr>
              <w:pStyle w:val="13"/>
              <w:adjustRightInd w:val="0"/>
              <w:snapToGrid w:val="0"/>
              <w:spacing w:line="240" w:lineRule="auto"/>
              <w:ind w:firstLine="0" w:firstLineChars="0"/>
              <w:jc w:val="center"/>
              <w:rPr>
                <w:b/>
                <w:bCs/>
                <w:sz w:val="24"/>
              </w:rPr>
            </w:pPr>
            <w:r>
              <w:rPr>
                <w:rFonts w:eastAsia="仿宋_GB2312"/>
                <w:sz w:val="24"/>
              </w:rPr>
              <w:t>不太满意</w:t>
            </w:r>
          </w:p>
        </w:tc>
        <w:tc>
          <w:tcPr>
            <w:tcW w:w="1395" w:type="dxa"/>
            <w:shd w:val="clear" w:color="auto" w:fill="auto"/>
            <w:noWrap/>
            <w:vAlign w:val="center"/>
          </w:tcPr>
          <w:p>
            <w:pPr>
              <w:widowControl/>
              <w:adjustRightInd w:val="0"/>
              <w:snapToGrid w:val="0"/>
              <w:spacing w:line="240" w:lineRule="auto"/>
              <w:ind w:firstLine="0" w:firstLineChars="0"/>
              <w:jc w:val="center"/>
              <w:rPr>
                <w:rFonts w:cs="Times New Roman"/>
                <w:kern w:val="0"/>
                <w:sz w:val="24"/>
              </w:rPr>
            </w:pPr>
            <w:r>
              <w:rPr>
                <w:rFonts w:cs="Times New Roman"/>
                <w:kern w:val="0"/>
                <w:sz w:val="24"/>
              </w:rPr>
              <w:t>0</w:t>
            </w:r>
          </w:p>
        </w:tc>
        <w:tc>
          <w:tcPr>
            <w:tcW w:w="1395" w:type="dxa"/>
            <w:shd w:val="clear" w:color="auto" w:fill="auto"/>
            <w:noWrap/>
            <w:vAlign w:val="center"/>
          </w:tcPr>
          <w:p>
            <w:pPr>
              <w:widowControl/>
              <w:adjustRightInd w:val="0"/>
              <w:snapToGrid w:val="0"/>
              <w:spacing w:line="240" w:lineRule="auto"/>
              <w:ind w:firstLine="0" w:firstLineChars="0"/>
              <w:jc w:val="center"/>
              <w:rPr>
                <w:rFonts w:cs="Times New Roman"/>
                <w:kern w:val="0"/>
                <w:sz w:val="24"/>
              </w:rPr>
            </w:pPr>
            <w:r>
              <w:rPr>
                <w:rFonts w:cs="Times New Roman"/>
                <w:kern w:val="0"/>
                <w:sz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911" w:type="dxa"/>
            <w:vMerge w:val="continue"/>
            <w:shd w:val="clear" w:color="auto" w:fill="auto"/>
            <w:vAlign w:val="center"/>
          </w:tcPr>
          <w:p>
            <w:pPr>
              <w:widowControl/>
              <w:adjustRightInd w:val="0"/>
              <w:snapToGrid w:val="0"/>
              <w:spacing w:line="240" w:lineRule="auto"/>
              <w:ind w:firstLine="0" w:firstLineChars="0"/>
              <w:rPr>
                <w:rFonts w:cs="Times New Roman"/>
                <w:sz w:val="24"/>
              </w:rPr>
            </w:pPr>
          </w:p>
        </w:tc>
        <w:tc>
          <w:tcPr>
            <w:tcW w:w="3995" w:type="dxa"/>
            <w:shd w:val="clear" w:color="auto" w:fill="auto"/>
            <w:vAlign w:val="center"/>
          </w:tcPr>
          <w:p>
            <w:pPr>
              <w:widowControl/>
              <w:adjustRightInd w:val="0"/>
              <w:snapToGrid w:val="0"/>
              <w:spacing w:line="240" w:lineRule="auto"/>
              <w:ind w:firstLine="0" w:firstLineChars="0"/>
              <w:jc w:val="center"/>
              <w:rPr>
                <w:rFonts w:cs="Times New Roman"/>
                <w:b/>
                <w:bCs/>
                <w:sz w:val="24"/>
              </w:rPr>
            </w:pPr>
            <w:r>
              <w:rPr>
                <w:rFonts w:cs="Times New Roman"/>
                <w:sz w:val="24"/>
              </w:rPr>
              <w:t>不满意</w:t>
            </w:r>
          </w:p>
        </w:tc>
        <w:tc>
          <w:tcPr>
            <w:tcW w:w="1395" w:type="dxa"/>
            <w:shd w:val="clear" w:color="auto" w:fill="auto"/>
            <w:noWrap/>
            <w:vAlign w:val="center"/>
          </w:tcPr>
          <w:p>
            <w:pPr>
              <w:widowControl/>
              <w:adjustRightInd w:val="0"/>
              <w:snapToGrid w:val="0"/>
              <w:spacing w:line="240" w:lineRule="auto"/>
              <w:ind w:firstLine="0" w:firstLineChars="0"/>
              <w:jc w:val="center"/>
              <w:rPr>
                <w:rFonts w:cs="Times New Roman"/>
                <w:kern w:val="0"/>
                <w:sz w:val="24"/>
              </w:rPr>
            </w:pPr>
            <w:r>
              <w:rPr>
                <w:rFonts w:cs="Times New Roman"/>
                <w:kern w:val="0"/>
                <w:sz w:val="24"/>
              </w:rPr>
              <w:t>0</w:t>
            </w:r>
          </w:p>
        </w:tc>
        <w:tc>
          <w:tcPr>
            <w:tcW w:w="1395" w:type="dxa"/>
            <w:shd w:val="clear" w:color="auto" w:fill="auto"/>
            <w:noWrap/>
            <w:vAlign w:val="center"/>
          </w:tcPr>
          <w:p>
            <w:pPr>
              <w:widowControl/>
              <w:adjustRightInd w:val="0"/>
              <w:snapToGrid w:val="0"/>
              <w:spacing w:line="240" w:lineRule="auto"/>
              <w:ind w:firstLine="0" w:firstLineChars="0"/>
              <w:jc w:val="center"/>
              <w:rPr>
                <w:rFonts w:cs="Times New Roman"/>
                <w:kern w:val="0"/>
                <w:sz w:val="24"/>
              </w:rPr>
            </w:pPr>
            <w:r>
              <w:rPr>
                <w:rFonts w:cs="Times New Roman"/>
                <w:kern w:val="0"/>
                <w:sz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911" w:type="dxa"/>
            <w:vMerge w:val="continue"/>
            <w:shd w:val="clear" w:color="auto" w:fill="auto"/>
            <w:vAlign w:val="center"/>
          </w:tcPr>
          <w:p>
            <w:pPr>
              <w:widowControl/>
              <w:adjustRightInd w:val="0"/>
              <w:snapToGrid w:val="0"/>
              <w:spacing w:line="240" w:lineRule="auto"/>
              <w:ind w:firstLine="0" w:firstLineChars="0"/>
              <w:rPr>
                <w:rFonts w:cs="Times New Roman"/>
                <w:sz w:val="24"/>
              </w:rPr>
            </w:pPr>
          </w:p>
        </w:tc>
        <w:tc>
          <w:tcPr>
            <w:tcW w:w="3995" w:type="dxa"/>
            <w:shd w:val="clear" w:color="auto" w:fill="auto"/>
            <w:vAlign w:val="center"/>
          </w:tcPr>
          <w:p>
            <w:pPr>
              <w:widowControl/>
              <w:adjustRightInd w:val="0"/>
              <w:snapToGrid w:val="0"/>
              <w:spacing w:line="240" w:lineRule="auto"/>
              <w:ind w:firstLine="0" w:firstLineChars="0"/>
              <w:jc w:val="center"/>
              <w:rPr>
                <w:rFonts w:cs="Times New Roman"/>
                <w:b/>
                <w:bCs/>
                <w:sz w:val="24"/>
              </w:rPr>
            </w:pPr>
            <w:r>
              <w:rPr>
                <w:rFonts w:cs="Times New Roman"/>
                <w:b/>
                <w:bCs/>
                <w:sz w:val="24"/>
              </w:rPr>
              <w:t>问题5满意度</w:t>
            </w:r>
          </w:p>
        </w:tc>
        <w:tc>
          <w:tcPr>
            <w:tcW w:w="2790" w:type="dxa"/>
            <w:gridSpan w:val="2"/>
            <w:shd w:val="clear" w:color="auto" w:fill="auto"/>
            <w:noWrap/>
            <w:vAlign w:val="center"/>
          </w:tcPr>
          <w:p>
            <w:pPr>
              <w:widowControl/>
              <w:adjustRightInd w:val="0"/>
              <w:snapToGrid w:val="0"/>
              <w:spacing w:line="240" w:lineRule="auto"/>
              <w:ind w:firstLine="0" w:firstLineChars="0"/>
              <w:jc w:val="center"/>
              <w:rPr>
                <w:rFonts w:cs="Times New Roman"/>
                <w:b/>
                <w:bCs/>
                <w:kern w:val="0"/>
                <w:sz w:val="24"/>
              </w:rPr>
            </w:pPr>
            <w:r>
              <w:rPr>
                <w:rFonts w:cs="Times New Roman"/>
                <w:b/>
                <w:bCs/>
                <w:kern w:val="0"/>
                <w:sz w:val="24"/>
              </w:rPr>
              <w:t>97.98%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911" w:type="dxa"/>
            <w:vMerge w:val="restart"/>
            <w:shd w:val="clear" w:color="auto" w:fill="auto"/>
            <w:vAlign w:val="center"/>
          </w:tcPr>
          <w:p>
            <w:pPr>
              <w:widowControl/>
              <w:snapToGrid w:val="0"/>
              <w:spacing w:line="240" w:lineRule="auto"/>
              <w:ind w:firstLine="0" w:firstLineChars="0"/>
              <w:rPr>
                <w:rFonts w:cs="Times New Roman"/>
                <w:sz w:val="24"/>
              </w:rPr>
            </w:pPr>
            <w:r>
              <w:rPr>
                <w:rFonts w:cs="Times New Roman"/>
                <w:b/>
                <w:bCs/>
                <w:kern w:val="0"/>
                <w:sz w:val="24"/>
              </w:rPr>
              <w:t>6.您对增城区应元学校高中部建设工程项目的建设规模是否满意:</w:t>
            </w:r>
          </w:p>
        </w:tc>
        <w:tc>
          <w:tcPr>
            <w:tcW w:w="3995" w:type="dxa"/>
            <w:shd w:val="clear" w:color="auto" w:fill="auto"/>
            <w:vAlign w:val="center"/>
          </w:tcPr>
          <w:p>
            <w:pPr>
              <w:pStyle w:val="13"/>
              <w:adjustRightInd w:val="0"/>
              <w:snapToGrid w:val="0"/>
              <w:spacing w:line="240" w:lineRule="auto"/>
              <w:ind w:firstLine="0" w:firstLineChars="0"/>
              <w:jc w:val="center"/>
              <w:rPr>
                <w:b/>
                <w:bCs/>
                <w:sz w:val="24"/>
              </w:rPr>
            </w:pPr>
            <w:r>
              <w:rPr>
                <w:rFonts w:eastAsia="仿宋_GB2312"/>
                <w:sz w:val="24"/>
              </w:rPr>
              <w:t>非常满意</w:t>
            </w:r>
          </w:p>
        </w:tc>
        <w:tc>
          <w:tcPr>
            <w:tcW w:w="1395" w:type="dxa"/>
            <w:shd w:val="clear" w:color="auto" w:fill="auto"/>
            <w:noWrap/>
            <w:vAlign w:val="center"/>
          </w:tcPr>
          <w:p>
            <w:pPr>
              <w:widowControl/>
              <w:adjustRightInd w:val="0"/>
              <w:snapToGrid w:val="0"/>
              <w:spacing w:line="240" w:lineRule="auto"/>
              <w:ind w:firstLine="0" w:firstLineChars="0"/>
              <w:jc w:val="center"/>
              <w:rPr>
                <w:rFonts w:cs="Times New Roman"/>
                <w:kern w:val="0"/>
                <w:sz w:val="24"/>
              </w:rPr>
            </w:pPr>
            <w:r>
              <w:rPr>
                <w:rFonts w:cs="Times New Roman"/>
                <w:kern w:val="0"/>
                <w:sz w:val="24"/>
              </w:rPr>
              <w:t>82</w:t>
            </w:r>
          </w:p>
        </w:tc>
        <w:tc>
          <w:tcPr>
            <w:tcW w:w="1395" w:type="dxa"/>
            <w:shd w:val="clear" w:color="auto" w:fill="auto"/>
            <w:noWrap/>
            <w:vAlign w:val="center"/>
          </w:tcPr>
          <w:p>
            <w:pPr>
              <w:widowControl/>
              <w:adjustRightInd w:val="0"/>
              <w:snapToGrid w:val="0"/>
              <w:spacing w:line="240" w:lineRule="auto"/>
              <w:ind w:firstLine="0" w:firstLineChars="0"/>
              <w:jc w:val="center"/>
              <w:rPr>
                <w:rFonts w:cs="Times New Roman"/>
                <w:b/>
                <w:bCs/>
                <w:kern w:val="0"/>
                <w:sz w:val="24"/>
              </w:rPr>
            </w:pPr>
            <w:r>
              <w:rPr>
                <w:rFonts w:cs="Times New Roman"/>
                <w:kern w:val="0"/>
                <w:sz w:val="24"/>
              </w:rPr>
              <w:t>82.83%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911" w:type="dxa"/>
            <w:vMerge w:val="continue"/>
            <w:shd w:val="clear" w:color="auto" w:fill="auto"/>
            <w:vAlign w:val="center"/>
          </w:tcPr>
          <w:p>
            <w:pPr>
              <w:widowControl/>
              <w:adjustRightInd w:val="0"/>
              <w:snapToGrid w:val="0"/>
              <w:spacing w:line="240" w:lineRule="auto"/>
              <w:ind w:firstLine="0" w:firstLineChars="0"/>
              <w:rPr>
                <w:rFonts w:cs="Times New Roman"/>
                <w:sz w:val="24"/>
              </w:rPr>
            </w:pPr>
          </w:p>
        </w:tc>
        <w:tc>
          <w:tcPr>
            <w:tcW w:w="3995" w:type="dxa"/>
            <w:shd w:val="clear" w:color="auto" w:fill="auto"/>
            <w:vAlign w:val="center"/>
          </w:tcPr>
          <w:p>
            <w:pPr>
              <w:pStyle w:val="13"/>
              <w:adjustRightInd w:val="0"/>
              <w:snapToGrid w:val="0"/>
              <w:spacing w:line="240" w:lineRule="auto"/>
              <w:ind w:firstLine="0" w:firstLineChars="0"/>
              <w:jc w:val="center"/>
              <w:rPr>
                <w:b/>
                <w:bCs/>
                <w:sz w:val="24"/>
              </w:rPr>
            </w:pPr>
            <w:r>
              <w:rPr>
                <w:rFonts w:eastAsia="仿宋_GB2312"/>
                <w:sz w:val="24"/>
              </w:rPr>
              <w:t>满意</w:t>
            </w:r>
          </w:p>
        </w:tc>
        <w:tc>
          <w:tcPr>
            <w:tcW w:w="1395" w:type="dxa"/>
            <w:shd w:val="clear" w:color="auto" w:fill="auto"/>
            <w:noWrap/>
            <w:vAlign w:val="center"/>
          </w:tcPr>
          <w:p>
            <w:pPr>
              <w:widowControl/>
              <w:adjustRightInd w:val="0"/>
              <w:snapToGrid w:val="0"/>
              <w:spacing w:line="240" w:lineRule="auto"/>
              <w:ind w:firstLine="0" w:firstLineChars="0"/>
              <w:jc w:val="center"/>
              <w:rPr>
                <w:rFonts w:cs="Times New Roman"/>
                <w:kern w:val="0"/>
                <w:sz w:val="24"/>
              </w:rPr>
            </w:pPr>
            <w:r>
              <w:rPr>
                <w:rFonts w:cs="Times New Roman"/>
                <w:kern w:val="0"/>
                <w:sz w:val="24"/>
              </w:rPr>
              <w:t>15</w:t>
            </w:r>
          </w:p>
        </w:tc>
        <w:tc>
          <w:tcPr>
            <w:tcW w:w="1395" w:type="dxa"/>
            <w:shd w:val="clear" w:color="auto" w:fill="auto"/>
            <w:noWrap/>
            <w:vAlign w:val="center"/>
          </w:tcPr>
          <w:p>
            <w:pPr>
              <w:widowControl/>
              <w:adjustRightInd w:val="0"/>
              <w:snapToGrid w:val="0"/>
              <w:spacing w:line="240" w:lineRule="auto"/>
              <w:ind w:firstLine="0" w:firstLineChars="0"/>
              <w:jc w:val="center"/>
              <w:rPr>
                <w:rFonts w:cs="Times New Roman"/>
                <w:b/>
                <w:bCs/>
                <w:kern w:val="0"/>
                <w:sz w:val="24"/>
              </w:rPr>
            </w:pPr>
            <w:r>
              <w:rPr>
                <w:rFonts w:cs="Times New Roman"/>
                <w:kern w:val="0"/>
                <w:sz w:val="24"/>
              </w:rPr>
              <w:t>15.15%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911" w:type="dxa"/>
            <w:vMerge w:val="continue"/>
            <w:shd w:val="clear" w:color="auto" w:fill="auto"/>
            <w:vAlign w:val="center"/>
          </w:tcPr>
          <w:p>
            <w:pPr>
              <w:widowControl/>
              <w:adjustRightInd w:val="0"/>
              <w:snapToGrid w:val="0"/>
              <w:spacing w:line="240" w:lineRule="auto"/>
              <w:ind w:firstLine="0" w:firstLineChars="0"/>
              <w:rPr>
                <w:rFonts w:cs="Times New Roman"/>
                <w:sz w:val="24"/>
              </w:rPr>
            </w:pPr>
          </w:p>
        </w:tc>
        <w:tc>
          <w:tcPr>
            <w:tcW w:w="3995" w:type="dxa"/>
            <w:shd w:val="clear" w:color="auto" w:fill="auto"/>
            <w:vAlign w:val="center"/>
          </w:tcPr>
          <w:p>
            <w:pPr>
              <w:pStyle w:val="13"/>
              <w:adjustRightInd w:val="0"/>
              <w:snapToGrid w:val="0"/>
              <w:spacing w:line="240" w:lineRule="auto"/>
              <w:ind w:firstLine="0" w:firstLineChars="0"/>
              <w:jc w:val="center"/>
              <w:rPr>
                <w:b/>
                <w:bCs/>
                <w:sz w:val="24"/>
              </w:rPr>
            </w:pPr>
            <w:r>
              <w:rPr>
                <w:rFonts w:eastAsia="仿宋_GB2312"/>
                <w:sz w:val="24"/>
              </w:rPr>
              <w:t>一般</w:t>
            </w:r>
          </w:p>
        </w:tc>
        <w:tc>
          <w:tcPr>
            <w:tcW w:w="1395" w:type="dxa"/>
            <w:shd w:val="clear" w:color="auto" w:fill="auto"/>
            <w:noWrap/>
            <w:vAlign w:val="center"/>
          </w:tcPr>
          <w:p>
            <w:pPr>
              <w:widowControl/>
              <w:adjustRightInd w:val="0"/>
              <w:snapToGrid w:val="0"/>
              <w:spacing w:line="240" w:lineRule="auto"/>
              <w:ind w:firstLine="0" w:firstLineChars="0"/>
              <w:jc w:val="center"/>
              <w:rPr>
                <w:rFonts w:cs="Times New Roman"/>
                <w:kern w:val="0"/>
                <w:sz w:val="24"/>
              </w:rPr>
            </w:pPr>
            <w:r>
              <w:rPr>
                <w:rFonts w:cs="Times New Roman"/>
                <w:kern w:val="0"/>
                <w:sz w:val="24"/>
              </w:rPr>
              <w:t>2</w:t>
            </w:r>
          </w:p>
        </w:tc>
        <w:tc>
          <w:tcPr>
            <w:tcW w:w="1395" w:type="dxa"/>
            <w:shd w:val="clear" w:color="auto" w:fill="auto"/>
            <w:noWrap/>
            <w:vAlign w:val="center"/>
          </w:tcPr>
          <w:p>
            <w:pPr>
              <w:widowControl/>
              <w:adjustRightInd w:val="0"/>
              <w:snapToGrid w:val="0"/>
              <w:spacing w:line="240" w:lineRule="auto"/>
              <w:ind w:firstLine="0" w:firstLineChars="0"/>
              <w:jc w:val="center"/>
              <w:rPr>
                <w:rFonts w:cs="Times New Roman"/>
                <w:b/>
                <w:bCs/>
                <w:kern w:val="0"/>
                <w:sz w:val="24"/>
              </w:rPr>
            </w:pPr>
            <w:r>
              <w:rPr>
                <w:rFonts w:cs="Times New Roman"/>
                <w:kern w:val="0"/>
                <w:sz w:val="24"/>
              </w:rPr>
              <w:t>2.02%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911" w:type="dxa"/>
            <w:vMerge w:val="continue"/>
            <w:shd w:val="clear" w:color="auto" w:fill="auto"/>
            <w:vAlign w:val="center"/>
          </w:tcPr>
          <w:p>
            <w:pPr>
              <w:widowControl/>
              <w:adjustRightInd w:val="0"/>
              <w:snapToGrid w:val="0"/>
              <w:spacing w:line="240" w:lineRule="auto"/>
              <w:ind w:firstLine="0" w:firstLineChars="0"/>
              <w:rPr>
                <w:rFonts w:cs="Times New Roman"/>
                <w:sz w:val="24"/>
              </w:rPr>
            </w:pPr>
          </w:p>
        </w:tc>
        <w:tc>
          <w:tcPr>
            <w:tcW w:w="3995" w:type="dxa"/>
            <w:shd w:val="clear" w:color="auto" w:fill="auto"/>
            <w:vAlign w:val="center"/>
          </w:tcPr>
          <w:p>
            <w:pPr>
              <w:pStyle w:val="13"/>
              <w:adjustRightInd w:val="0"/>
              <w:snapToGrid w:val="0"/>
              <w:spacing w:line="240" w:lineRule="auto"/>
              <w:ind w:firstLine="0" w:firstLineChars="0"/>
              <w:jc w:val="center"/>
              <w:rPr>
                <w:b/>
                <w:bCs/>
                <w:sz w:val="24"/>
              </w:rPr>
            </w:pPr>
            <w:r>
              <w:rPr>
                <w:rFonts w:eastAsia="仿宋_GB2312"/>
                <w:sz w:val="24"/>
              </w:rPr>
              <w:t>不太满意</w:t>
            </w:r>
          </w:p>
        </w:tc>
        <w:tc>
          <w:tcPr>
            <w:tcW w:w="1395" w:type="dxa"/>
            <w:shd w:val="clear" w:color="auto" w:fill="auto"/>
            <w:noWrap/>
            <w:vAlign w:val="center"/>
          </w:tcPr>
          <w:p>
            <w:pPr>
              <w:widowControl/>
              <w:adjustRightInd w:val="0"/>
              <w:snapToGrid w:val="0"/>
              <w:spacing w:line="240" w:lineRule="auto"/>
              <w:ind w:firstLine="0" w:firstLineChars="0"/>
              <w:jc w:val="center"/>
              <w:rPr>
                <w:rFonts w:cs="Times New Roman"/>
                <w:kern w:val="0"/>
                <w:sz w:val="24"/>
              </w:rPr>
            </w:pPr>
            <w:r>
              <w:rPr>
                <w:rFonts w:cs="Times New Roman"/>
                <w:kern w:val="0"/>
                <w:sz w:val="24"/>
              </w:rPr>
              <w:t>0</w:t>
            </w:r>
          </w:p>
        </w:tc>
        <w:tc>
          <w:tcPr>
            <w:tcW w:w="1395" w:type="dxa"/>
            <w:shd w:val="clear" w:color="auto" w:fill="auto"/>
            <w:noWrap/>
            <w:vAlign w:val="center"/>
          </w:tcPr>
          <w:p>
            <w:pPr>
              <w:widowControl/>
              <w:adjustRightInd w:val="0"/>
              <w:snapToGrid w:val="0"/>
              <w:spacing w:line="240" w:lineRule="auto"/>
              <w:ind w:firstLine="0" w:firstLineChars="0"/>
              <w:jc w:val="center"/>
              <w:rPr>
                <w:rFonts w:cs="Times New Roman"/>
                <w:b/>
                <w:bCs/>
                <w:kern w:val="0"/>
                <w:sz w:val="24"/>
              </w:rPr>
            </w:pPr>
            <w:r>
              <w:rPr>
                <w:rFonts w:cs="Times New Roman"/>
                <w:kern w:val="0"/>
                <w:sz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911" w:type="dxa"/>
            <w:vMerge w:val="continue"/>
            <w:shd w:val="clear" w:color="auto" w:fill="auto"/>
            <w:vAlign w:val="center"/>
          </w:tcPr>
          <w:p>
            <w:pPr>
              <w:widowControl/>
              <w:adjustRightInd w:val="0"/>
              <w:snapToGrid w:val="0"/>
              <w:spacing w:line="240" w:lineRule="auto"/>
              <w:ind w:firstLine="0" w:firstLineChars="0"/>
              <w:rPr>
                <w:rFonts w:cs="Times New Roman"/>
                <w:sz w:val="24"/>
              </w:rPr>
            </w:pPr>
          </w:p>
        </w:tc>
        <w:tc>
          <w:tcPr>
            <w:tcW w:w="3995" w:type="dxa"/>
            <w:shd w:val="clear" w:color="auto" w:fill="auto"/>
            <w:vAlign w:val="center"/>
          </w:tcPr>
          <w:p>
            <w:pPr>
              <w:widowControl/>
              <w:adjustRightInd w:val="0"/>
              <w:snapToGrid w:val="0"/>
              <w:spacing w:line="240" w:lineRule="auto"/>
              <w:ind w:firstLine="0" w:firstLineChars="0"/>
              <w:jc w:val="center"/>
              <w:rPr>
                <w:rFonts w:cs="Times New Roman"/>
                <w:b/>
                <w:bCs/>
                <w:sz w:val="24"/>
              </w:rPr>
            </w:pPr>
            <w:r>
              <w:rPr>
                <w:rFonts w:cs="Times New Roman"/>
                <w:sz w:val="24"/>
              </w:rPr>
              <w:t>不满意</w:t>
            </w:r>
          </w:p>
        </w:tc>
        <w:tc>
          <w:tcPr>
            <w:tcW w:w="1395" w:type="dxa"/>
            <w:shd w:val="clear" w:color="auto" w:fill="auto"/>
            <w:noWrap/>
            <w:vAlign w:val="center"/>
          </w:tcPr>
          <w:p>
            <w:pPr>
              <w:widowControl/>
              <w:adjustRightInd w:val="0"/>
              <w:snapToGrid w:val="0"/>
              <w:spacing w:line="240" w:lineRule="auto"/>
              <w:ind w:firstLine="0" w:firstLineChars="0"/>
              <w:jc w:val="center"/>
              <w:rPr>
                <w:rFonts w:cs="Times New Roman"/>
                <w:kern w:val="0"/>
                <w:sz w:val="24"/>
              </w:rPr>
            </w:pPr>
            <w:r>
              <w:rPr>
                <w:rFonts w:cs="Times New Roman"/>
                <w:kern w:val="0"/>
                <w:sz w:val="24"/>
              </w:rPr>
              <w:t>0</w:t>
            </w:r>
          </w:p>
        </w:tc>
        <w:tc>
          <w:tcPr>
            <w:tcW w:w="1395" w:type="dxa"/>
            <w:shd w:val="clear" w:color="auto" w:fill="auto"/>
            <w:noWrap/>
            <w:vAlign w:val="center"/>
          </w:tcPr>
          <w:p>
            <w:pPr>
              <w:widowControl/>
              <w:adjustRightInd w:val="0"/>
              <w:snapToGrid w:val="0"/>
              <w:spacing w:line="240" w:lineRule="auto"/>
              <w:ind w:firstLine="0" w:firstLineChars="0"/>
              <w:jc w:val="center"/>
              <w:rPr>
                <w:rFonts w:cs="Times New Roman"/>
                <w:b/>
                <w:bCs/>
                <w:kern w:val="0"/>
                <w:sz w:val="24"/>
              </w:rPr>
            </w:pPr>
            <w:r>
              <w:rPr>
                <w:rFonts w:cs="Times New Roman"/>
                <w:kern w:val="0"/>
                <w:sz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911" w:type="dxa"/>
            <w:vMerge w:val="continue"/>
            <w:shd w:val="clear" w:color="auto" w:fill="auto"/>
            <w:vAlign w:val="center"/>
          </w:tcPr>
          <w:p>
            <w:pPr>
              <w:widowControl/>
              <w:adjustRightInd w:val="0"/>
              <w:snapToGrid w:val="0"/>
              <w:spacing w:line="240" w:lineRule="auto"/>
              <w:ind w:firstLine="0" w:firstLineChars="0"/>
              <w:rPr>
                <w:rFonts w:cs="Times New Roman"/>
                <w:sz w:val="24"/>
              </w:rPr>
            </w:pPr>
          </w:p>
        </w:tc>
        <w:tc>
          <w:tcPr>
            <w:tcW w:w="3995" w:type="dxa"/>
            <w:shd w:val="clear" w:color="auto" w:fill="auto"/>
            <w:vAlign w:val="center"/>
          </w:tcPr>
          <w:p>
            <w:pPr>
              <w:widowControl/>
              <w:adjustRightInd w:val="0"/>
              <w:snapToGrid w:val="0"/>
              <w:spacing w:line="240" w:lineRule="auto"/>
              <w:ind w:firstLine="0" w:firstLineChars="0"/>
              <w:jc w:val="center"/>
              <w:rPr>
                <w:rFonts w:cs="Times New Roman"/>
                <w:b/>
                <w:bCs/>
                <w:sz w:val="24"/>
              </w:rPr>
            </w:pPr>
            <w:r>
              <w:rPr>
                <w:rFonts w:cs="Times New Roman"/>
                <w:b/>
                <w:bCs/>
                <w:sz w:val="24"/>
              </w:rPr>
              <w:t>问题6满意度</w:t>
            </w:r>
          </w:p>
        </w:tc>
        <w:tc>
          <w:tcPr>
            <w:tcW w:w="2790" w:type="dxa"/>
            <w:gridSpan w:val="2"/>
            <w:shd w:val="clear" w:color="auto" w:fill="auto"/>
            <w:noWrap/>
            <w:vAlign w:val="center"/>
          </w:tcPr>
          <w:p>
            <w:pPr>
              <w:widowControl/>
              <w:adjustRightInd w:val="0"/>
              <w:snapToGrid w:val="0"/>
              <w:spacing w:line="240" w:lineRule="auto"/>
              <w:ind w:firstLine="0" w:firstLineChars="0"/>
              <w:jc w:val="center"/>
              <w:rPr>
                <w:rFonts w:cs="Times New Roman"/>
                <w:b/>
                <w:bCs/>
                <w:kern w:val="0"/>
                <w:sz w:val="24"/>
              </w:rPr>
            </w:pPr>
            <w:r>
              <w:rPr>
                <w:rFonts w:cs="Times New Roman"/>
                <w:b/>
                <w:bCs/>
                <w:kern w:val="0"/>
                <w:sz w:val="24"/>
              </w:rPr>
              <w:t>96.16%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911" w:type="dxa"/>
            <w:vMerge w:val="restart"/>
            <w:shd w:val="clear" w:color="auto" w:fill="auto"/>
            <w:vAlign w:val="center"/>
          </w:tcPr>
          <w:p>
            <w:pPr>
              <w:widowControl/>
              <w:adjustRightInd w:val="0"/>
              <w:snapToGrid w:val="0"/>
              <w:spacing w:line="240" w:lineRule="auto"/>
              <w:ind w:firstLine="0" w:firstLineChars="0"/>
              <w:rPr>
                <w:rFonts w:cs="Times New Roman"/>
                <w:sz w:val="24"/>
              </w:rPr>
            </w:pPr>
            <w:r>
              <w:rPr>
                <w:rFonts w:cs="Times New Roman"/>
                <w:b/>
                <w:bCs/>
                <w:sz w:val="24"/>
              </w:rPr>
              <w:t>7.您对增城区应元学校高中部建成后提供的学位数量是否满意:</w:t>
            </w:r>
          </w:p>
        </w:tc>
        <w:tc>
          <w:tcPr>
            <w:tcW w:w="3995" w:type="dxa"/>
            <w:shd w:val="clear" w:color="auto" w:fill="auto"/>
            <w:vAlign w:val="center"/>
          </w:tcPr>
          <w:p>
            <w:pPr>
              <w:pStyle w:val="13"/>
              <w:adjustRightInd w:val="0"/>
              <w:snapToGrid w:val="0"/>
              <w:spacing w:line="240" w:lineRule="auto"/>
              <w:ind w:firstLine="0" w:firstLineChars="0"/>
              <w:jc w:val="center"/>
              <w:rPr>
                <w:b/>
                <w:bCs/>
                <w:sz w:val="24"/>
              </w:rPr>
            </w:pPr>
            <w:r>
              <w:rPr>
                <w:rFonts w:eastAsia="仿宋_GB2312"/>
                <w:sz w:val="24"/>
              </w:rPr>
              <w:t>非常满意</w:t>
            </w:r>
          </w:p>
        </w:tc>
        <w:tc>
          <w:tcPr>
            <w:tcW w:w="1395" w:type="dxa"/>
            <w:shd w:val="clear" w:color="auto" w:fill="auto"/>
            <w:noWrap/>
            <w:vAlign w:val="center"/>
          </w:tcPr>
          <w:p>
            <w:pPr>
              <w:widowControl/>
              <w:adjustRightInd w:val="0"/>
              <w:snapToGrid w:val="0"/>
              <w:spacing w:line="240" w:lineRule="auto"/>
              <w:ind w:firstLine="0" w:firstLineChars="0"/>
              <w:jc w:val="center"/>
              <w:rPr>
                <w:rFonts w:cs="Times New Roman"/>
                <w:kern w:val="0"/>
                <w:sz w:val="24"/>
              </w:rPr>
            </w:pPr>
            <w:r>
              <w:rPr>
                <w:rFonts w:cs="Times New Roman"/>
                <w:kern w:val="0"/>
                <w:sz w:val="24"/>
              </w:rPr>
              <w:t>80</w:t>
            </w:r>
          </w:p>
        </w:tc>
        <w:tc>
          <w:tcPr>
            <w:tcW w:w="1395" w:type="dxa"/>
            <w:shd w:val="clear" w:color="auto" w:fill="auto"/>
            <w:noWrap/>
            <w:vAlign w:val="center"/>
          </w:tcPr>
          <w:p>
            <w:pPr>
              <w:widowControl/>
              <w:adjustRightInd w:val="0"/>
              <w:snapToGrid w:val="0"/>
              <w:spacing w:line="240" w:lineRule="auto"/>
              <w:ind w:firstLine="0" w:firstLineChars="0"/>
              <w:jc w:val="center"/>
              <w:rPr>
                <w:rFonts w:cs="Times New Roman"/>
                <w:b/>
                <w:bCs/>
                <w:kern w:val="0"/>
                <w:sz w:val="24"/>
              </w:rPr>
            </w:pPr>
            <w:r>
              <w:rPr>
                <w:rFonts w:cs="Times New Roman"/>
                <w:kern w:val="0"/>
                <w:sz w:val="24"/>
              </w:rPr>
              <w:t>80.81%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911" w:type="dxa"/>
            <w:vMerge w:val="continue"/>
            <w:shd w:val="clear" w:color="auto" w:fill="auto"/>
            <w:vAlign w:val="center"/>
          </w:tcPr>
          <w:p>
            <w:pPr>
              <w:widowControl/>
              <w:adjustRightInd w:val="0"/>
              <w:snapToGrid w:val="0"/>
              <w:spacing w:line="240" w:lineRule="auto"/>
              <w:ind w:firstLine="0" w:firstLineChars="0"/>
              <w:rPr>
                <w:rFonts w:cs="Times New Roman"/>
                <w:sz w:val="24"/>
              </w:rPr>
            </w:pPr>
          </w:p>
        </w:tc>
        <w:tc>
          <w:tcPr>
            <w:tcW w:w="3995" w:type="dxa"/>
            <w:shd w:val="clear" w:color="auto" w:fill="auto"/>
            <w:vAlign w:val="center"/>
          </w:tcPr>
          <w:p>
            <w:pPr>
              <w:pStyle w:val="13"/>
              <w:adjustRightInd w:val="0"/>
              <w:snapToGrid w:val="0"/>
              <w:spacing w:line="240" w:lineRule="auto"/>
              <w:ind w:firstLine="0" w:firstLineChars="0"/>
              <w:jc w:val="center"/>
              <w:rPr>
                <w:b/>
                <w:bCs/>
                <w:sz w:val="24"/>
              </w:rPr>
            </w:pPr>
            <w:r>
              <w:rPr>
                <w:rFonts w:eastAsia="仿宋_GB2312"/>
                <w:sz w:val="24"/>
              </w:rPr>
              <w:t>满意</w:t>
            </w:r>
          </w:p>
        </w:tc>
        <w:tc>
          <w:tcPr>
            <w:tcW w:w="1395" w:type="dxa"/>
            <w:shd w:val="clear" w:color="auto" w:fill="auto"/>
            <w:noWrap/>
            <w:vAlign w:val="center"/>
          </w:tcPr>
          <w:p>
            <w:pPr>
              <w:widowControl/>
              <w:adjustRightInd w:val="0"/>
              <w:snapToGrid w:val="0"/>
              <w:spacing w:line="240" w:lineRule="auto"/>
              <w:ind w:firstLine="0" w:firstLineChars="0"/>
              <w:jc w:val="center"/>
              <w:rPr>
                <w:rFonts w:cs="Times New Roman"/>
                <w:kern w:val="0"/>
                <w:sz w:val="24"/>
              </w:rPr>
            </w:pPr>
            <w:r>
              <w:rPr>
                <w:rFonts w:cs="Times New Roman"/>
                <w:kern w:val="0"/>
                <w:sz w:val="24"/>
              </w:rPr>
              <w:t>17</w:t>
            </w:r>
          </w:p>
        </w:tc>
        <w:tc>
          <w:tcPr>
            <w:tcW w:w="1395" w:type="dxa"/>
            <w:shd w:val="clear" w:color="auto" w:fill="auto"/>
            <w:noWrap/>
            <w:vAlign w:val="center"/>
          </w:tcPr>
          <w:p>
            <w:pPr>
              <w:widowControl/>
              <w:adjustRightInd w:val="0"/>
              <w:snapToGrid w:val="0"/>
              <w:spacing w:line="240" w:lineRule="auto"/>
              <w:ind w:firstLine="0" w:firstLineChars="0"/>
              <w:jc w:val="center"/>
              <w:rPr>
                <w:rFonts w:cs="Times New Roman"/>
                <w:b/>
                <w:bCs/>
                <w:kern w:val="0"/>
                <w:sz w:val="24"/>
              </w:rPr>
            </w:pPr>
            <w:r>
              <w:rPr>
                <w:rFonts w:cs="Times New Roman"/>
                <w:kern w:val="0"/>
                <w:sz w:val="24"/>
              </w:rPr>
              <w:t>17.17%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911" w:type="dxa"/>
            <w:vMerge w:val="continue"/>
            <w:shd w:val="clear" w:color="auto" w:fill="auto"/>
            <w:vAlign w:val="center"/>
          </w:tcPr>
          <w:p>
            <w:pPr>
              <w:widowControl/>
              <w:adjustRightInd w:val="0"/>
              <w:snapToGrid w:val="0"/>
              <w:spacing w:line="240" w:lineRule="auto"/>
              <w:ind w:firstLine="0" w:firstLineChars="0"/>
              <w:rPr>
                <w:rFonts w:cs="Times New Roman"/>
                <w:sz w:val="24"/>
              </w:rPr>
            </w:pPr>
          </w:p>
        </w:tc>
        <w:tc>
          <w:tcPr>
            <w:tcW w:w="3995" w:type="dxa"/>
            <w:shd w:val="clear" w:color="auto" w:fill="auto"/>
            <w:vAlign w:val="center"/>
          </w:tcPr>
          <w:p>
            <w:pPr>
              <w:pStyle w:val="13"/>
              <w:adjustRightInd w:val="0"/>
              <w:snapToGrid w:val="0"/>
              <w:spacing w:line="240" w:lineRule="auto"/>
              <w:ind w:firstLine="0" w:firstLineChars="0"/>
              <w:jc w:val="center"/>
              <w:rPr>
                <w:b/>
                <w:bCs/>
                <w:sz w:val="24"/>
              </w:rPr>
            </w:pPr>
            <w:r>
              <w:rPr>
                <w:rFonts w:eastAsia="仿宋_GB2312"/>
                <w:sz w:val="24"/>
              </w:rPr>
              <w:t>一般</w:t>
            </w:r>
          </w:p>
        </w:tc>
        <w:tc>
          <w:tcPr>
            <w:tcW w:w="1395" w:type="dxa"/>
            <w:shd w:val="clear" w:color="auto" w:fill="auto"/>
            <w:noWrap/>
            <w:vAlign w:val="center"/>
          </w:tcPr>
          <w:p>
            <w:pPr>
              <w:widowControl/>
              <w:adjustRightInd w:val="0"/>
              <w:snapToGrid w:val="0"/>
              <w:spacing w:line="240" w:lineRule="auto"/>
              <w:ind w:firstLine="0" w:firstLineChars="0"/>
              <w:jc w:val="center"/>
              <w:rPr>
                <w:rFonts w:cs="Times New Roman"/>
                <w:kern w:val="0"/>
                <w:sz w:val="24"/>
              </w:rPr>
            </w:pPr>
            <w:r>
              <w:rPr>
                <w:rFonts w:cs="Times New Roman"/>
                <w:kern w:val="0"/>
                <w:sz w:val="24"/>
              </w:rPr>
              <w:t>2</w:t>
            </w:r>
          </w:p>
        </w:tc>
        <w:tc>
          <w:tcPr>
            <w:tcW w:w="1395" w:type="dxa"/>
            <w:shd w:val="clear" w:color="auto" w:fill="auto"/>
            <w:noWrap/>
            <w:vAlign w:val="center"/>
          </w:tcPr>
          <w:p>
            <w:pPr>
              <w:widowControl/>
              <w:adjustRightInd w:val="0"/>
              <w:snapToGrid w:val="0"/>
              <w:spacing w:line="240" w:lineRule="auto"/>
              <w:ind w:firstLine="0" w:firstLineChars="0"/>
              <w:jc w:val="center"/>
              <w:rPr>
                <w:rFonts w:cs="Times New Roman"/>
                <w:b/>
                <w:bCs/>
                <w:kern w:val="0"/>
                <w:sz w:val="24"/>
              </w:rPr>
            </w:pPr>
            <w:r>
              <w:rPr>
                <w:rFonts w:cs="Times New Roman"/>
                <w:kern w:val="0"/>
                <w:sz w:val="24"/>
              </w:rPr>
              <w:t>2.02%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911" w:type="dxa"/>
            <w:vMerge w:val="continue"/>
            <w:shd w:val="clear" w:color="auto" w:fill="auto"/>
            <w:vAlign w:val="center"/>
          </w:tcPr>
          <w:p>
            <w:pPr>
              <w:widowControl/>
              <w:adjustRightInd w:val="0"/>
              <w:snapToGrid w:val="0"/>
              <w:spacing w:line="240" w:lineRule="auto"/>
              <w:ind w:firstLine="0" w:firstLineChars="0"/>
              <w:rPr>
                <w:rFonts w:cs="Times New Roman"/>
                <w:sz w:val="24"/>
              </w:rPr>
            </w:pPr>
          </w:p>
        </w:tc>
        <w:tc>
          <w:tcPr>
            <w:tcW w:w="3995" w:type="dxa"/>
            <w:shd w:val="clear" w:color="auto" w:fill="auto"/>
            <w:vAlign w:val="center"/>
          </w:tcPr>
          <w:p>
            <w:pPr>
              <w:pStyle w:val="13"/>
              <w:adjustRightInd w:val="0"/>
              <w:snapToGrid w:val="0"/>
              <w:spacing w:line="240" w:lineRule="auto"/>
              <w:ind w:firstLine="0" w:firstLineChars="0"/>
              <w:jc w:val="center"/>
              <w:rPr>
                <w:b/>
                <w:bCs/>
                <w:sz w:val="24"/>
              </w:rPr>
            </w:pPr>
            <w:r>
              <w:rPr>
                <w:rFonts w:eastAsia="仿宋_GB2312"/>
                <w:sz w:val="24"/>
              </w:rPr>
              <w:t>不太满意</w:t>
            </w:r>
          </w:p>
        </w:tc>
        <w:tc>
          <w:tcPr>
            <w:tcW w:w="1395" w:type="dxa"/>
            <w:shd w:val="clear" w:color="auto" w:fill="auto"/>
            <w:noWrap/>
            <w:vAlign w:val="center"/>
          </w:tcPr>
          <w:p>
            <w:pPr>
              <w:widowControl/>
              <w:adjustRightInd w:val="0"/>
              <w:snapToGrid w:val="0"/>
              <w:spacing w:line="240" w:lineRule="auto"/>
              <w:ind w:firstLine="0" w:firstLineChars="0"/>
              <w:jc w:val="center"/>
              <w:rPr>
                <w:rFonts w:cs="Times New Roman"/>
                <w:kern w:val="0"/>
                <w:sz w:val="24"/>
              </w:rPr>
            </w:pPr>
            <w:r>
              <w:rPr>
                <w:rFonts w:cs="Times New Roman"/>
                <w:kern w:val="0"/>
                <w:sz w:val="24"/>
              </w:rPr>
              <w:t>0</w:t>
            </w:r>
          </w:p>
        </w:tc>
        <w:tc>
          <w:tcPr>
            <w:tcW w:w="1395" w:type="dxa"/>
            <w:shd w:val="clear" w:color="auto" w:fill="auto"/>
            <w:noWrap/>
            <w:vAlign w:val="center"/>
          </w:tcPr>
          <w:p>
            <w:pPr>
              <w:widowControl/>
              <w:adjustRightInd w:val="0"/>
              <w:snapToGrid w:val="0"/>
              <w:spacing w:line="240" w:lineRule="auto"/>
              <w:ind w:firstLine="0" w:firstLineChars="0"/>
              <w:jc w:val="center"/>
              <w:rPr>
                <w:rFonts w:cs="Times New Roman"/>
                <w:b/>
                <w:bCs/>
                <w:kern w:val="0"/>
                <w:sz w:val="24"/>
              </w:rPr>
            </w:pPr>
            <w:r>
              <w:rPr>
                <w:rFonts w:cs="Times New Roman"/>
                <w:kern w:val="0"/>
                <w:sz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911" w:type="dxa"/>
            <w:vMerge w:val="continue"/>
            <w:shd w:val="clear" w:color="auto" w:fill="auto"/>
            <w:vAlign w:val="center"/>
          </w:tcPr>
          <w:p>
            <w:pPr>
              <w:widowControl/>
              <w:adjustRightInd w:val="0"/>
              <w:snapToGrid w:val="0"/>
              <w:spacing w:line="240" w:lineRule="auto"/>
              <w:ind w:firstLine="0" w:firstLineChars="0"/>
              <w:rPr>
                <w:rFonts w:cs="Times New Roman"/>
                <w:sz w:val="24"/>
              </w:rPr>
            </w:pPr>
          </w:p>
        </w:tc>
        <w:tc>
          <w:tcPr>
            <w:tcW w:w="3995" w:type="dxa"/>
            <w:shd w:val="clear" w:color="auto" w:fill="auto"/>
            <w:vAlign w:val="center"/>
          </w:tcPr>
          <w:p>
            <w:pPr>
              <w:widowControl/>
              <w:adjustRightInd w:val="0"/>
              <w:snapToGrid w:val="0"/>
              <w:spacing w:line="240" w:lineRule="auto"/>
              <w:ind w:firstLine="0" w:firstLineChars="0"/>
              <w:jc w:val="center"/>
              <w:rPr>
                <w:rFonts w:cs="Times New Roman"/>
                <w:b/>
                <w:bCs/>
                <w:sz w:val="24"/>
              </w:rPr>
            </w:pPr>
            <w:r>
              <w:rPr>
                <w:rFonts w:cs="Times New Roman"/>
                <w:sz w:val="24"/>
              </w:rPr>
              <w:t>不满意</w:t>
            </w:r>
          </w:p>
        </w:tc>
        <w:tc>
          <w:tcPr>
            <w:tcW w:w="1395" w:type="dxa"/>
            <w:shd w:val="clear" w:color="auto" w:fill="auto"/>
            <w:noWrap/>
            <w:vAlign w:val="center"/>
          </w:tcPr>
          <w:p>
            <w:pPr>
              <w:widowControl/>
              <w:adjustRightInd w:val="0"/>
              <w:snapToGrid w:val="0"/>
              <w:spacing w:line="240" w:lineRule="auto"/>
              <w:ind w:firstLine="0" w:firstLineChars="0"/>
              <w:jc w:val="center"/>
              <w:rPr>
                <w:rFonts w:cs="Times New Roman"/>
                <w:kern w:val="0"/>
                <w:sz w:val="24"/>
              </w:rPr>
            </w:pPr>
            <w:r>
              <w:rPr>
                <w:rFonts w:cs="Times New Roman"/>
                <w:kern w:val="0"/>
                <w:sz w:val="24"/>
              </w:rPr>
              <w:t>0</w:t>
            </w:r>
          </w:p>
        </w:tc>
        <w:tc>
          <w:tcPr>
            <w:tcW w:w="1395" w:type="dxa"/>
            <w:shd w:val="clear" w:color="auto" w:fill="auto"/>
            <w:noWrap/>
            <w:vAlign w:val="center"/>
          </w:tcPr>
          <w:p>
            <w:pPr>
              <w:widowControl/>
              <w:adjustRightInd w:val="0"/>
              <w:snapToGrid w:val="0"/>
              <w:spacing w:line="240" w:lineRule="auto"/>
              <w:ind w:firstLine="0" w:firstLineChars="0"/>
              <w:jc w:val="center"/>
              <w:rPr>
                <w:rFonts w:cs="Times New Roman"/>
                <w:b/>
                <w:bCs/>
                <w:kern w:val="0"/>
                <w:sz w:val="24"/>
              </w:rPr>
            </w:pPr>
            <w:r>
              <w:rPr>
                <w:rFonts w:cs="Times New Roman"/>
                <w:kern w:val="0"/>
                <w:sz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911" w:type="dxa"/>
            <w:vMerge w:val="continue"/>
            <w:shd w:val="clear" w:color="auto" w:fill="auto"/>
            <w:vAlign w:val="center"/>
          </w:tcPr>
          <w:p>
            <w:pPr>
              <w:widowControl/>
              <w:adjustRightInd w:val="0"/>
              <w:snapToGrid w:val="0"/>
              <w:spacing w:line="240" w:lineRule="auto"/>
              <w:ind w:firstLine="0" w:firstLineChars="0"/>
              <w:rPr>
                <w:rFonts w:cs="Times New Roman"/>
                <w:sz w:val="24"/>
              </w:rPr>
            </w:pPr>
          </w:p>
        </w:tc>
        <w:tc>
          <w:tcPr>
            <w:tcW w:w="3995" w:type="dxa"/>
            <w:shd w:val="clear" w:color="auto" w:fill="auto"/>
            <w:vAlign w:val="center"/>
          </w:tcPr>
          <w:p>
            <w:pPr>
              <w:widowControl/>
              <w:adjustRightInd w:val="0"/>
              <w:snapToGrid w:val="0"/>
              <w:spacing w:line="240" w:lineRule="auto"/>
              <w:ind w:firstLine="0" w:firstLineChars="0"/>
              <w:jc w:val="center"/>
              <w:rPr>
                <w:rFonts w:cs="Times New Roman"/>
                <w:b/>
                <w:bCs/>
                <w:sz w:val="24"/>
              </w:rPr>
            </w:pPr>
            <w:r>
              <w:rPr>
                <w:rFonts w:cs="Times New Roman"/>
                <w:b/>
                <w:bCs/>
                <w:sz w:val="24"/>
              </w:rPr>
              <w:t>问题7满意度</w:t>
            </w:r>
          </w:p>
        </w:tc>
        <w:tc>
          <w:tcPr>
            <w:tcW w:w="2790" w:type="dxa"/>
            <w:gridSpan w:val="2"/>
            <w:shd w:val="clear" w:color="auto" w:fill="auto"/>
            <w:noWrap/>
            <w:vAlign w:val="center"/>
          </w:tcPr>
          <w:p>
            <w:pPr>
              <w:widowControl/>
              <w:adjustRightInd w:val="0"/>
              <w:snapToGrid w:val="0"/>
              <w:spacing w:line="240" w:lineRule="auto"/>
              <w:ind w:firstLine="0" w:firstLineChars="0"/>
              <w:jc w:val="center"/>
              <w:rPr>
                <w:rFonts w:cs="Times New Roman"/>
                <w:b/>
                <w:bCs/>
                <w:kern w:val="0"/>
                <w:sz w:val="24"/>
              </w:rPr>
            </w:pPr>
            <w:r>
              <w:rPr>
                <w:rFonts w:cs="Times New Roman"/>
                <w:b/>
                <w:bCs/>
                <w:kern w:val="0"/>
                <w:sz w:val="24"/>
              </w:rPr>
              <w:t>95.76%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911" w:type="dxa"/>
            <w:vMerge w:val="restart"/>
            <w:shd w:val="clear" w:color="auto" w:fill="auto"/>
            <w:vAlign w:val="center"/>
          </w:tcPr>
          <w:p>
            <w:pPr>
              <w:widowControl/>
              <w:adjustRightInd w:val="0"/>
              <w:snapToGrid w:val="0"/>
              <w:spacing w:line="240" w:lineRule="auto"/>
              <w:ind w:firstLine="0" w:firstLineChars="0"/>
              <w:jc w:val="center"/>
              <w:rPr>
                <w:rFonts w:cs="Times New Roman"/>
                <w:b/>
                <w:bCs/>
                <w:sz w:val="24"/>
              </w:rPr>
            </w:pPr>
            <w:r>
              <w:rPr>
                <w:rFonts w:cs="Times New Roman"/>
                <w:b/>
                <w:bCs/>
                <w:sz w:val="24"/>
              </w:rPr>
              <w:t>综合满意度</w:t>
            </w:r>
          </w:p>
        </w:tc>
        <w:tc>
          <w:tcPr>
            <w:tcW w:w="3995" w:type="dxa"/>
            <w:shd w:val="clear" w:color="auto" w:fill="auto"/>
            <w:vAlign w:val="center"/>
          </w:tcPr>
          <w:p>
            <w:pPr>
              <w:widowControl/>
              <w:adjustRightInd w:val="0"/>
              <w:snapToGrid w:val="0"/>
              <w:spacing w:line="240" w:lineRule="auto"/>
              <w:ind w:firstLine="0" w:firstLineChars="0"/>
              <w:jc w:val="center"/>
              <w:rPr>
                <w:rFonts w:cs="Times New Roman"/>
                <w:b/>
                <w:bCs/>
                <w:sz w:val="24"/>
              </w:rPr>
            </w:pPr>
            <w:r>
              <w:rPr>
                <w:rFonts w:cs="Times New Roman"/>
                <w:sz w:val="24"/>
              </w:rPr>
              <w:t>非常满意</w:t>
            </w:r>
          </w:p>
        </w:tc>
        <w:tc>
          <w:tcPr>
            <w:tcW w:w="1395" w:type="dxa"/>
            <w:shd w:val="clear" w:color="auto" w:fill="auto"/>
            <w:noWrap/>
            <w:vAlign w:val="center"/>
          </w:tcPr>
          <w:p>
            <w:pPr>
              <w:widowControl/>
              <w:adjustRightInd w:val="0"/>
              <w:snapToGrid w:val="0"/>
              <w:spacing w:line="240" w:lineRule="auto"/>
              <w:ind w:firstLine="0" w:firstLineChars="0"/>
              <w:jc w:val="center"/>
              <w:rPr>
                <w:rFonts w:cs="Times New Roman"/>
                <w:b/>
                <w:bCs/>
                <w:kern w:val="0"/>
                <w:sz w:val="24"/>
              </w:rPr>
            </w:pPr>
            <w:r>
              <w:rPr>
                <w:rFonts w:cs="Times New Roman"/>
                <w:kern w:val="0"/>
                <w:sz w:val="24"/>
              </w:rPr>
              <w:t>340</w:t>
            </w:r>
          </w:p>
        </w:tc>
        <w:tc>
          <w:tcPr>
            <w:tcW w:w="1395" w:type="dxa"/>
            <w:shd w:val="clear" w:color="auto" w:fill="auto"/>
            <w:vAlign w:val="center"/>
          </w:tcPr>
          <w:p>
            <w:pPr>
              <w:widowControl/>
              <w:adjustRightInd w:val="0"/>
              <w:snapToGrid w:val="0"/>
              <w:spacing w:line="240" w:lineRule="auto"/>
              <w:ind w:firstLine="0" w:firstLineChars="0"/>
              <w:jc w:val="center"/>
              <w:rPr>
                <w:rFonts w:cs="Times New Roman"/>
                <w:b/>
                <w:bCs/>
                <w:kern w:val="0"/>
                <w:sz w:val="24"/>
              </w:rPr>
            </w:pPr>
            <w:r>
              <w:rPr>
                <w:rFonts w:cs="Times New Roman"/>
                <w:kern w:val="0"/>
                <w:sz w:val="24"/>
              </w:rPr>
              <w:t>85.86%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911" w:type="dxa"/>
            <w:vMerge w:val="continue"/>
            <w:shd w:val="clear" w:color="auto" w:fill="auto"/>
            <w:vAlign w:val="center"/>
          </w:tcPr>
          <w:p>
            <w:pPr>
              <w:widowControl/>
              <w:adjustRightInd w:val="0"/>
              <w:snapToGrid w:val="0"/>
              <w:spacing w:line="240" w:lineRule="auto"/>
              <w:ind w:firstLine="0" w:firstLineChars="0"/>
              <w:rPr>
                <w:rFonts w:cs="Times New Roman"/>
                <w:b/>
                <w:bCs/>
                <w:sz w:val="24"/>
              </w:rPr>
            </w:pPr>
          </w:p>
        </w:tc>
        <w:tc>
          <w:tcPr>
            <w:tcW w:w="3995" w:type="dxa"/>
            <w:shd w:val="clear" w:color="auto" w:fill="auto"/>
            <w:vAlign w:val="center"/>
          </w:tcPr>
          <w:p>
            <w:pPr>
              <w:widowControl/>
              <w:adjustRightInd w:val="0"/>
              <w:snapToGrid w:val="0"/>
              <w:spacing w:line="240" w:lineRule="auto"/>
              <w:ind w:firstLine="0" w:firstLineChars="0"/>
              <w:jc w:val="center"/>
              <w:rPr>
                <w:rFonts w:cs="Times New Roman"/>
                <w:b/>
                <w:bCs/>
                <w:sz w:val="24"/>
              </w:rPr>
            </w:pPr>
            <w:r>
              <w:rPr>
                <w:rFonts w:cs="Times New Roman"/>
                <w:sz w:val="24"/>
              </w:rPr>
              <w:t>满意</w:t>
            </w:r>
          </w:p>
        </w:tc>
        <w:tc>
          <w:tcPr>
            <w:tcW w:w="1395" w:type="dxa"/>
            <w:shd w:val="clear" w:color="auto" w:fill="auto"/>
            <w:noWrap/>
            <w:vAlign w:val="center"/>
          </w:tcPr>
          <w:p>
            <w:pPr>
              <w:widowControl/>
              <w:adjustRightInd w:val="0"/>
              <w:snapToGrid w:val="0"/>
              <w:spacing w:line="240" w:lineRule="auto"/>
              <w:ind w:firstLine="0" w:firstLineChars="0"/>
              <w:jc w:val="center"/>
              <w:rPr>
                <w:rFonts w:cs="Times New Roman"/>
                <w:b/>
                <w:bCs/>
                <w:kern w:val="0"/>
                <w:sz w:val="24"/>
              </w:rPr>
            </w:pPr>
            <w:r>
              <w:rPr>
                <w:rFonts w:cs="Times New Roman"/>
                <w:kern w:val="0"/>
                <w:sz w:val="24"/>
              </w:rPr>
              <w:t>52</w:t>
            </w:r>
          </w:p>
        </w:tc>
        <w:tc>
          <w:tcPr>
            <w:tcW w:w="1395" w:type="dxa"/>
            <w:shd w:val="clear" w:color="auto" w:fill="auto"/>
            <w:vAlign w:val="center"/>
          </w:tcPr>
          <w:p>
            <w:pPr>
              <w:widowControl/>
              <w:adjustRightInd w:val="0"/>
              <w:snapToGrid w:val="0"/>
              <w:spacing w:line="240" w:lineRule="auto"/>
              <w:ind w:firstLine="0" w:firstLineChars="0"/>
              <w:jc w:val="center"/>
              <w:rPr>
                <w:rFonts w:cs="Times New Roman"/>
                <w:b/>
                <w:bCs/>
                <w:kern w:val="0"/>
                <w:sz w:val="24"/>
              </w:rPr>
            </w:pPr>
            <w:r>
              <w:rPr>
                <w:rFonts w:cs="Times New Roman"/>
                <w:kern w:val="0"/>
                <w:sz w:val="24"/>
              </w:rPr>
              <w:t>13.13%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911" w:type="dxa"/>
            <w:vMerge w:val="continue"/>
            <w:shd w:val="clear" w:color="auto" w:fill="auto"/>
            <w:vAlign w:val="center"/>
          </w:tcPr>
          <w:p>
            <w:pPr>
              <w:widowControl/>
              <w:adjustRightInd w:val="0"/>
              <w:snapToGrid w:val="0"/>
              <w:spacing w:line="240" w:lineRule="auto"/>
              <w:ind w:firstLine="0" w:firstLineChars="0"/>
              <w:rPr>
                <w:rFonts w:cs="Times New Roman"/>
                <w:b/>
                <w:bCs/>
                <w:sz w:val="24"/>
              </w:rPr>
            </w:pPr>
          </w:p>
        </w:tc>
        <w:tc>
          <w:tcPr>
            <w:tcW w:w="3995" w:type="dxa"/>
            <w:shd w:val="clear" w:color="auto" w:fill="auto"/>
            <w:vAlign w:val="center"/>
          </w:tcPr>
          <w:p>
            <w:pPr>
              <w:widowControl/>
              <w:adjustRightInd w:val="0"/>
              <w:snapToGrid w:val="0"/>
              <w:spacing w:line="240" w:lineRule="auto"/>
              <w:ind w:firstLine="0" w:firstLineChars="0"/>
              <w:jc w:val="center"/>
              <w:rPr>
                <w:rFonts w:cs="Times New Roman"/>
                <w:b/>
                <w:bCs/>
                <w:sz w:val="24"/>
              </w:rPr>
            </w:pPr>
            <w:r>
              <w:rPr>
                <w:rFonts w:cs="Times New Roman"/>
                <w:sz w:val="24"/>
              </w:rPr>
              <w:t>一般</w:t>
            </w:r>
          </w:p>
        </w:tc>
        <w:tc>
          <w:tcPr>
            <w:tcW w:w="1395" w:type="dxa"/>
            <w:shd w:val="clear" w:color="auto" w:fill="auto"/>
            <w:noWrap/>
            <w:vAlign w:val="center"/>
          </w:tcPr>
          <w:p>
            <w:pPr>
              <w:widowControl/>
              <w:adjustRightInd w:val="0"/>
              <w:snapToGrid w:val="0"/>
              <w:spacing w:line="240" w:lineRule="auto"/>
              <w:ind w:firstLine="0" w:firstLineChars="0"/>
              <w:jc w:val="center"/>
              <w:rPr>
                <w:rFonts w:cs="Times New Roman"/>
                <w:b/>
                <w:bCs/>
                <w:kern w:val="0"/>
                <w:sz w:val="24"/>
              </w:rPr>
            </w:pPr>
            <w:r>
              <w:rPr>
                <w:rFonts w:cs="Times New Roman"/>
                <w:kern w:val="0"/>
                <w:sz w:val="24"/>
              </w:rPr>
              <w:t>4</w:t>
            </w:r>
          </w:p>
        </w:tc>
        <w:tc>
          <w:tcPr>
            <w:tcW w:w="1395" w:type="dxa"/>
            <w:shd w:val="clear" w:color="auto" w:fill="auto"/>
            <w:vAlign w:val="center"/>
          </w:tcPr>
          <w:p>
            <w:pPr>
              <w:widowControl/>
              <w:adjustRightInd w:val="0"/>
              <w:snapToGrid w:val="0"/>
              <w:spacing w:line="240" w:lineRule="auto"/>
              <w:ind w:firstLine="0" w:firstLineChars="0"/>
              <w:jc w:val="center"/>
              <w:rPr>
                <w:rFonts w:cs="Times New Roman"/>
                <w:b/>
                <w:bCs/>
                <w:kern w:val="0"/>
                <w:sz w:val="24"/>
              </w:rPr>
            </w:pPr>
            <w:r>
              <w:rPr>
                <w:rFonts w:cs="Times New Roman"/>
                <w:kern w:val="0"/>
                <w:sz w:val="24"/>
              </w:rPr>
              <w:t>1.01%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911" w:type="dxa"/>
            <w:vMerge w:val="continue"/>
            <w:shd w:val="clear" w:color="auto" w:fill="auto"/>
            <w:vAlign w:val="center"/>
          </w:tcPr>
          <w:p>
            <w:pPr>
              <w:widowControl/>
              <w:adjustRightInd w:val="0"/>
              <w:snapToGrid w:val="0"/>
              <w:spacing w:line="240" w:lineRule="auto"/>
              <w:ind w:firstLine="0" w:firstLineChars="0"/>
              <w:rPr>
                <w:rFonts w:cs="Times New Roman"/>
                <w:b/>
                <w:bCs/>
                <w:sz w:val="24"/>
              </w:rPr>
            </w:pPr>
          </w:p>
        </w:tc>
        <w:tc>
          <w:tcPr>
            <w:tcW w:w="3995" w:type="dxa"/>
            <w:shd w:val="clear" w:color="auto" w:fill="auto"/>
            <w:vAlign w:val="center"/>
          </w:tcPr>
          <w:p>
            <w:pPr>
              <w:widowControl/>
              <w:adjustRightInd w:val="0"/>
              <w:snapToGrid w:val="0"/>
              <w:spacing w:line="240" w:lineRule="auto"/>
              <w:ind w:firstLine="0" w:firstLineChars="0"/>
              <w:jc w:val="center"/>
              <w:rPr>
                <w:rFonts w:cs="Times New Roman"/>
                <w:b/>
                <w:bCs/>
                <w:sz w:val="24"/>
              </w:rPr>
            </w:pPr>
            <w:r>
              <w:rPr>
                <w:rFonts w:cs="Times New Roman"/>
                <w:sz w:val="24"/>
              </w:rPr>
              <w:t>不太满意</w:t>
            </w:r>
          </w:p>
        </w:tc>
        <w:tc>
          <w:tcPr>
            <w:tcW w:w="1395" w:type="dxa"/>
            <w:shd w:val="clear" w:color="auto" w:fill="auto"/>
            <w:noWrap/>
            <w:vAlign w:val="center"/>
          </w:tcPr>
          <w:p>
            <w:pPr>
              <w:widowControl/>
              <w:adjustRightInd w:val="0"/>
              <w:snapToGrid w:val="0"/>
              <w:spacing w:line="240" w:lineRule="auto"/>
              <w:ind w:firstLine="0" w:firstLineChars="0"/>
              <w:jc w:val="center"/>
              <w:rPr>
                <w:rFonts w:cs="Times New Roman"/>
                <w:b/>
                <w:bCs/>
                <w:kern w:val="0"/>
                <w:sz w:val="24"/>
              </w:rPr>
            </w:pPr>
            <w:r>
              <w:rPr>
                <w:rFonts w:cs="Times New Roman"/>
                <w:kern w:val="0"/>
                <w:sz w:val="24"/>
              </w:rPr>
              <w:t>0</w:t>
            </w:r>
          </w:p>
        </w:tc>
        <w:tc>
          <w:tcPr>
            <w:tcW w:w="1395" w:type="dxa"/>
            <w:shd w:val="clear" w:color="auto" w:fill="auto"/>
            <w:vAlign w:val="center"/>
          </w:tcPr>
          <w:p>
            <w:pPr>
              <w:widowControl/>
              <w:adjustRightInd w:val="0"/>
              <w:snapToGrid w:val="0"/>
              <w:spacing w:line="240" w:lineRule="auto"/>
              <w:ind w:firstLine="0" w:firstLineChars="0"/>
              <w:jc w:val="center"/>
              <w:rPr>
                <w:rFonts w:cs="Times New Roman"/>
                <w:b/>
                <w:bCs/>
                <w:kern w:val="0"/>
                <w:sz w:val="24"/>
              </w:rPr>
            </w:pPr>
            <w:r>
              <w:rPr>
                <w:rFonts w:cs="Times New Roman"/>
                <w:kern w:val="0"/>
                <w:sz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911" w:type="dxa"/>
            <w:vMerge w:val="continue"/>
            <w:shd w:val="clear" w:color="auto" w:fill="auto"/>
            <w:vAlign w:val="center"/>
          </w:tcPr>
          <w:p>
            <w:pPr>
              <w:widowControl/>
              <w:adjustRightInd w:val="0"/>
              <w:snapToGrid w:val="0"/>
              <w:spacing w:line="240" w:lineRule="auto"/>
              <w:ind w:firstLine="0" w:firstLineChars="0"/>
              <w:rPr>
                <w:rFonts w:cs="Times New Roman"/>
                <w:b/>
                <w:bCs/>
                <w:sz w:val="24"/>
              </w:rPr>
            </w:pPr>
          </w:p>
        </w:tc>
        <w:tc>
          <w:tcPr>
            <w:tcW w:w="3995" w:type="dxa"/>
            <w:shd w:val="clear" w:color="auto" w:fill="auto"/>
            <w:vAlign w:val="center"/>
          </w:tcPr>
          <w:p>
            <w:pPr>
              <w:widowControl/>
              <w:adjustRightInd w:val="0"/>
              <w:snapToGrid w:val="0"/>
              <w:spacing w:line="240" w:lineRule="auto"/>
              <w:ind w:firstLine="0" w:firstLineChars="0"/>
              <w:jc w:val="center"/>
              <w:rPr>
                <w:rFonts w:cs="Times New Roman"/>
                <w:b/>
                <w:bCs/>
                <w:sz w:val="24"/>
              </w:rPr>
            </w:pPr>
            <w:r>
              <w:rPr>
                <w:rFonts w:cs="Times New Roman"/>
                <w:sz w:val="24"/>
              </w:rPr>
              <w:t>不满意</w:t>
            </w:r>
          </w:p>
        </w:tc>
        <w:tc>
          <w:tcPr>
            <w:tcW w:w="1395" w:type="dxa"/>
            <w:shd w:val="clear" w:color="auto" w:fill="auto"/>
            <w:noWrap/>
            <w:vAlign w:val="center"/>
          </w:tcPr>
          <w:p>
            <w:pPr>
              <w:widowControl/>
              <w:adjustRightInd w:val="0"/>
              <w:snapToGrid w:val="0"/>
              <w:spacing w:line="240" w:lineRule="auto"/>
              <w:ind w:firstLine="0" w:firstLineChars="0"/>
              <w:jc w:val="center"/>
              <w:rPr>
                <w:rFonts w:cs="Times New Roman"/>
                <w:b/>
                <w:bCs/>
                <w:kern w:val="0"/>
                <w:sz w:val="24"/>
              </w:rPr>
            </w:pPr>
            <w:r>
              <w:rPr>
                <w:rFonts w:cs="Times New Roman"/>
                <w:kern w:val="0"/>
                <w:sz w:val="24"/>
              </w:rPr>
              <w:t>0</w:t>
            </w:r>
          </w:p>
        </w:tc>
        <w:tc>
          <w:tcPr>
            <w:tcW w:w="1395" w:type="dxa"/>
            <w:shd w:val="clear" w:color="auto" w:fill="auto"/>
            <w:vAlign w:val="center"/>
          </w:tcPr>
          <w:p>
            <w:pPr>
              <w:widowControl/>
              <w:adjustRightInd w:val="0"/>
              <w:snapToGrid w:val="0"/>
              <w:spacing w:line="240" w:lineRule="auto"/>
              <w:ind w:firstLine="0" w:firstLineChars="0"/>
              <w:jc w:val="center"/>
              <w:rPr>
                <w:rFonts w:cs="Times New Roman"/>
                <w:b/>
                <w:bCs/>
                <w:kern w:val="0"/>
                <w:sz w:val="24"/>
              </w:rPr>
            </w:pPr>
            <w:r>
              <w:rPr>
                <w:rFonts w:cs="Times New Roman"/>
                <w:kern w:val="0"/>
                <w:sz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911" w:type="dxa"/>
            <w:vMerge w:val="continue"/>
            <w:shd w:val="clear" w:color="auto" w:fill="auto"/>
            <w:vAlign w:val="center"/>
          </w:tcPr>
          <w:p>
            <w:pPr>
              <w:widowControl/>
              <w:adjustRightInd w:val="0"/>
              <w:snapToGrid w:val="0"/>
              <w:spacing w:line="240" w:lineRule="auto"/>
              <w:ind w:firstLine="0" w:firstLineChars="0"/>
              <w:rPr>
                <w:rFonts w:cs="Times New Roman"/>
                <w:b/>
                <w:bCs/>
                <w:sz w:val="24"/>
              </w:rPr>
            </w:pPr>
          </w:p>
        </w:tc>
        <w:tc>
          <w:tcPr>
            <w:tcW w:w="3995" w:type="dxa"/>
            <w:shd w:val="clear" w:color="auto" w:fill="auto"/>
            <w:vAlign w:val="center"/>
          </w:tcPr>
          <w:p>
            <w:pPr>
              <w:widowControl/>
              <w:adjustRightInd w:val="0"/>
              <w:snapToGrid w:val="0"/>
              <w:spacing w:line="240" w:lineRule="auto"/>
              <w:ind w:firstLine="0" w:firstLineChars="0"/>
              <w:jc w:val="center"/>
              <w:rPr>
                <w:rFonts w:cs="Times New Roman"/>
                <w:b/>
                <w:bCs/>
                <w:sz w:val="24"/>
              </w:rPr>
            </w:pPr>
            <w:r>
              <w:rPr>
                <w:rFonts w:cs="Times New Roman"/>
                <w:b/>
                <w:bCs/>
                <w:sz w:val="24"/>
              </w:rPr>
              <w:t>综合满意度</w:t>
            </w:r>
          </w:p>
        </w:tc>
        <w:tc>
          <w:tcPr>
            <w:tcW w:w="2790" w:type="dxa"/>
            <w:gridSpan w:val="2"/>
            <w:shd w:val="clear" w:color="auto" w:fill="auto"/>
            <w:noWrap/>
            <w:vAlign w:val="center"/>
          </w:tcPr>
          <w:p>
            <w:pPr>
              <w:widowControl/>
              <w:adjustRightInd w:val="0"/>
              <w:snapToGrid w:val="0"/>
              <w:spacing w:line="240" w:lineRule="auto"/>
              <w:ind w:firstLine="0" w:firstLineChars="0"/>
              <w:jc w:val="center"/>
              <w:rPr>
                <w:rFonts w:cs="Times New Roman"/>
                <w:b/>
                <w:bCs/>
                <w:kern w:val="0"/>
                <w:sz w:val="24"/>
              </w:rPr>
            </w:pPr>
            <w:r>
              <w:rPr>
                <w:rFonts w:cs="Times New Roman"/>
                <w:b/>
                <w:bCs/>
                <w:kern w:val="0"/>
                <w:sz w:val="24"/>
              </w:rPr>
              <w:t>96.97%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911" w:type="dxa"/>
            <w:vMerge w:val="restart"/>
            <w:shd w:val="clear" w:color="auto" w:fill="auto"/>
            <w:vAlign w:val="center"/>
          </w:tcPr>
          <w:p>
            <w:pPr>
              <w:widowControl/>
              <w:adjustRightInd w:val="0"/>
              <w:snapToGrid w:val="0"/>
              <w:spacing w:line="240" w:lineRule="auto"/>
              <w:ind w:firstLine="0" w:firstLineChars="0"/>
              <w:rPr>
                <w:rFonts w:cs="Times New Roman"/>
                <w:b/>
                <w:bCs/>
                <w:sz w:val="24"/>
              </w:rPr>
            </w:pPr>
            <w:r>
              <w:rPr>
                <w:rFonts w:cs="Times New Roman"/>
                <w:b/>
                <w:bCs/>
                <w:sz w:val="24"/>
              </w:rPr>
              <w:t>1.您是否知晓增城区应元学校高中部建设工程项目:</w:t>
            </w:r>
          </w:p>
        </w:tc>
        <w:tc>
          <w:tcPr>
            <w:tcW w:w="3995" w:type="dxa"/>
            <w:shd w:val="clear" w:color="auto" w:fill="auto"/>
            <w:vAlign w:val="center"/>
          </w:tcPr>
          <w:p>
            <w:pPr>
              <w:widowControl/>
              <w:adjustRightInd w:val="0"/>
              <w:snapToGrid w:val="0"/>
              <w:spacing w:line="240" w:lineRule="auto"/>
              <w:ind w:firstLine="0" w:firstLineChars="0"/>
              <w:jc w:val="center"/>
              <w:rPr>
                <w:rFonts w:cs="Times New Roman"/>
                <w:sz w:val="24"/>
              </w:rPr>
            </w:pPr>
            <w:r>
              <w:rPr>
                <w:rFonts w:cs="Times New Roman"/>
                <w:sz w:val="24"/>
              </w:rPr>
              <w:t>完全不了解</w:t>
            </w:r>
          </w:p>
        </w:tc>
        <w:tc>
          <w:tcPr>
            <w:tcW w:w="1395" w:type="dxa"/>
            <w:shd w:val="clear" w:color="auto" w:fill="auto"/>
            <w:noWrap/>
            <w:vAlign w:val="center"/>
          </w:tcPr>
          <w:p>
            <w:pPr>
              <w:widowControl/>
              <w:adjustRightInd w:val="0"/>
              <w:snapToGrid w:val="0"/>
              <w:spacing w:line="240" w:lineRule="auto"/>
              <w:ind w:firstLine="0" w:firstLineChars="0"/>
              <w:jc w:val="center"/>
              <w:rPr>
                <w:rFonts w:cs="Times New Roman"/>
                <w:b/>
                <w:bCs/>
                <w:kern w:val="0"/>
                <w:sz w:val="24"/>
              </w:rPr>
            </w:pPr>
            <w:r>
              <w:rPr>
                <w:rFonts w:cs="Times New Roman"/>
                <w:kern w:val="0"/>
                <w:sz w:val="24"/>
              </w:rPr>
              <w:t>0</w:t>
            </w:r>
          </w:p>
        </w:tc>
        <w:tc>
          <w:tcPr>
            <w:tcW w:w="1395" w:type="dxa"/>
            <w:shd w:val="clear" w:color="auto" w:fill="auto"/>
            <w:vAlign w:val="center"/>
          </w:tcPr>
          <w:p>
            <w:pPr>
              <w:widowControl/>
              <w:adjustRightInd w:val="0"/>
              <w:snapToGrid w:val="0"/>
              <w:spacing w:line="240" w:lineRule="auto"/>
              <w:ind w:firstLine="0" w:firstLineChars="0"/>
              <w:jc w:val="center"/>
              <w:rPr>
                <w:rFonts w:cs="Times New Roman"/>
                <w:b/>
                <w:bCs/>
                <w:kern w:val="0"/>
                <w:sz w:val="24"/>
              </w:rPr>
            </w:pPr>
            <w:r>
              <w:rPr>
                <w:rFonts w:cs="Times New Roman"/>
                <w:kern w:val="0"/>
                <w:sz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911" w:type="dxa"/>
            <w:vMerge w:val="continue"/>
            <w:shd w:val="clear" w:color="auto" w:fill="auto"/>
            <w:vAlign w:val="center"/>
          </w:tcPr>
          <w:p>
            <w:pPr>
              <w:widowControl/>
              <w:adjustRightInd w:val="0"/>
              <w:snapToGrid w:val="0"/>
              <w:spacing w:line="240" w:lineRule="auto"/>
              <w:ind w:firstLine="0" w:firstLineChars="0"/>
              <w:rPr>
                <w:rFonts w:cs="Times New Roman"/>
                <w:b/>
                <w:bCs/>
                <w:sz w:val="24"/>
              </w:rPr>
            </w:pPr>
          </w:p>
        </w:tc>
        <w:tc>
          <w:tcPr>
            <w:tcW w:w="3995" w:type="dxa"/>
            <w:shd w:val="clear" w:color="auto" w:fill="auto"/>
            <w:vAlign w:val="center"/>
          </w:tcPr>
          <w:p>
            <w:pPr>
              <w:widowControl/>
              <w:adjustRightInd w:val="0"/>
              <w:snapToGrid w:val="0"/>
              <w:spacing w:line="240" w:lineRule="auto"/>
              <w:ind w:firstLine="0" w:firstLineChars="0"/>
              <w:jc w:val="center"/>
              <w:rPr>
                <w:rFonts w:cs="Times New Roman"/>
                <w:sz w:val="24"/>
              </w:rPr>
            </w:pPr>
            <w:r>
              <w:rPr>
                <w:rFonts w:cs="Times New Roman"/>
                <w:sz w:val="24"/>
              </w:rPr>
              <w:t>有所了解</w:t>
            </w:r>
          </w:p>
        </w:tc>
        <w:tc>
          <w:tcPr>
            <w:tcW w:w="1395" w:type="dxa"/>
            <w:shd w:val="clear" w:color="auto" w:fill="auto"/>
            <w:noWrap/>
            <w:vAlign w:val="center"/>
          </w:tcPr>
          <w:p>
            <w:pPr>
              <w:widowControl/>
              <w:adjustRightInd w:val="0"/>
              <w:snapToGrid w:val="0"/>
              <w:spacing w:line="240" w:lineRule="auto"/>
              <w:ind w:firstLine="0" w:firstLineChars="0"/>
              <w:jc w:val="center"/>
              <w:rPr>
                <w:rFonts w:cs="Times New Roman"/>
                <w:b/>
                <w:bCs/>
                <w:kern w:val="0"/>
                <w:sz w:val="24"/>
              </w:rPr>
            </w:pPr>
            <w:r>
              <w:rPr>
                <w:rFonts w:cs="Times New Roman"/>
                <w:kern w:val="0"/>
                <w:sz w:val="24"/>
              </w:rPr>
              <w:t>17</w:t>
            </w:r>
          </w:p>
        </w:tc>
        <w:tc>
          <w:tcPr>
            <w:tcW w:w="1395" w:type="dxa"/>
            <w:shd w:val="clear" w:color="auto" w:fill="auto"/>
            <w:vAlign w:val="center"/>
          </w:tcPr>
          <w:p>
            <w:pPr>
              <w:widowControl/>
              <w:adjustRightInd w:val="0"/>
              <w:snapToGrid w:val="0"/>
              <w:spacing w:line="240" w:lineRule="auto"/>
              <w:ind w:firstLine="0" w:firstLineChars="0"/>
              <w:jc w:val="center"/>
              <w:rPr>
                <w:rFonts w:cs="Times New Roman"/>
                <w:b/>
                <w:bCs/>
                <w:kern w:val="0"/>
                <w:sz w:val="24"/>
              </w:rPr>
            </w:pPr>
            <w:r>
              <w:rPr>
                <w:rFonts w:cs="Times New Roman"/>
                <w:kern w:val="0"/>
                <w:sz w:val="24"/>
              </w:rPr>
              <w:t>17.17%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911" w:type="dxa"/>
            <w:vMerge w:val="continue"/>
            <w:shd w:val="clear" w:color="auto" w:fill="auto"/>
            <w:vAlign w:val="center"/>
          </w:tcPr>
          <w:p>
            <w:pPr>
              <w:widowControl/>
              <w:adjustRightInd w:val="0"/>
              <w:snapToGrid w:val="0"/>
              <w:spacing w:line="240" w:lineRule="auto"/>
              <w:ind w:firstLine="0" w:firstLineChars="0"/>
              <w:rPr>
                <w:rFonts w:cs="Times New Roman"/>
                <w:b/>
                <w:bCs/>
                <w:sz w:val="24"/>
              </w:rPr>
            </w:pPr>
          </w:p>
        </w:tc>
        <w:tc>
          <w:tcPr>
            <w:tcW w:w="3995" w:type="dxa"/>
            <w:shd w:val="clear" w:color="auto" w:fill="auto"/>
            <w:vAlign w:val="center"/>
          </w:tcPr>
          <w:p>
            <w:pPr>
              <w:widowControl/>
              <w:adjustRightInd w:val="0"/>
              <w:snapToGrid w:val="0"/>
              <w:spacing w:line="240" w:lineRule="auto"/>
              <w:ind w:firstLine="0" w:firstLineChars="0"/>
              <w:jc w:val="center"/>
              <w:rPr>
                <w:rFonts w:cs="Times New Roman"/>
                <w:sz w:val="24"/>
              </w:rPr>
            </w:pPr>
            <w:r>
              <w:rPr>
                <w:rFonts w:cs="Times New Roman"/>
                <w:sz w:val="24"/>
              </w:rPr>
              <w:t>比较了解</w:t>
            </w:r>
          </w:p>
        </w:tc>
        <w:tc>
          <w:tcPr>
            <w:tcW w:w="1395" w:type="dxa"/>
            <w:shd w:val="clear" w:color="auto" w:fill="auto"/>
            <w:noWrap/>
            <w:vAlign w:val="center"/>
          </w:tcPr>
          <w:p>
            <w:pPr>
              <w:widowControl/>
              <w:adjustRightInd w:val="0"/>
              <w:snapToGrid w:val="0"/>
              <w:spacing w:line="240" w:lineRule="auto"/>
              <w:ind w:firstLine="0" w:firstLineChars="0"/>
              <w:jc w:val="center"/>
              <w:rPr>
                <w:rFonts w:cs="Times New Roman"/>
                <w:b/>
                <w:bCs/>
                <w:kern w:val="0"/>
                <w:sz w:val="24"/>
              </w:rPr>
            </w:pPr>
            <w:r>
              <w:rPr>
                <w:rFonts w:cs="Times New Roman"/>
                <w:kern w:val="0"/>
                <w:sz w:val="24"/>
              </w:rPr>
              <w:t>18</w:t>
            </w:r>
          </w:p>
        </w:tc>
        <w:tc>
          <w:tcPr>
            <w:tcW w:w="1395" w:type="dxa"/>
            <w:shd w:val="clear" w:color="auto" w:fill="auto"/>
            <w:vAlign w:val="center"/>
          </w:tcPr>
          <w:p>
            <w:pPr>
              <w:widowControl/>
              <w:adjustRightInd w:val="0"/>
              <w:snapToGrid w:val="0"/>
              <w:spacing w:line="240" w:lineRule="auto"/>
              <w:ind w:firstLine="0" w:firstLineChars="0"/>
              <w:jc w:val="center"/>
              <w:rPr>
                <w:rFonts w:cs="Times New Roman"/>
                <w:b/>
                <w:bCs/>
                <w:kern w:val="0"/>
                <w:sz w:val="24"/>
              </w:rPr>
            </w:pPr>
            <w:r>
              <w:rPr>
                <w:rFonts w:cs="Times New Roman"/>
                <w:kern w:val="0"/>
                <w:sz w:val="24"/>
              </w:rPr>
              <w:t>18.18%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911" w:type="dxa"/>
            <w:vMerge w:val="continue"/>
            <w:shd w:val="clear" w:color="auto" w:fill="auto"/>
            <w:vAlign w:val="center"/>
          </w:tcPr>
          <w:p>
            <w:pPr>
              <w:widowControl/>
              <w:adjustRightInd w:val="0"/>
              <w:snapToGrid w:val="0"/>
              <w:spacing w:line="240" w:lineRule="auto"/>
              <w:ind w:firstLine="0" w:firstLineChars="0"/>
              <w:rPr>
                <w:rFonts w:cs="Times New Roman"/>
                <w:b/>
                <w:bCs/>
                <w:sz w:val="24"/>
              </w:rPr>
            </w:pPr>
          </w:p>
        </w:tc>
        <w:tc>
          <w:tcPr>
            <w:tcW w:w="3995" w:type="dxa"/>
            <w:shd w:val="clear" w:color="auto" w:fill="auto"/>
            <w:vAlign w:val="center"/>
          </w:tcPr>
          <w:p>
            <w:pPr>
              <w:widowControl/>
              <w:adjustRightInd w:val="0"/>
              <w:snapToGrid w:val="0"/>
              <w:spacing w:line="240" w:lineRule="auto"/>
              <w:ind w:firstLine="0" w:firstLineChars="0"/>
              <w:jc w:val="center"/>
              <w:rPr>
                <w:rFonts w:cs="Times New Roman"/>
                <w:sz w:val="24"/>
              </w:rPr>
            </w:pPr>
            <w:r>
              <w:rPr>
                <w:rFonts w:cs="Times New Roman"/>
                <w:sz w:val="24"/>
              </w:rPr>
              <w:t>非常了解</w:t>
            </w:r>
          </w:p>
        </w:tc>
        <w:tc>
          <w:tcPr>
            <w:tcW w:w="1395" w:type="dxa"/>
            <w:shd w:val="clear" w:color="auto" w:fill="auto"/>
            <w:noWrap/>
            <w:vAlign w:val="center"/>
          </w:tcPr>
          <w:p>
            <w:pPr>
              <w:widowControl/>
              <w:adjustRightInd w:val="0"/>
              <w:snapToGrid w:val="0"/>
              <w:spacing w:line="240" w:lineRule="auto"/>
              <w:ind w:firstLine="0" w:firstLineChars="0"/>
              <w:jc w:val="center"/>
              <w:rPr>
                <w:rFonts w:cs="Times New Roman"/>
                <w:b/>
                <w:bCs/>
                <w:kern w:val="0"/>
                <w:sz w:val="24"/>
              </w:rPr>
            </w:pPr>
            <w:r>
              <w:rPr>
                <w:rFonts w:cs="Times New Roman"/>
                <w:kern w:val="0"/>
                <w:sz w:val="24"/>
              </w:rPr>
              <w:t>64</w:t>
            </w:r>
          </w:p>
        </w:tc>
        <w:tc>
          <w:tcPr>
            <w:tcW w:w="1395" w:type="dxa"/>
            <w:shd w:val="clear" w:color="auto" w:fill="auto"/>
            <w:vAlign w:val="center"/>
          </w:tcPr>
          <w:p>
            <w:pPr>
              <w:widowControl/>
              <w:adjustRightInd w:val="0"/>
              <w:snapToGrid w:val="0"/>
              <w:spacing w:line="240" w:lineRule="auto"/>
              <w:ind w:firstLine="0" w:firstLineChars="0"/>
              <w:jc w:val="center"/>
              <w:rPr>
                <w:rFonts w:cs="Times New Roman"/>
                <w:b/>
                <w:bCs/>
                <w:kern w:val="0"/>
                <w:sz w:val="24"/>
              </w:rPr>
            </w:pPr>
            <w:r>
              <w:rPr>
                <w:rFonts w:cs="Times New Roman"/>
                <w:kern w:val="0"/>
                <w:sz w:val="24"/>
              </w:rPr>
              <w:t>64.65%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911" w:type="dxa"/>
            <w:vMerge w:val="restart"/>
            <w:shd w:val="clear" w:color="auto" w:fill="auto"/>
            <w:vAlign w:val="center"/>
          </w:tcPr>
          <w:p>
            <w:pPr>
              <w:widowControl/>
              <w:adjustRightInd w:val="0"/>
              <w:snapToGrid w:val="0"/>
              <w:spacing w:line="240" w:lineRule="auto"/>
              <w:ind w:firstLine="0" w:firstLineChars="0"/>
              <w:rPr>
                <w:rFonts w:cs="Times New Roman"/>
                <w:b/>
                <w:bCs/>
                <w:sz w:val="24"/>
              </w:rPr>
            </w:pPr>
            <w:r>
              <w:rPr>
                <w:rFonts w:cs="Times New Roman"/>
                <w:b/>
                <w:bCs/>
                <w:sz w:val="24"/>
              </w:rPr>
              <w:t>2.您的身份是:</w:t>
            </w:r>
          </w:p>
        </w:tc>
        <w:tc>
          <w:tcPr>
            <w:tcW w:w="3995" w:type="dxa"/>
            <w:shd w:val="clear" w:color="auto" w:fill="auto"/>
            <w:vAlign w:val="center"/>
          </w:tcPr>
          <w:p>
            <w:pPr>
              <w:widowControl/>
              <w:adjustRightInd w:val="0"/>
              <w:snapToGrid w:val="0"/>
              <w:spacing w:line="240" w:lineRule="auto"/>
              <w:ind w:firstLine="0" w:firstLineChars="0"/>
              <w:jc w:val="center"/>
              <w:rPr>
                <w:rFonts w:cs="Times New Roman"/>
                <w:sz w:val="24"/>
              </w:rPr>
            </w:pPr>
            <w:r>
              <w:rPr>
                <w:rFonts w:cs="Times New Roman"/>
                <w:sz w:val="24"/>
              </w:rPr>
              <w:t>学校教职工</w:t>
            </w:r>
          </w:p>
        </w:tc>
        <w:tc>
          <w:tcPr>
            <w:tcW w:w="1395" w:type="dxa"/>
            <w:shd w:val="clear" w:color="auto" w:fill="auto"/>
            <w:noWrap/>
            <w:vAlign w:val="center"/>
          </w:tcPr>
          <w:p>
            <w:pPr>
              <w:widowControl/>
              <w:adjustRightInd w:val="0"/>
              <w:snapToGrid w:val="0"/>
              <w:spacing w:line="240" w:lineRule="auto"/>
              <w:ind w:firstLine="0" w:firstLineChars="0"/>
              <w:jc w:val="center"/>
              <w:rPr>
                <w:rFonts w:cs="Times New Roman"/>
                <w:b/>
                <w:bCs/>
                <w:kern w:val="0"/>
                <w:sz w:val="24"/>
              </w:rPr>
            </w:pPr>
            <w:r>
              <w:rPr>
                <w:rFonts w:cs="Times New Roman"/>
                <w:kern w:val="0"/>
                <w:sz w:val="24"/>
              </w:rPr>
              <w:t>6</w:t>
            </w:r>
          </w:p>
        </w:tc>
        <w:tc>
          <w:tcPr>
            <w:tcW w:w="1395" w:type="dxa"/>
            <w:shd w:val="clear" w:color="auto" w:fill="auto"/>
            <w:vAlign w:val="center"/>
          </w:tcPr>
          <w:p>
            <w:pPr>
              <w:widowControl/>
              <w:adjustRightInd w:val="0"/>
              <w:snapToGrid w:val="0"/>
              <w:spacing w:line="240" w:lineRule="auto"/>
              <w:ind w:firstLine="0" w:firstLineChars="0"/>
              <w:jc w:val="center"/>
              <w:rPr>
                <w:rFonts w:cs="Times New Roman"/>
                <w:b/>
                <w:bCs/>
                <w:kern w:val="0"/>
                <w:sz w:val="24"/>
              </w:rPr>
            </w:pPr>
            <w:r>
              <w:rPr>
                <w:rFonts w:cs="Times New Roman"/>
                <w:kern w:val="0"/>
                <w:sz w:val="24"/>
              </w:rPr>
              <w:t>6.06%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911" w:type="dxa"/>
            <w:vMerge w:val="continue"/>
            <w:shd w:val="clear" w:color="auto" w:fill="auto"/>
            <w:vAlign w:val="center"/>
          </w:tcPr>
          <w:p>
            <w:pPr>
              <w:widowControl/>
              <w:adjustRightInd w:val="0"/>
              <w:snapToGrid w:val="0"/>
              <w:spacing w:line="240" w:lineRule="auto"/>
              <w:ind w:firstLine="0" w:firstLineChars="0"/>
              <w:jc w:val="center"/>
              <w:rPr>
                <w:rFonts w:cs="Times New Roman"/>
                <w:b/>
                <w:bCs/>
                <w:sz w:val="24"/>
              </w:rPr>
            </w:pPr>
          </w:p>
        </w:tc>
        <w:tc>
          <w:tcPr>
            <w:tcW w:w="3995" w:type="dxa"/>
            <w:shd w:val="clear" w:color="auto" w:fill="auto"/>
            <w:vAlign w:val="center"/>
          </w:tcPr>
          <w:p>
            <w:pPr>
              <w:widowControl/>
              <w:adjustRightInd w:val="0"/>
              <w:snapToGrid w:val="0"/>
              <w:spacing w:line="240" w:lineRule="auto"/>
              <w:ind w:firstLine="0" w:firstLineChars="0"/>
              <w:jc w:val="center"/>
              <w:rPr>
                <w:rFonts w:cs="Times New Roman"/>
                <w:sz w:val="24"/>
              </w:rPr>
            </w:pPr>
            <w:r>
              <w:rPr>
                <w:rFonts w:cs="Times New Roman"/>
                <w:sz w:val="24"/>
              </w:rPr>
              <w:t>学生家长</w:t>
            </w:r>
          </w:p>
        </w:tc>
        <w:tc>
          <w:tcPr>
            <w:tcW w:w="1395" w:type="dxa"/>
            <w:shd w:val="clear" w:color="auto" w:fill="auto"/>
            <w:noWrap/>
            <w:vAlign w:val="center"/>
          </w:tcPr>
          <w:p>
            <w:pPr>
              <w:widowControl/>
              <w:adjustRightInd w:val="0"/>
              <w:snapToGrid w:val="0"/>
              <w:spacing w:line="240" w:lineRule="auto"/>
              <w:ind w:firstLine="0" w:firstLineChars="0"/>
              <w:jc w:val="center"/>
              <w:rPr>
                <w:rFonts w:cs="Times New Roman"/>
                <w:b/>
                <w:bCs/>
                <w:kern w:val="0"/>
                <w:sz w:val="24"/>
              </w:rPr>
            </w:pPr>
            <w:r>
              <w:rPr>
                <w:rFonts w:cs="Times New Roman"/>
                <w:kern w:val="0"/>
                <w:sz w:val="24"/>
              </w:rPr>
              <w:t>87</w:t>
            </w:r>
          </w:p>
        </w:tc>
        <w:tc>
          <w:tcPr>
            <w:tcW w:w="1395" w:type="dxa"/>
            <w:shd w:val="clear" w:color="auto" w:fill="auto"/>
            <w:vAlign w:val="center"/>
          </w:tcPr>
          <w:p>
            <w:pPr>
              <w:widowControl/>
              <w:adjustRightInd w:val="0"/>
              <w:snapToGrid w:val="0"/>
              <w:spacing w:line="240" w:lineRule="auto"/>
              <w:ind w:firstLine="0" w:firstLineChars="0"/>
              <w:jc w:val="center"/>
              <w:rPr>
                <w:rFonts w:cs="Times New Roman"/>
                <w:b/>
                <w:bCs/>
                <w:kern w:val="0"/>
                <w:sz w:val="24"/>
              </w:rPr>
            </w:pPr>
            <w:r>
              <w:rPr>
                <w:rFonts w:cs="Times New Roman"/>
                <w:kern w:val="0"/>
                <w:sz w:val="24"/>
              </w:rPr>
              <w:t>87.88%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911" w:type="dxa"/>
            <w:vMerge w:val="continue"/>
            <w:shd w:val="clear" w:color="auto" w:fill="auto"/>
            <w:vAlign w:val="center"/>
          </w:tcPr>
          <w:p>
            <w:pPr>
              <w:widowControl/>
              <w:adjustRightInd w:val="0"/>
              <w:snapToGrid w:val="0"/>
              <w:spacing w:line="240" w:lineRule="auto"/>
              <w:ind w:firstLine="0" w:firstLineChars="0"/>
              <w:jc w:val="center"/>
              <w:rPr>
                <w:rFonts w:cs="Times New Roman"/>
                <w:b/>
                <w:bCs/>
                <w:sz w:val="24"/>
              </w:rPr>
            </w:pPr>
          </w:p>
        </w:tc>
        <w:tc>
          <w:tcPr>
            <w:tcW w:w="3995" w:type="dxa"/>
            <w:shd w:val="clear" w:color="auto" w:fill="auto"/>
            <w:vAlign w:val="center"/>
          </w:tcPr>
          <w:p>
            <w:pPr>
              <w:widowControl/>
              <w:adjustRightInd w:val="0"/>
              <w:snapToGrid w:val="0"/>
              <w:spacing w:line="240" w:lineRule="auto"/>
              <w:ind w:firstLine="0" w:firstLineChars="0"/>
              <w:jc w:val="center"/>
              <w:rPr>
                <w:rFonts w:cs="Times New Roman"/>
                <w:sz w:val="24"/>
              </w:rPr>
            </w:pPr>
            <w:r>
              <w:rPr>
                <w:rFonts w:cs="Times New Roman"/>
                <w:sz w:val="24"/>
              </w:rPr>
              <w:t>学生</w:t>
            </w:r>
          </w:p>
        </w:tc>
        <w:tc>
          <w:tcPr>
            <w:tcW w:w="1395" w:type="dxa"/>
            <w:shd w:val="clear" w:color="auto" w:fill="auto"/>
            <w:noWrap/>
            <w:vAlign w:val="center"/>
          </w:tcPr>
          <w:p>
            <w:pPr>
              <w:widowControl/>
              <w:adjustRightInd w:val="0"/>
              <w:snapToGrid w:val="0"/>
              <w:spacing w:line="240" w:lineRule="auto"/>
              <w:ind w:firstLine="0" w:firstLineChars="0"/>
              <w:jc w:val="center"/>
              <w:rPr>
                <w:rFonts w:cs="Times New Roman"/>
                <w:b/>
                <w:bCs/>
                <w:kern w:val="0"/>
                <w:sz w:val="24"/>
              </w:rPr>
            </w:pPr>
            <w:r>
              <w:rPr>
                <w:rFonts w:cs="Times New Roman"/>
                <w:kern w:val="0"/>
                <w:sz w:val="24"/>
              </w:rPr>
              <w:t>6</w:t>
            </w:r>
          </w:p>
        </w:tc>
        <w:tc>
          <w:tcPr>
            <w:tcW w:w="1395" w:type="dxa"/>
            <w:shd w:val="clear" w:color="auto" w:fill="auto"/>
            <w:vAlign w:val="center"/>
          </w:tcPr>
          <w:p>
            <w:pPr>
              <w:widowControl/>
              <w:adjustRightInd w:val="0"/>
              <w:snapToGrid w:val="0"/>
              <w:spacing w:line="240" w:lineRule="auto"/>
              <w:ind w:firstLine="0" w:firstLineChars="0"/>
              <w:jc w:val="center"/>
              <w:rPr>
                <w:rFonts w:cs="Times New Roman"/>
                <w:b/>
                <w:bCs/>
                <w:kern w:val="0"/>
                <w:sz w:val="24"/>
              </w:rPr>
            </w:pPr>
            <w:r>
              <w:rPr>
                <w:rFonts w:cs="Times New Roman"/>
                <w:kern w:val="0"/>
                <w:sz w:val="24"/>
              </w:rPr>
              <w:t>6.06%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911" w:type="dxa"/>
            <w:vMerge w:val="restart"/>
            <w:shd w:val="clear" w:color="auto" w:fill="auto"/>
            <w:vAlign w:val="center"/>
          </w:tcPr>
          <w:p>
            <w:pPr>
              <w:widowControl/>
              <w:adjustRightInd w:val="0"/>
              <w:snapToGrid w:val="0"/>
              <w:spacing w:line="240" w:lineRule="auto"/>
              <w:ind w:firstLine="0" w:firstLineChars="0"/>
              <w:rPr>
                <w:rFonts w:cs="Times New Roman"/>
                <w:b/>
                <w:bCs/>
                <w:sz w:val="24"/>
              </w:rPr>
            </w:pPr>
            <w:r>
              <w:rPr>
                <w:rFonts w:cs="Times New Roman"/>
                <w:b/>
                <w:bCs/>
                <w:sz w:val="24"/>
              </w:rPr>
              <w:t>3.增城区应元学校高中部建设工程项目建设过程中对学校原教学环境是否有影响:</w:t>
            </w:r>
          </w:p>
        </w:tc>
        <w:tc>
          <w:tcPr>
            <w:tcW w:w="3995" w:type="dxa"/>
            <w:shd w:val="clear" w:color="auto" w:fill="auto"/>
            <w:vAlign w:val="center"/>
          </w:tcPr>
          <w:p>
            <w:pPr>
              <w:widowControl/>
              <w:adjustRightInd w:val="0"/>
              <w:snapToGrid w:val="0"/>
              <w:spacing w:line="240" w:lineRule="auto"/>
              <w:ind w:firstLine="0" w:firstLineChars="0"/>
              <w:jc w:val="center"/>
              <w:rPr>
                <w:rFonts w:cs="Times New Roman"/>
                <w:sz w:val="24"/>
              </w:rPr>
            </w:pPr>
            <w:r>
              <w:rPr>
                <w:rFonts w:cs="Times New Roman"/>
                <w:sz w:val="24"/>
              </w:rPr>
              <w:t>非常影响</w:t>
            </w:r>
          </w:p>
        </w:tc>
        <w:tc>
          <w:tcPr>
            <w:tcW w:w="1395" w:type="dxa"/>
            <w:shd w:val="clear" w:color="auto" w:fill="auto"/>
            <w:noWrap/>
            <w:vAlign w:val="center"/>
          </w:tcPr>
          <w:p>
            <w:pPr>
              <w:widowControl/>
              <w:adjustRightInd w:val="0"/>
              <w:snapToGrid w:val="0"/>
              <w:spacing w:line="240" w:lineRule="auto"/>
              <w:ind w:firstLine="0" w:firstLineChars="0"/>
              <w:jc w:val="center"/>
              <w:rPr>
                <w:rFonts w:cs="Times New Roman"/>
                <w:b/>
                <w:bCs/>
                <w:kern w:val="0"/>
                <w:sz w:val="24"/>
              </w:rPr>
            </w:pPr>
            <w:r>
              <w:rPr>
                <w:rFonts w:cs="Times New Roman"/>
                <w:kern w:val="0"/>
                <w:sz w:val="24"/>
              </w:rPr>
              <w:t>3</w:t>
            </w:r>
          </w:p>
        </w:tc>
        <w:tc>
          <w:tcPr>
            <w:tcW w:w="1395" w:type="dxa"/>
            <w:shd w:val="clear" w:color="auto" w:fill="auto"/>
            <w:vAlign w:val="center"/>
          </w:tcPr>
          <w:p>
            <w:pPr>
              <w:widowControl/>
              <w:adjustRightInd w:val="0"/>
              <w:snapToGrid w:val="0"/>
              <w:spacing w:line="240" w:lineRule="auto"/>
              <w:ind w:firstLine="0" w:firstLineChars="0"/>
              <w:jc w:val="center"/>
              <w:rPr>
                <w:rFonts w:cs="Times New Roman"/>
                <w:b/>
                <w:bCs/>
                <w:kern w:val="0"/>
                <w:sz w:val="24"/>
              </w:rPr>
            </w:pPr>
            <w:r>
              <w:rPr>
                <w:rFonts w:cs="Times New Roman"/>
                <w:kern w:val="0"/>
                <w:sz w:val="24"/>
              </w:rPr>
              <w:t>3.03%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911" w:type="dxa"/>
            <w:vMerge w:val="continue"/>
            <w:shd w:val="clear" w:color="auto" w:fill="auto"/>
            <w:vAlign w:val="center"/>
          </w:tcPr>
          <w:p>
            <w:pPr>
              <w:widowControl/>
              <w:adjustRightInd w:val="0"/>
              <w:snapToGrid w:val="0"/>
              <w:spacing w:line="240" w:lineRule="auto"/>
              <w:ind w:firstLine="0" w:firstLineChars="0"/>
              <w:rPr>
                <w:rFonts w:cs="Times New Roman"/>
                <w:b/>
                <w:bCs/>
                <w:sz w:val="24"/>
              </w:rPr>
            </w:pPr>
          </w:p>
        </w:tc>
        <w:tc>
          <w:tcPr>
            <w:tcW w:w="3995" w:type="dxa"/>
            <w:shd w:val="clear" w:color="auto" w:fill="auto"/>
            <w:vAlign w:val="center"/>
          </w:tcPr>
          <w:p>
            <w:pPr>
              <w:widowControl/>
              <w:adjustRightInd w:val="0"/>
              <w:snapToGrid w:val="0"/>
              <w:spacing w:line="240" w:lineRule="auto"/>
              <w:ind w:firstLine="0" w:firstLineChars="0"/>
              <w:jc w:val="center"/>
              <w:rPr>
                <w:rFonts w:cs="Times New Roman"/>
                <w:sz w:val="24"/>
              </w:rPr>
            </w:pPr>
            <w:r>
              <w:rPr>
                <w:rFonts w:cs="Times New Roman"/>
                <w:sz w:val="24"/>
              </w:rPr>
              <w:t>比较影响</w:t>
            </w:r>
          </w:p>
        </w:tc>
        <w:tc>
          <w:tcPr>
            <w:tcW w:w="1395" w:type="dxa"/>
            <w:shd w:val="clear" w:color="auto" w:fill="auto"/>
            <w:noWrap/>
            <w:vAlign w:val="center"/>
          </w:tcPr>
          <w:p>
            <w:pPr>
              <w:widowControl/>
              <w:adjustRightInd w:val="0"/>
              <w:snapToGrid w:val="0"/>
              <w:spacing w:line="240" w:lineRule="auto"/>
              <w:ind w:firstLine="0" w:firstLineChars="0"/>
              <w:jc w:val="center"/>
              <w:rPr>
                <w:rFonts w:cs="Times New Roman"/>
                <w:b/>
                <w:bCs/>
                <w:kern w:val="0"/>
                <w:sz w:val="24"/>
              </w:rPr>
            </w:pPr>
            <w:r>
              <w:rPr>
                <w:rFonts w:cs="Times New Roman"/>
                <w:kern w:val="0"/>
                <w:sz w:val="24"/>
              </w:rPr>
              <w:t>0</w:t>
            </w:r>
          </w:p>
        </w:tc>
        <w:tc>
          <w:tcPr>
            <w:tcW w:w="1395" w:type="dxa"/>
            <w:shd w:val="clear" w:color="auto" w:fill="auto"/>
            <w:vAlign w:val="center"/>
          </w:tcPr>
          <w:p>
            <w:pPr>
              <w:widowControl/>
              <w:adjustRightInd w:val="0"/>
              <w:snapToGrid w:val="0"/>
              <w:spacing w:line="240" w:lineRule="auto"/>
              <w:ind w:firstLine="0" w:firstLineChars="0"/>
              <w:jc w:val="center"/>
              <w:rPr>
                <w:rFonts w:cs="Times New Roman"/>
                <w:b/>
                <w:bCs/>
                <w:kern w:val="0"/>
                <w:sz w:val="24"/>
              </w:rPr>
            </w:pPr>
            <w:r>
              <w:rPr>
                <w:rFonts w:cs="Times New Roman"/>
                <w:kern w:val="0"/>
                <w:sz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911" w:type="dxa"/>
            <w:vMerge w:val="continue"/>
            <w:shd w:val="clear" w:color="auto" w:fill="auto"/>
            <w:vAlign w:val="center"/>
          </w:tcPr>
          <w:p>
            <w:pPr>
              <w:widowControl/>
              <w:adjustRightInd w:val="0"/>
              <w:snapToGrid w:val="0"/>
              <w:spacing w:line="240" w:lineRule="auto"/>
              <w:ind w:firstLine="0" w:firstLineChars="0"/>
              <w:rPr>
                <w:rFonts w:cs="Times New Roman"/>
                <w:b/>
                <w:bCs/>
                <w:sz w:val="24"/>
              </w:rPr>
            </w:pPr>
          </w:p>
        </w:tc>
        <w:tc>
          <w:tcPr>
            <w:tcW w:w="3995" w:type="dxa"/>
            <w:shd w:val="clear" w:color="auto" w:fill="auto"/>
            <w:vAlign w:val="center"/>
          </w:tcPr>
          <w:p>
            <w:pPr>
              <w:widowControl/>
              <w:adjustRightInd w:val="0"/>
              <w:snapToGrid w:val="0"/>
              <w:spacing w:line="240" w:lineRule="auto"/>
              <w:ind w:firstLine="0" w:firstLineChars="0"/>
              <w:jc w:val="center"/>
              <w:rPr>
                <w:rFonts w:cs="Times New Roman"/>
                <w:sz w:val="24"/>
              </w:rPr>
            </w:pPr>
            <w:r>
              <w:rPr>
                <w:rFonts w:cs="Times New Roman"/>
                <w:sz w:val="24"/>
              </w:rPr>
              <w:t>一般</w:t>
            </w:r>
          </w:p>
        </w:tc>
        <w:tc>
          <w:tcPr>
            <w:tcW w:w="1395" w:type="dxa"/>
            <w:shd w:val="clear" w:color="auto" w:fill="auto"/>
            <w:noWrap/>
            <w:vAlign w:val="center"/>
          </w:tcPr>
          <w:p>
            <w:pPr>
              <w:widowControl/>
              <w:adjustRightInd w:val="0"/>
              <w:snapToGrid w:val="0"/>
              <w:spacing w:line="240" w:lineRule="auto"/>
              <w:ind w:firstLine="0" w:firstLineChars="0"/>
              <w:jc w:val="center"/>
              <w:rPr>
                <w:rFonts w:cs="Times New Roman"/>
                <w:b/>
                <w:bCs/>
                <w:kern w:val="0"/>
                <w:sz w:val="24"/>
              </w:rPr>
            </w:pPr>
            <w:r>
              <w:rPr>
                <w:rFonts w:cs="Times New Roman"/>
                <w:kern w:val="0"/>
                <w:sz w:val="24"/>
              </w:rPr>
              <w:t>2</w:t>
            </w:r>
          </w:p>
        </w:tc>
        <w:tc>
          <w:tcPr>
            <w:tcW w:w="1395" w:type="dxa"/>
            <w:shd w:val="clear" w:color="auto" w:fill="auto"/>
            <w:vAlign w:val="center"/>
          </w:tcPr>
          <w:p>
            <w:pPr>
              <w:widowControl/>
              <w:adjustRightInd w:val="0"/>
              <w:snapToGrid w:val="0"/>
              <w:spacing w:line="240" w:lineRule="auto"/>
              <w:ind w:firstLine="0" w:firstLineChars="0"/>
              <w:jc w:val="center"/>
              <w:rPr>
                <w:rFonts w:cs="Times New Roman"/>
                <w:b/>
                <w:bCs/>
                <w:kern w:val="0"/>
                <w:sz w:val="24"/>
              </w:rPr>
            </w:pPr>
            <w:r>
              <w:rPr>
                <w:rFonts w:cs="Times New Roman"/>
                <w:kern w:val="0"/>
                <w:sz w:val="24"/>
              </w:rPr>
              <w:t>2.02%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911" w:type="dxa"/>
            <w:vMerge w:val="continue"/>
            <w:shd w:val="clear" w:color="auto" w:fill="auto"/>
            <w:vAlign w:val="center"/>
          </w:tcPr>
          <w:p>
            <w:pPr>
              <w:widowControl/>
              <w:adjustRightInd w:val="0"/>
              <w:snapToGrid w:val="0"/>
              <w:spacing w:line="240" w:lineRule="auto"/>
              <w:ind w:firstLine="0" w:firstLineChars="0"/>
              <w:rPr>
                <w:rFonts w:cs="Times New Roman"/>
                <w:b/>
                <w:bCs/>
                <w:sz w:val="24"/>
              </w:rPr>
            </w:pPr>
          </w:p>
        </w:tc>
        <w:tc>
          <w:tcPr>
            <w:tcW w:w="3995" w:type="dxa"/>
            <w:shd w:val="clear" w:color="auto" w:fill="auto"/>
            <w:vAlign w:val="center"/>
          </w:tcPr>
          <w:p>
            <w:pPr>
              <w:widowControl/>
              <w:adjustRightInd w:val="0"/>
              <w:snapToGrid w:val="0"/>
              <w:spacing w:line="240" w:lineRule="auto"/>
              <w:ind w:firstLine="0" w:firstLineChars="0"/>
              <w:jc w:val="center"/>
              <w:rPr>
                <w:rFonts w:cs="Times New Roman"/>
                <w:sz w:val="24"/>
              </w:rPr>
            </w:pPr>
            <w:r>
              <w:rPr>
                <w:rFonts w:cs="Times New Roman"/>
                <w:sz w:val="24"/>
              </w:rPr>
              <w:t>不太影响</w:t>
            </w:r>
          </w:p>
        </w:tc>
        <w:tc>
          <w:tcPr>
            <w:tcW w:w="1395" w:type="dxa"/>
            <w:shd w:val="clear" w:color="auto" w:fill="auto"/>
            <w:noWrap/>
            <w:vAlign w:val="center"/>
          </w:tcPr>
          <w:p>
            <w:pPr>
              <w:widowControl/>
              <w:adjustRightInd w:val="0"/>
              <w:snapToGrid w:val="0"/>
              <w:spacing w:line="240" w:lineRule="auto"/>
              <w:ind w:firstLine="0" w:firstLineChars="0"/>
              <w:jc w:val="center"/>
              <w:rPr>
                <w:rFonts w:cs="Times New Roman"/>
                <w:b/>
                <w:bCs/>
                <w:kern w:val="0"/>
                <w:sz w:val="24"/>
              </w:rPr>
            </w:pPr>
            <w:r>
              <w:rPr>
                <w:rFonts w:cs="Times New Roman"/>
                <w:kern w:val="0"/>
                <w:sz w:val="24"/>
              </w:rPr>
              <w:t>13</w:t>
            </w:r>
          </w:p>
        </w:tc>
        <w:tc>
          <w:tcPr>
            <w:tcW w:w="1395" w:type="dxa"/>
            <w:shd w:val="clear" w:color="auto" w:fill="auto"/>
            <w:vAlign w:val="center"/>
          </w:tcPr>
          <w:p>
            <w:pPr>
              <w:widowControl/>
              <w:adjustRightInd w:val="0"/>
              <w:snapToGrid w:val="0"/>
              <w:spacing w:line="240" w:lineRule="auto"/>
              <w:ind w:firstLine="0" w:firstLineChars="0"/>
              <w:jc w:val="center"/>
              <w:rPr>
                <w:rFonts w:cs="Times New Roman"/>
                <w:b/>
                <w:bCs/>
                <w:kern w:val="0"/>
                <w:sz w:val="24"/>
              </w:rPr>
            </w:pPr>
            <w:r>
              <w:rPr>
                <w:rFonts w:cs="Times New Roman"/>
                <w:kern w:val="0"/>
                <w:sz w:val="24"/>
              </w:rPr>
              <w:t>13.13%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911" w:type="dxa"/>
            <w:vMerge w:val="continue"/>
            <w:shd w:val="clear" w:color="auto" w:fill="auto"/>
            <w:vAlign w:val="center"/>
          </w:tcPr>
          <w:p>
            <w:pPr>
              <w:widowControl/>
              <w:adjustRightInd w:val="0"/>
              <w:snapToGrid w:val="0"/>
              <w:spacing w:line="240" w:lineRule="auto"/>
              <w:ind w:firstLine="0" w:firstLineChars="0"/>
              <w:rPr>
                <w:rFonts w:cs="Times New Roman"/>
                <w:b/>
                <w:bCs/>
                <w:sz w:val="24"/>
              </w:rPr>
            </w:pPr>
          </w:p>
        </w:tc>
        <w:tc>
          <w:tcPr>
            <w:tcW w:w="3995" w:type="dxa"/>
            <w:shd w:val="clear" w:color="auto" w:fill="auto"/>
            <w:vAlign w:val="center"/>
          </w:tcPr>
          <w:p>
            <w:pPr>
              <w:widowControl/>
              <w:adjustRightInd w:val="0"/>
              <w:snapToGrid w:val="0"/>
              <w:spacing w:line="240" w:lineRule="auto"/>
              <w:ind w:firstLine="0" w:firstLineChars="0"/>
              <w:jc w:val="center"/>
              <w:rPr>
                <w:rFonts w:cs="Times New Roman"/>
                <w:sz w:val="24"/>
              </w:rPr>
            </w:pPr>
            <w:r>
              <w:rPr>
                <w:rFonts w:cs="Times New Roman"/>
                <w:sz w:val="24"/>
              </w:rPr>
              <w:t>不影响</w:t>
            </w:r>
          </w:p>
        </w:tc>
        <w:tc>
          <w:tcPr>
            <w:tcW w:w="1395" w:type="dxa"/>
            <w:shd w:val="clear" w:color="auto" w:fill="auto"/>
            <w:noWrap/>
            <w:vAlign w:val="center"/>
          </w:tcPr>
          <w:p>
            <w:pPr>
              <w:widowControl/>
              <w:adjustRightInd w:val="0"/>
              <w:snapToGrid w:val="0"/>
              <w:spacing w:line="240" w:lineRule="auto"/>
              <w:ind w:firstLine="0" w:firstLineChars="0"/>
              <w:jc w:val="center"/>
              <w:rPr>
                <w:rFonts w:cs="Times New Roman"/>
                <w:b/>
                <w:bCs/>
                <w:kern w:val="0"/>
                <w:sz w:val="24"/>
              </w:rPr>
            </w:pPr>
            <w:r>
              <w:rPr>
                <w:rFonts w:cs="Times New Roman"/>
                <w:kern w:val="0"/>
                <w:sz w:val="24"/>
              </w:rPr>
              <w:t>81</w:t>
            </w:r>
          </w:p>
        </w:tc>
        <w:tc>
          <w:tcPr>
            <w:tcW w:w="1395" w:type="dxa"/>
            <w:shd w:val="clear" w:color="auto" w:fill="auto"/>
            <w:vAlign w:val="center"/>
          </w:tcPr>
          <w:p>
            <w:pPr>
              <w:widowControl/>
              <w:adjustRightInd w:val="0"/>
              <w:snapToGrid w:val="0"/>
              <w:spacing w:line="240" w:lineRule="auto"/>
              <w:ind w:firstLine="0" w:firstLineChars="0"/>
              <w:jc w:val="center"/>
              <w:rPr>
                <w:rFonts w:cs="Times New Roman"/>
                <w:b/>
                <w:bCs/>
                <w:kern w:val="0"/>
                <w:sz w:val="24"/>
              </w:rPr>
            </w:pPr>
            <w:r>
              <w:rPr>
                <w:rFonts w:cs="Times New Roman"/>
                <w:kern w:val="0"/>
                <w:sz w:val="24"/>
              </w:rPr>
              <w:t>81.82%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911" w:type="dxa"/>
            <w:vMerge w:val="restart"/>
            <w:shd w:val="clear" w:color="auto" w:fill="auto"/>
            <w:vAlign w:val="center"/>
          </w:tcPr>
          <w:p>
            <w:pPr>
              <w:widowControl/>
              <w:adjustRightInd w:val="0"/>
              <w:snapToGrid w:val="0"/>
              <w:spacing w:line="240" w:lineRule="auto"/>
              <w:ind w:firstLine="0" w:firstLineChars="0"/>
              <w:rPr>
                <w:rFonts w:cs="Times New Roman"/>
                <w:b/>
                <w:bCs/>
                <w:sz w:val="24"/>
              </w:rPr>
            </w:pPr>
            <w:r>
              <w:rPr>
                <w:rFonts w:cs="Times New Roman"/>
                <w:b/>
                <w:bCs/>
                <w:sz w:val="24"/>
              </w:rPr>
              <w:t>8.您认为增城区应元学校高中部建设工程项目是否有利于增城区办学条件水平的提高:</w:t>
            </w:r>
          </w:p>
        </w:tc>
        <w:tc>
          <w:tcPr>
            <w:tcW w:w="3995" w:type="dxa"/>
            <w:shd w:val="clear" w:color="auto" w:fill="auto"/>
            <w:vAlign w:val="center"/>
          </w:tcPr>
          <w:p>
            <w:pPr>
              <w:widowControl/>
              <w:adjustRightInd w:val="0"/>
              <w:snapToGrid w:val="0"/>
              <w:spacing w:line="240" w:lineRule="auto"/>
              <w:ind w:firstLine="0" w:firstLineChars="0"/>
              <w:jc w:val="center"/>
              <w:rPr>
                <w:rFonts w:cs="Times New Roman"/>
                <w:sz w:val="24"/>
              </w:rPr>
            </w:pPr>
            <w:r>
              <w:rPr>
                <w:rFonts w:cs="Times New Roman"/>
                <w:sz w:val="24"/>
              </w:rPr>
              <w:t>没有作用</w:t>
            </w:r>
          </w:p>
        </w:tc>
        <w:tc>
          <w:tcPr>
            <w:tcW w:w="1395" w:type="dxa"/>
            <w:shd w:val="clear" w:color="auto" w:fill="auto"/>
            <w:noWrap/>
            <w:vAlign w:val="center"/>
          </w:tcPr>
          <w:p>
            <w:pPr>
              <w:widowControl/>
              <w:adjustRightInd w:val="0"/>
              <w:snapToGrid w:val="0"/>
              <w:spacing w:line="240" w:lineRule="auto"/>
              <w:ind w:firstLine="0" w:firstLineChars="0"/>
              <w:jc w:val="center"/>
              <w:rPr>
                <w:rFonts w:cs="Times New Roman"/>
                <w:b/>
                <w:bCs/>
                <w:kern w:val="0"/>
                <w:sz w:val="24"/>
              </w:rPr>
            </w:pPr>
            <w:r>
              <w:rPr>
                <w:rFonts w:cs="Times New Roman"/>
                <w:kern w:val="0"/>
                <w:sz w:val="24"/>
              </w:rPr>
              <w:t>0</w:t>
            </w:r>
          </w:p>
        </w:tc>
        <w:tc>
          <w:tcPr>
            <w:tcW w:w="1395" w:type="dxa"/>
            <w:shd w:val="clear" w:color="auto" w:fill="auto"/>
            <w:vAlign w:val="center"/>
          </w:tcPr>
          <w:p>
            <w:pPr>
              <w:widowControl/>
              <w:adjustRightInd w:val="0"/>
              <w:snapToGrid w:val="0"/>
              <w:spacing w:line="240" w:lineRule="auto"/>
              <w:ind w:firstLine="0" w:firstLineChars="0"/>
              <w:jc w:val="center"/>
              <w:rPr>
                <w:rFonts w:cs="Times New Roman"/>
                <w:b/>
                <w:bCs/>
                <w:kern w:val="0"/>
                <w:sz w:val="24"/>
              </w:rPr>
            </w:pPr>
            <w:r>
              <w:rPr>
                <w:rFonts w:cs="Times New Roman"/>
                <w:kern w:val="0"/>
                <w:sz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911" w:type="dxa"/>
            <w:vMerge w:val="continue"/>
            <w:shd w:val="clear" w:color="auto" w:fill="auto"/>
            <w:vAlign w:val="center"/>
          </w:tcPr>
          <w:p>
            <w:pPr>
              <w:widowControl/>
              <w:adjustRightInd w:val="0"/>
              <w:snapToGrid w:val="0"/>
              <w:spacing w:line="240" w:lineRule="auto"/>
              <w:ind w:firstLine="0" w:firstLineChars="0"/>
              <w:rPr>
                <w:rFonts w:cs="Times New Roman"/>
                <w:b/>
                <w:bCs/>
                <w:sz w:val="24"/>
              </w:rPr>
            </w:pPr>
          </w:p>
        </w:tc>
        <w:tc>
          <w:tcPr>
            <w:tcW w:w="3995" w:type="dxa"/>
            <w:shd w:val="clear" w:color="auto" w:fill="auto"/>
            <w:vAlign w:val="center"/>
          </w:tcPr>
          <w:p>
            <w:pPr>
              <w:widowControl/>
              <w:adjustRightInd w:val="0"/>
              <w:snapToGrid w:val="0"/>
              <w:spacing w:line="240" w:lineRule="auto"/>
              <w:ind w:firstLine="0" w:firstLineChars="0"/>
              <w:jc w:val="center"/>
              <w:rPr>
                <w:rFonts w:cs="Times New Roman"/>
                <w:sz w:val="24"/>
              </w:rPr>
            </w:pPr>
            <w:r>
              <w:rPr>
                <w:rFonts w:cs="Times New Roman"/>
                <w:sz w:val="24"/>
              </w:rPr>
              <w:t>不太有作用</w:t>
            </w:r>
          </w:p>
        </w:tc>
        <w:tc>
          <w:tcPr>
            <w:tcW w:w="1395" w:type="dxa"/>
            <w:shd w:val="clear" w:color="auto" w:fill="auto"/>
            <w:noWrap/>
            <w:vAlign w:val="center"/>
          </w:tcPr>
          <w:p>
            <w:pPr>
              <w:widowControl/>
              <w:adjustRightInd w:val="0"/>
              <w:snapToGrid w:val="0"/>
              <w:spacing w:line="240" w:lineRule="auto"/>
              <w:ind w:firstLine="0" w:firstLineChars="0"/>
              <w:jc w:val="center"/>
              <w:rPr>
                <w:rFonts w:cs="Times New Roman"/>
                <w:b/>
                <w:bCs/>
                <w:kern w:val="0"/>
                <w:sz w:val="24"/>
              </w:rPr>
            </w:pPr>
            <w:r>
              <w:rPr>
                <w:rFonts w:cs="Times New Roman"/>
                <w:kern w:val="0"/>
                <w:sz w:val="24"/>
              </w:rPr>
              <w:t>0</w:t>
            </w:r>
          </w:p>
        </w:tc>
        <w:tc>
          <w:tcPr>
            <w:tcW w:w="1395" w:type="dxa"/>
            <w:shd w:val="clear" w:color="auto" w:fill="auto"/>
            <w:vAlign w:val="center"/>
          </w:tcPr>
          <w:p>
            <w:pPr>
              <w:widowControl/>
              <w:adjustRightInd w:val="0"/>
              <w:snapToGrid w:val="0"/>
              <w:spacing w:line="240" w:lineRule="auto"/>
              <w:ind w:firstLine="0" w:firstLineChars="0"/>
              <w:jc w:val="center"/>
              <w:rPr>
                <w:rFonts w:cs="Times New Roman"/>
                <w:b/>
                <w:bCs/>
                <w:kern w:val="0"/>
                <w:sz w:val="24"/>
              </w:rPr>
            </w:pPr>
            <w:r>
              <w:rPr>
                <w:rFonts w:cs="Times New Roman"/>
                <w:kern w:val="0"/>
                <w:sz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911" w:type="dxa"/>
            <w:vMerge w:val="continue"/>
            <w:shd w:val="clear" w:color="auto" w:fill="auto"/>
            <w:vAlign w:val="center"/>
          </w:tcPr>
          <w:p>
            <w:pPr>
              <w:widowControl/>
              <w:adjustRightInd w:val="0"/>
              <w:snapToGrid w:val="0"/>
              <w:spacing w:line="240" w:lineRule="auto"/>
              <w:ind w:firstLine="0" w:firstLineChars="0"/>
              <w:rPr>
                <w:rFonts w:cs="Times New Roman"/>
                <w:b/>
                <w:bCs/>
                <w:sz w:val="24"/>
              </w:rPr>
            </w:pPr>
          </w:p>
        </w:tc>
        <w:tc>
          <w:tcPr>
            <w:tcW w:w="3995" w:type="dxa"/>
            <w:shd w:val="clear" w:color="auto" w:fill="auto"/>
            <w:vAlign w:val="center"/>
          </w:tcPr>
          <w:p>
            <w:pPr>
              <w:widowControl/>
              <w:adjustRightInd w:val="0"/>
              <w:snapToGrid w:val="0"/>
              <w:spacing w:line="240" w:lineRule="auto"/>
              <w:ind w:firstLine="0" w:firstLineChars="0"/>
              <w:jc w:val="center"/>
              <w:rPr>
                <w:rFonts w:cs="Times New Roman"/>
                <w:sz w:val="24"/>
              </w:rPr>
            </w:pPr>
            <w:r>
              <w:rPr>
                <w:rFonts w:cs="Times New Roman"/>
                <w:sz w:val="24"/>
              </w:rPr>
              <w:t>一般</w:t>
            </w:r>
          </w:p>
        </w:tc>
        <w:tc>
          <w:tcPr>
            <w:tcW w:w="1395" w:type="dxa"/>
            <w:shd w:val="clear" w:color="auto" w:fill="auto"/>
            <w:noWrap/>
            <w:vAlign w:val="center"/>
          </w:tcPr>
          <w:p>
            <w:pPr>
              <w:widowControl/>
              <w:adjustRightInd w:val="0"/>
              <w:snapToGrid w:val="0"/>
              <w:spacing w:line="240" w:lineRule="auto"/>
              <w:ind w:firstLine="0" w:firstLineChars="0"/>
              <w:jc w:val="center"/>
              <w:rPr>
                <w:rFonts w:cs="Times New Roman"/>
                <w:b/>
                <w:bCs/>
                <w:kern w:val="0"/>
                <w:sz w:val="24"/>
              </w:rPr>
            </w:pPr>
            <w:r>
              <w:rPr>
                <w:rFonts w:cs="Times New Roman"/>
                <w:kern w:val="0"/>
                <w:sz w:val="24"/>
              </w:rPr>
              <w:t>1</w:t>
            </w:r>
          </w:p>
        </w:tc>
        <w:tc>
          <w:tcPr>
            <w:tcW w:w="1395" w:type="dxa"/>
            <w:shd w:val="clear" w:color="auto" w:fill="auto"/>
            <w:vAlign w:val="center"/>
          </w:tcPr>
          <w:p>
            <w:pPr>
              <w:widowControl/>
              <w:adjustRightInd w:val="0"/>
              <w:snapToGrid w:val="0"/>
              <w:spacing w:line="240" w:lineRule="auto"/>
              <w:ind w:firstLine="0" w:firstLineChars="0"/>
              <w:jc w:val="center"/>
              <w:rPr>
                <w:rFonts w:cs="Times New Roman"/>
                <w:b/>
                <w:bCs/>
                <w:kern w:val="0"/>
                <w:sz w:val="24"/>
              </w:rPr>
            </w:pPr>
            <w:r>
              <w:rPr>
                <w:rFonts w:cs="Times New Roman"/>
                <w:kern w:val="0"/>
                <w:sz w:val="24"/>
              </w:rPr>
              <w:t>1.01%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911" w:type="dxa"/>
            <w:vMerge w:val="continue"/>
            <w:shd w:val="clear" w:color="auto" w:fill="auto"/>
            <w:vAlign w:val="center"/>
          </w:tcPr>
          <w:p>
            <w:pPr>
              <w:widowControl/>
              <w:adjustRightInd w:val="0"/>
              <w:snapToGrid w:val="0"/>
              <w:spacing w:line="240" w:lineRule="auto"/>
              <w:ind w:firstLine="0" w:firstLineChars="0"/>
              <w:rPr>
                <w:rFonts w:cs="Times New Roman"/>
                <w:b/>
                <w:bCs/>
                <w:sz w:val="24"/>
              </w:rPr>
            </w:pPr>
          </w:p>
        </w:tc>
        <w:tc>
          <w:tcPr>
            <w:tcW w:w="3995" w:type="dxa"/>
            <w:shd w:val="clear" w:color="auto" w:fill="auto"/>
            <w:vAlign w:val="center"/>
          </w:tcPr>
          <w:p>
            <w:pPr>
              <w:widowControl/>
              <w:adjustRightInd w:val="0"/>
              <w:snapToGrid w:val="0"/>
              <w:spacing w:line="240" w:lineRule="auto"/>
              <w:ind w:firstLine="0" w:firstLineChars="0"/>
              <w:jc w:val="center"/>
              <w:rPr>
                <w:rFonts w:cs="Times New Roman"/>
                <w:sz w:val="24"/>
              </w:rPr>
            </w:pPr>
            <w:r>
              <w:rPr>
                <w:rFonts w:cs="Times New Roman"/>
                <w:sz w:val="24"/>
              </w:rPr>
              <w:t>作用较大</w:t>
            </w:r>
          </w:p>
        </w:tc>
        <w:tc>
          <w:tcPr>
            <w:tcW w:w="1395" w:type="dxa"/>
            <w:shd w:val="clear" w:color="auto" w:fill="auto"/>
            <w:noWrap/>
            <w:vAlign w:val="center"/>
          </w:tcPr>
          <w:p>
            <w:pPr>
              <w:widowControl/>
              <w:adjustRightInd w:val="0"/>
              <w:snapToGrid w:val="0"/>
              <w:spacing w:line="240" w:lineRule="auto"/>
              <w:ind w:firstLine="0" w:firstLineChars="0"/>
              <w:jc w:val="center"/>
              <w:rPr>
                <w:rFonts w:cs="Times New Roman"/>
                <w:b/>
                <w:bCs/>
                <w:kern w:val="0"/>
                <w:sz w:val="24"/>
              </w:rPr>
            </w:pPr>
            <w:r>
              <w:rPr>
                <w:rFonts w:cs="Times New Roman"/>
                <w:kern w:val="0"/>
                <w:sz w:val="24"/>
              </w:rPr>
              <w:t>11</w:t>
            </w:r>
          </w:p>
        </w:tc>
        <w:tc>
          <w:tcPr>
            <w:tcW w:w="1395" w:type="dxa"/>
            <w:shd w:val="clear" w:color="auto" w:fill="auto"/>
            <w:vAlign w:val="center"/>
          </w:tcPr>
          <w:p>
            <w:pPr>
              <w:widowControl/>
              <w:adjustRightInd w:val="0"/>
              <w:snapToGrid w:val="0"/>
              <w:spacing w:line="240" w:lineRule="auto"/>
              <w:ind w:firstLine="0" w:firstLineChars="0"/>
              <w:jc w:val="center"/>
              <w:rPr>
                <w:rFonts w:cs="Times New Roman"/>
                <w:b/>
                <w:bCs/>
                <w:kern w:val="0"/>
                <w:sz w:val="24"/>
              </w:rPr>
            </w:pPr>
            <w:r>
              <w:rPr>
                <w:rFonts w:cs="Times New Roman"/>
                <w:kern w:val="0"/>
                <w:sz w:val="24"/>
              </w:rPr>
              <w:t>11.11%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911" w:type="dxa"/>
            <w:vMerge w:val="continue"/>
            <w:shd w:val="clear" w:color="auto" w:fill="auto"/>
            <w:vAlign w:val="center"/>
          </w:tcPr>
          <w:p>
            <w:pPr>
              <w:widowControl/>
              <w:adjustRightInd w:val="0"/>
              <w:snapToGrid w:val="0"/>
              <w:spacing w:line="240" w:lineRule="auto"/>
              <w:ind w:firstLine="0" w:firstLineChars="0"/>
              <w:rPr>
                <w:rFonts w:cs="Times New Roman"/>
                <w:b/>
                <w:bCs/>
                <w:sz w:val="24"/>
              </w:rPr>
            </w:pPr>
          </w:p>
        </w:tc>
        <w:tc>
          <w:tcPr>
            <w:tcW w:w="3995" w:type="dxa"/>
            <w:shd w:val="clear" w:color="auto" w:fill="auto"/>
            <w:vAlign w:val="center"/>
          </w:tcPr>
          <w:p>
            <w:pPr>
              <w:widowControl/>
              <w:adjustRightInd w:val="0"/>
              <w:snapToGrid w:val="0"/>
              <w:spacing w:line="240" w:lineRule="auto"/>
              <w:ind w:firstLine="0" w:firstLineChars="0"/>
              <w:jc w:val="center"/>
              <w:rPr>
                <w:rFonts w:cs="Times New Roman"/>
                <w:sz w:val="24"/>
              </w:rPr>
            </w:pPr>
            <w:r>
              <w:rPr>
                <w:rFonts w:cs="Times New Roman"/>
                <w:sz w:val="24"/>
              </w:rPr>
              <w:t>作用非常大</w:t>
            </w:r>
          </w:p>
        </w:tc>
        <w:tc>
          <w:tcPr>
            <w:tcW w:w="1395" w:type="dxa"/>
            <w:shd w:val="clear" w:color="auto" w:fill="auto"/>
            <w:noWrap/>
            <w:vAlign w:val="center"/>
          </w:tcPr>
          <w:p>
            <w:pPr>
              <w:widowControl/>
              <w:adjustRightInd w:val="0"/>
              <w:snapToGrid w:val="0"/>
              <w:spacing w:line="240" w:lineRule="auto"/>
              <w:ind w:firstLine="0" w:firstLineChars="0"/>
              <w:jc w:val="center"/>
              <w:rPr>
                <w:rFonts w:cs="Times New Roman"/>
                <w:kern w:val="0"/>
                <w:sz w:val="24"/>
              </w:rPr>
            </w:pPr>
            <w:r>
              <w:rPr>
                <w:rFonts w:cs="Times New Roman"/>
                <w:kern w:val="0"/>
                <w:sz w:val="24"/>
              </w:rPr>
              <w:t>87</w:t>
            </w:r>
          </w:p>
        </w:tc>
        <w:tc>
          <w:tcPr>
            <w:tcW w:w="1395" w:type="dxa"/>
            <w:shd w:val="clear" w:color="auto" w:fill="auto"/>
            <w:vAlign w:val="center"/>
          </w:tcPr>
          <w:p>
            <w:pPr>
              <w:widowControl/>
              <w:adjustRightInd w:val="0"/>
              <w:snapToGrid w:val="0"/>
              <w:spacing w:line="240" w:lineRule="auto"/>
              <w:ind w:firstLine="0" w:firstLineChars="0"/>
              <w:jc w:val="center"/>
              <w:rPr>
                <w:rFonts w:cs="Times New Roman"/>
                <w:b/>
                <w:bCs/>
                <w:kern w:val="0"/>
                <w:sz w:val="24"/>
              </w:rPr>
            </w:pPr>
            <w:r>
              <w:rPr>
                <w:rFonts w:cs="Times New Roman"/>
                <w:kern w:val="0"/>
                <w:sz w:val="24"/>
              </w:rPr>
              <w:t>87.88%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911" w:type="dxa"/>
            <w:vMerge w:val="restart"/>
            <w:shd w:val="clear" w:color="auto" w:fill="auto"/>
            <w:vAlign w:val="center"/>
          </w:tcPr>
          <w:p>
            <w:pPr>
              <w:widowControl/>
              <w:adjustRightInd w:val="0"/>
              <w:snapToGrid w:val="0"/>
              <w:spacing w:line="240" w:lineRule="auto"/>
              <w:ind w:firstLine="0" w:firstLineChars="0"/>
              <w:rPr>
                <w:rFonts w:cs="Times New Roman"/>
                <w:b/>
                <w:bCs/>
                <w:sz w:val="24"/>
              </w:rPr>
            </w:pPr>
            <w:r>
              <w:rPr>
                <w:rFonts w:cs="Times New Roman"/>
                <w:b/>
                <w:bCs/>
                <w:sz w:val="24"/>
              </w:rPr>
              <w:t>9.您认为增城区应元学校高中部建设工程项目是否有利于增城区学校教育教学水平的提高:</w:t>
            </w:r>
          </w:p>
        </w:tc>
        <w:tc>
          <w:tcPr>
            <w:tcW w:w="3995" w:type="dxa"/>
            <w:shd w:val="clear" w:color="auto" w:fill="auto"/>
            <w:vAlign w:val="center"/>
          </w:tcPr>
          <w:p>
            <w:pPr>
              <w:widowControl/>
              <w:adjustRightInd w:val="0"/>
              <w:snapToGrid w:val="0"/>
              <w:spacing w:line="240" w:lineRule="auto"/>
              <w:ind w:firstLine="0" w:firstLineChars="0"/>
              <w:jc w:val="center"/>
              <w:rPr>
                <w:rFonts w:cs="Times New Roman"/>
                <w:b/>
                <w:bCs/>
                <w:sz w:val="24"/>
              </w:rPr>
            </w:pPr>
            <w:r>
              <w:rPr>
                <w:rFonts w:cs="Times New Roman"/>
                <w:sz w:val="24"/>
              </w:rPr>
              <w:t>没有作用</w:t>
            </w:r>
          </w:p>
        </w:tc>
        <w:tc>
          <w:tcPr>
            <w:tcW w:w="1395" w:type="dxa"/>
            <w:shd w:val="clear" w:color="auto" w:fill="auto"/>
            <w:noWrap/>
            <w:vAlign w:val="center"/>
          </w:tcPr>
          <w:p>
            <w:pPr>
              <w:widowControl/>
              <w:adjustRightInd w:val="0"/>
              <w:snapToGrid w:val="0"/>
              <w:spacing w:line="240" w:lineRule="auto"/>
              <w:ind w:firstLine="0" w:firstLineChars="0"/>
              <w:jc w:val="center"/>
              <w:rPr>
                <w:rFonts w:cs="Times New Roman"/>
                <w:b/>
                <w:bCs/>
                <w:kern w:val="0"/>
                <w:sz w:val="24"/>
              </w:rPr>
            </w:pPr>
            <w:r>
              <w:rPr>
                <w:rFonts w:cs="Times New Roman"/>
                <w:kern w:val="0"/>
                <w:sz w:val="24"/>
              </w:rPr>
              <w:t>0</w:t>
            </w:r>
          </w:p>
        </w:tc>
        <w:tc>
          <w:tcPr>
            <w:tcW w:w="1395" w:type="dxa"/>
            <w:shd w:val="clear" w:color="auto" w:fill="auto"/>
            <w:vAlign w:val="center"/>
          </w:tcPr>
          <w:p>
            <w:pPr>
              <w:widowControl/>
              <w:adjustRightInd w:val="0"/>
              <w:snapToGrid w:val="0"/>
              <w:spacing w:line="240" w:lineRule="auto"/>
              <w:ind w:firstLine="0" w:firstLineChars="0"/>
              <w:jc w:val="center"/>
              <w:rPr>
                <w:rFonts w:cs="Times New Roman"/>
                <w:b/>
                <w:bCs/>
                <w:kern w:val="0"/>
                <w:sz w:val="24"/>
              </w:rPr>
            </w:pPr>
            <w:r>
              <w:rPr>
                <w:rFonts w:cs="Times New Roman"/>
                <w:kern w:val="0"/>
                <w:sz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911" w:type="dxa"/>
            <w:vMerge w:val="continue"/>
            <w:shd w:val="clear" w:color="auto" w:fill="auto"/>
            <w:vAlign w:val="center"/>
          </w:tcPr>
          <w:p>
            <w:pPr>
              <w:widowControl/>
              <w:adjustRightInd w:val="0"/>
              <w:snapToGrid w:val="0"/>
              <w:spacing w:line="240" w:lineRule="auto"/>
              <w:ind w:firstLine="0" w:firstLineChars="0"/>
              <w:jc w:val="center"/>
              <w:rPr>
                <w:rFonts w:cs="Times New Roman"/>
                <w:b/>
                <w:bCs/>
                <w:sz w:val="24"/>
              </w:rPr>
            </w:pPr>
          </w:p>
        </w:tc>
        <w:tc>
          <w:tcPr>
            <w:tcW w:w="3995" w:type="dxa"/>
            <w:shd w:val="clear" w:color="auto" w:fill="auto"/>
            <w:vAlign w:val="center"/>
          </w:tcPr>
          <w:p>
            <w:pPr>
              <w:widowControl/>
              <w:adjustRightInd w:val="0"/>
              <w:snapToGrid w:val="0"/>
              <w:spacing w:line="240" w:lineRule="auto"/>
              <w:ind w:firstLine="0" w:firstLineChars="0"/>
              <w:jc w:val="center"/>
              <w:rPr>
                <w:rFonts w:cs="Times New Roman"/>
                <w:b/>
                <w:bCs/>
                <w:sz w:val="24"/>
              </w:rPr>
            </w:pPr>
            <w:r>
              <w:rPr>
                <w:rFonts w:cs="Times New Roman"/>
                <w:sz w:val="24"/>
              </w:rPr>
              <w:t>不太有作用</w:t>
            </w:r>
          </w:p>
        </w:tc>
        <w:tc>
          <w:tcPr>
            <w:tcW w:w="1395" w:type="dxa"/>
            <w:shd w:val="clear" w:color="auto" w:fill="auto"/>
            <w:noWrap/>
            <w:vAlign w:val="center"/>
          </w:tcPr>
          <w:p>
            <w:pPr>
              <w:widowControl/>
              <w:adjustRightInd w:val="0"/>
              <w:snapToGrid w:val="0"/>
              <w:spacing w:line="240" w:lineRule="auto"/>
              <w:ind w:firstLine="0" w:firstLineChars="0"/>
              <w:jc w:val="center"/>
              <w:rPr>
                <w:rFonts w:cs="Times New Roman"/>
                <w:b/>
                <w:bCs/>
                <w:kern w:val="0"/>
                <w:sz w:val="24"/>
              </w:rPr>
            </w:pPr>
            <w:r>
              <w:rPr>
                <w:rFonts w:cs="Times New Roman"/>
                <w:kern w:val="0"/>
                <w:sz w:val="24"/>
              </w:rPr>
              <w:t>0</w:t>
            </w:r>
          </w:p>
        </w:tc>
        <w:tc>
          <w:tcPr>
            <w:tcW w:w="1395" w:type="dxa"/>
            <w:shd w:val="clear" w:color="auto" w:fill="auto"/>
            <w:vAlign w:val="center"/>
          </w:tcPr>
          <w:p>
            <w:pPr>
              <w:widowControl/>
              <w:adjustRightInd w:val="0"/>
              <w:snapToGrid w:val="0"/>
              <w:spacing w:line="240" w:lineRule="auto"/>
              <w:ind w:firstLine="0" w:firstLineChars="0"/>
              <w:jc w:val="center"/>
              <w:rPr>
                <w:rFonts w:cs="Times New Roman"/>
                <w:b/>
                <w:bCs/>
                <w:kern w:val="0"/>
                <w:sz w:val="24"/>
              </w:rPr>
            </w:pPr>
            <w:r>
              <w:rPr>
                <w:rFonts w:cs="Times New Roman"/>
                <w:kern w:val="0"/>
                <w:sz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911" w:type="dxa"/>
            <w:vMerge w:val="continue"/>
            <w:shd w:val="clear" w:color="auto" w:fill="auto"/>
            <w:vAlign w:val="center"/>
          </w:tcPr>
          <w:p>
            <w:pPr>
              <w:widowControl/>
              <w:adjustRightInd w:val="0"/>
              <w:snapToGrid w:val="0"/>
              <w:spacing w:line="240" w:lineRule="auto"/>
              <w:ind w:firstLine="0" w:firstLineChars="0"/>
              <w:jc w:val="center"/>
              <w:rPr>
                <w:rFonts w:cs="Times New Roman"/>
                <w:b/>
                <w:bCs/>
                <w:sz w:val="24"/>
              </w:rPr>
            </w:pPr>
          </w:p>
        </w:tc>
        <w:tc>
          <w:tcPr>
            <w:tcW w:w="3995" w:type="dxa"/>
            <w:shd w:val="clear" w:color="auto" w:fill="auto"/>
            <w:vAlign w:val="center"/>
          </w:tcPr>
          <w:p>
            <w:pPr>
              <w:widowControl/>
              <w:adjustRightInd w:val="0"/>
              <w:snapToGrid w:val="0"/>
              <w:spacing w:line="240" w:lineRule="auto"/>
              <w:ind w:firstLine="0" w:firstLineChars="0"/>
              <w:jc w:val="center"/>
              <w:rPr>
                <w:rFonts w:cs="Times New Roman"/>
                <w:b/>
                <w:bCs/>
                <w:sz w:val="24"/>
              </w:rPr>
            </w:pPr>
            <w:r>
              <w:rPr>
                <w:rFonts w:cs="Times New Roman"/>
                <w:sz w:val="24"/>
              </w:rPr>
              <w:t>一般</w:t>
            </w:r>
          </w:p>
        </w:tc>
        <w:tc>
          <w:tcPr>
            <w:tcW w:w="1395" w:type="dxa"/>
            <w:shd w:val="clear" w:color="auto" w:fill="auto"/>
            <w:noWrap/>
            <w:vAlign w:val="center"/>
          </w:tcPr>
          <w:p>
            <w:pPr>
              <w:widowControl/>
              <w:adjustRightInd w:val="0"/>
              <w:snapToGrid w:val="0"/>
              <w:spacing w:line="240" w:lineRule="auto"/>
              <w:ind w:firstLine="0" w:firstLineChars="0"/>
              <w:jc w:val="center"/>
              <w:rPr>
                <w:rFonts w:cs="Times New Roman"/>
                <w:b/>
                <w:bCs/>
                <w:kern w:val="0"/>
                <w:sz w:val="24"/>
              </w:rPr>
            </w:pPr>
            <w:r>
              <w:rPr>
                <w:rFonts w:cs="Times New Roman"/>
                <w:kern w:val="0"/>
                <w:sz w:val="24"/>
              </w:rPr>
              <w:t>0</w:t>
            </w:r>
          </w:p>
        </w:tc>
        <w:tc>
          <w:tcPr>
            <w:tcW w:w="1395" w:type="dxa"/>
            <w:shd w:val="clear" w:color="auto" w:fill="auto"/>
            <w:vAlign w:val="center"/>
          </w:tcPr>
          <w:p>
            <w:pPr>
              <w:widowControl/>
              <w:adjustRightInd w:val="0"/>
              <w:snapToGrid w:val="0"/>
              <w:spacing w:line="240" w:lineRule="auto"/>
              <w:ind w:firstLine="0" w:firstLineChars="0"/>
              <w:jc w:val="center"/>
              <w:rPr>
                <w:rFonts w:cs="Times New Roman"/>
                <w:b/>
                <w:bCs/>
                <w:kern w:val="0"/>
                <w:sz w:val="24"/>
              </w:rPr>
            </w:pPr>
            <w:r>
              <w:rPr>
                <w:rFonts w:cs="Times New Roman"/>
                <w:kern w:val="0"/>
                <w:sz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911" w:type="dxa"/>
            <w:vMerge w:val="continue"/>
            <w:shd w:val="clear" w:color="auto" w:fill="auto"/>
            <w:vAlign w:val="center"/>
          </w:tcPr>
          <w:p>
            <w:pPr>
              <w:widowControl/>
              <w:adjustRightInd w:val="0"/>
              <w:snapToGrid w:val="0"/>
              <w:spacing w:line="240" w:lineRule="auto"/>
              <w:ind w:firstLine="0" w:firstLineChars="0"/>
              <w:jc w:val="center"/>
              <w:rPr>
                <w:rFonts w:cs="Times New Roman"/>
                <w:b/>
                <w:bCs/>
                <w:sz w:val="24"/>
              </w:rPr>
            </w:pPr>
          </w:p>
        </w:tc>
        <w:tc>
          <w:tcPr>
            <w:tcW w:w="3995" w:type="dxa"/>
            <w:shd w:val="clear" w:color="auto" w:fill="auto"/>
            <w:vAlign w:val="center"/>
          </w:tcPr>
          <w:p>
            <w:pPr>
              <w:widowControl/>
              <w:adjustRightInd w:val="0"/>
              <w:snapToGrid w:val="0"/>
              <w:spacing w:line="240" w:lineRule="auto"/>
              <w:ind w:firstLine="0" w:firstLineChars="0"/>
              <w:jc w:val="center"/>
              <w:rPr>
                <w:rFonts w:cs="Times New Roman"/>
                <w:b/>
                <w:bCs/>
                <w:sz w:val="24"/>
              </w:rPr>
            </w:pPr>
            <w:r>
              <w:rPr>
                <w:rFonts w:cs="Times New Roman"/>
                <w:sz w:val="24"/>
              </w:rPr>
              <w:t>作用较大</w:t>
            </w:r>
          </w:p>
        </w:tc>
        <w:tc>
          <w:tcPr>
            <w:tcW w:w="1395" w:type="dxa"/>
            <w:shd w:val="clear" w:color="auto" w:fill="auto"/>
            <w:noWrap/>
            <w:vAlign w:val="center"/>
          </w:tcPr>
          <w:p>
            <w:pPr>
              <w:widowControl/>
              <w:adjustRightInd w:val="0"/>
              <w:snapToGrid w:val="0"/>
              <w:spacing w:line="240" w:lineRule="auto"/>
              <w:ind w:firstLine="0" w:firstLineChars="0"/>
              <w:jc w:val="center"/>
              <w:rPr>
                <w:rFonts w:cs="Times New Roman"/>
                <w:b/>
                <w:bCs/>
                <w:kern w:val="0"/>
                <w:sz w:val="24"/>
              </w:rPr>
            </w:pPr>
            <w:r>
              <w:rPr>
                <w:rFonts w:cs="Times New Roman"/>
                <w:kern w:val="0"/>
                <w:sz w:val="24"/>
              </w:rPr>
              <w:t>10</w:t>
            </w:r>
          </w:p>
        </w:tc>
        <w:tc>
          <w:tcPr>
            <w:tcW w:w="1395" w:type="dxa"/>
            <w:shd w:val="clear" w:color="auto" w:fill="auto"/>
            <w:vAlign w:val="center"/>
          </w:tcPr>
          <w:p>
            <w:pPr>
              <w:widowControl/>
              <w:adjustRightInd w:val="0"/>
              <w:snapToGrid w:val="0"/>
              <w:spacing w:line="240" w:lineRule="auto"/>
              <w:ind w:firstLine="0" w:firstLineChars="0"/>
              <w:jc w:val="center"/>
              <w:rPr>
                <w:rFonts w:cs="Times New Roman"/>
                <w:b/>
                <w:bCs/>
                <w:kern w:val="0"/>
                <w:sz w:val="24"/>
              </w:rPr>
            </w:pPr>
            <w:r>
              <w:rPr>
                <w:rFonts w:cs="Times New Roman"/>
                <w:kern w:val="0"/>
                <w:sz w:val="24"/>
              </w:rPr>
              <w:t>10.10%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911" w:type="dxa"/>
            <w:vMerge w:val="continue"/>
            <w:shd w:val="clear" w:color="auto" w:fill="auto"/>
            <w:vAlign w:val="center"/>
          </w:tcPr>
          <w:p>
            <w:pPr>
              <w:widowControl/>
              <w:adjustRightInd w:val="0"/>
              <w:snapToGrid w:val="0"/>
              <w:spacing w:line="240" w:lineRule="auto"/>
              <w:ind w:firstLine="0" w:firstLineChars="0"/>
              <w:jc w:val="center"/>
              <w:rPr>
                <w:rFonts w:cs="Times New Roman"/>
                <w:b/>
                <w:bCs/>
                <w:sz w:val="24"/>
              </w:rPr>
            </w:pPr>
          </w:p>
        </w:tc>
        <w:tc>
          <w:tcPr>
            <w:tcW w:w="3995" w:type="dxa"/>
            <w:shd w:val="clear" w:color="auto" w:fill="auto"/>
            <w:vAlign w:val="center"/>
          </w:tcPr>
          <w:p>
            <w:pPr>
              <w:widowControl/>
              <w:adjustRightInd w:val="0"/>
              <w:snapToGrid w:val="0"/>
              <w:spacing w:line="240" w:lineRule="auto"/>
              <w:ind w:firstLine="0" w:firstLineChars="0"/>
              <w:jc w:val="center"/>
              <w:rPr>
                <w:rFonts w:cs="Times New Roman"/>
                <w:b/>
                <w:bCs/>
                <w:sz w:val="24"/>
              </w:rPr>
            </w:pPr>
            <w:r>
              <w:rPr>
                <w:rFonts w:cs="Times New Roman"/>
                <w:sz w:val="24"/>
              </w:rPr>
              <w:t>作用非常大</w:t>
            </w:r>
          </w:p>
        </w:tc>
        <w:tc>
          <w:tcPr>
            <w:tcW w:w="1395" w:type="dxa"/>
            <w:shd w:val="clear" w:color="auto" w:fill="auto"/>
            <w:noWrap/>
            <w:vAlign w:val="center"/>
          </w:tcPr>
          <w:p>
            <w:pPr>
              <w:widowControl/>
              <w:adjustRightInd w:val="0"/>
              <w:snapToGrid w:val="0"/>
              <w:spacing w:line="240" w:lineRule="auto"/>
              <w:ind w:firstLine="0" w:firstLineChars="0"/>
              <w:jc w:val="center"/>
              <w:rPr>
                <w:rFonts w:cs="Times New Roman"/>
                <w:b/>
                <w:bCs/>
                <w:kern w:val="0"/>
                <w:sz w:val="24"/>
              </w:rPr>
            </w:pPr>
            <w:r>
              <w:rPr>
                <w:rFonts w:cs="Times New Roman"/>
                <w:kern w:val="0"/>
                <w:sz w:val="24"/>
              </w:rPr>
              <w:t>89</w:t>
            </w:r>
          </w:p>
        </w:tc>
        <w:tc>
          <w:tcPr>
            <w:tcW w:w="1395" w:type="dxa"/>
            <w:shd w:val="clear" w:color="auto" w:fill="auto"/>
            <w:vAlign w:val="center"/>
          </w:tcPr>
          <w:p>
            <w:pPr>
              <w:widowControl/>
              <w:adjustRightInd w:val="0"/>
              <w:snapToGrid w:val="0"/>
              <w:spacing w:line="240" w:lineRule="auto"/>
              <w:ind w:firstLine="0" w:firstLineChars="0"/>
              <w:jc w:val="center"/>
              <w:rPr>
                <w:rFonts w:cs="Times New Roman"/>
                <w:b/>
                <w:bCs/>
                <w:kern w:val="0"/>
                <w:sz w:val="24"/>
              </w:rPr>
            </w:pPr>
            <w:r>
              <w:rPr>
                <w:rFonts w:cs="Times New Roman"/>
                <w:kern w:val="0"/>
                <w:sz w:val="24"/>
              </w:rPr>
              <w:t>89.90%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911" w:type="dxa"/>
            <w:shd w:val="clear" w:color="auto" w:fill="auto"/>
            <w:vAlign w:val="center"/>
          </w:tcPr>
          <w:p>
            <w:pPr>
              <w:widowControl/>
              <w:adjustRightInd w:val="0"/>
              <w:snapToGrid w:val="0"/>
              <w:spacing w:line="240" w:lineRule="auto"/>
              <w:ind w:firstLine="0" w:firstLineChars="0"/>
              <w:rPr>
                <w:rFonts w:cs="Times New Roman"/>
                <w:b/>
                <w:bCs/>
                <w:sz w:val="24"/>
              </w:rPr>
            </w:pPr>
            <w:r>
              <w:rPr>
                <w:rFonts w:cs="Times New Roman"/>
                <w:b/>
                <w:bCs/>
                <w:sz w:val="24"/>
              </w:rPr>
              <w:t>10.您对本项目实施与管理有什么意见或建议?（选答）</w:t>
            </w:r>
          </w:p>
        </w:tc>
        <w:tc>
          <w:tcPr>
            <w:tcW w:w="6785" w:type="dxa"/>
            <w:gridSpan w:val="3"/>
            <w:shd w:val="clear" w:color="auto" w:fill="auto"/>
            <w:vAlign w:val="center"/>
          </w:tcPr>
          <w:p>
            <w:pPr>
              <w:widowControl/>
              <w:adjustRightInd w:val="0"/>
              <w:snapToGrid w:val="0"/>
              <w:spacing w:line="240" w:lineRule="auto"/>
              <w:ind w:firstLine="0" w:firstLineChars="0"/>
              <w:jc w:val="left"/>
              <w:rPr>
                <w:rFonts w:cs="Times New Roman"/>
                <w:kern w:val="0"/>
                <w:sz w:val="24"/>
              </w:rPr>
            </w:pPr>
            <w:r>
              <w:rPr>
                <w:rFonts w:cs="Times New Roman"/>
                <w:kern w:val="0"/>
                <w:sz w:val="24"/>
              </w:rPr>
              <w:t>1.希望项目可以持续更新，结合时代的发展趋势，增加更多对学生教学培养、体育锻炼和身心健康的建设内容，如：AI智能教学课程，机器人教学实验课室和实验场地等。</w:t>
            </w:r>
          </w:p>
          <w:p>
            <w:pPr>
              <w:widowControl/>
              <w:adjustRightInd w:val="0"/>
              <w:snapToGrid w:val="0"/>
              <w:spacing w:line="240" w:lineRule="auto"/>
              <w:ind w:firstLine="0" w:firstLineChars="0"/>
              <w:jc w:val="left"/>
              <w:rPr>
                <w:rFonts w:cs="Times New Roman"/>
                <w:kern w:val="0"/>
                <w:sz w:val="24"/>
              </w:rPr>
            </w:pPr>
            <w:r>
              <w:rPr>
                <w:rFonts w:cs="Times New Roman"/>
                <w:kern w:val="0"/>
                <w:sz w:val="24"/>
              </w:rPr>
              <w:t>2.增加公交车辆。</w:t>
            </w:r>
          </w:p>
          <w:p>
            <w:pPr>
              <w:widowControl/>
              <w:adjustRightInd w:val="0"/>
              <w:snapToGrid w:val="0"/>
              <w:spacing w:line="240" w:lineRule="auto"/>
              <w:ind w:firstLine="0" w:firstLineChars="0"/>
              <w:jc w:val="left"/>
              <w:rPr>
                <w:rFonts w:cs="Times New Roman"/>
                <w:kern w:val="0"/>
                <w:sz w:val="24"/>
              </w:rPr>
            </w:pPr>
            <w:r>
              <w:rPr>
                <w:rFonts w:cs="Times New Roman"/>
                <w:kern w:val="0"/>
                <w:sz w:val="24"/>
              </w:rPr>
              <w:t>3.建议扩大高中部校园规模，扩大校园学生活动空间，增加停车位。</w:t>
            </w:r>
          </w:p>
          <w:p>
            <w:pPr>
              <w:widowControl/>
              <w:adjustRightInd w:val="0"/>
              <w:snapToGrid w:val="0"/>
              <w:spacing w:line="240" w:lineRule="auto"/>
              <w:ind w:firstLine="0" w:firstLineChars="0"/>
              <w:jc w:val="left"/>
              <w:rPr>
                <w:rFonts w:cs="Times New Roman"/>
                <w:kern w:val="0"/>
                <w:sz w:val="24"/>
              </w:rPr>
            </w:pPr>
            <w:r>
              <w:rPr>
                <w:rFonts w:cs="Times New Roman"/>
                <w:kern w:val="0"/>
                <w:sz w:val="24"/>
              </w:rPr>
              <w:t>4.学校的饭堂生活，多搞点花样。</w:t>
            </w:r>
          </w:p>
          <w:p>
            <w:pPr>
              <w:widowControl/>
              <w:adjustRightInd w:val="0"/>
              <w:snapToGrid w:val="0"/>
              <w:spacing w:line="240" w:lineRule="auto"/>
              <w:ind w:firstLine="0" w:firstLineChars="0"/>
              <w:jc w:val="left"/>
              <w:rPr>
                <w:rFonts w:cs="Times New Roman"/>
                <w:kern w:val="0"/>
                <w:sz w:val="24"/>
              </w:rPr>
            </w:pPr>
            <w:r>
              <w:rPr>
                <w:rFonts w:cs="Times New Roman"/>
                <w:kern w:val="0"/>
                <w:sz w:val="24"/>
              </w:rPr>
              <w:t>5.做好统筹。</w:t>
            </w:r>
          </w:p>
          <w:p>
            <w:pPr>
              <w:widowControl/>
              <w:adjustRightInd w:val="0"/>
              <w:snapToGrid w:val="0"/>
              <w:spacing w:line="240" w:lineRule="auto"/>
              <w:ind w:firstLine="0" w:firstLineChars="0"/>
              <w:jc w:val="left"/>
              <w:rPr>
                <w:rFonts w:cs="Times New Roman"/>
                <w:kern w:val="0"/>
                <w:sz w:val="24"/>
              </w:rPr>
            </w:pPr>
            <w:r>
              <w:rPr>
                <w:rFonts w:cs="Times New Roman"/>
                <w:kern w:val="0"/>
                <w:sz w:val="24"/>
              </w:rPr>
              <w:t>6.建议能建多几所学校。</w:t>
            </w:r>
          </w:p>
          <w:p>
            <w:pPr>
              <w:widowControl/>
              <w:adjustRightInd w:val="0"/>
              <w:snapToGrid w:val="0"/>
              <w:spacing w:line="240" w:lineRule="auto"/>
              <w:ind w:firstLine="0" w:firstLineChars="0"/>
              <w:jc w:val="left"/>
              <w:rPr>
                <w:rFonts w:cs="Times New Roman"/>
                <w:b/>
                <w:bCs/>
                <w:kern w:val="0"/>
                <w:sz w:val="24"/>
              </w:rPr>
            </w:pPr>
            <w:r>
              <w:rPr>
                <w:rFonts w:cs="Times New Roman"/>
                <w:kern w:val="0"/>
                <w:sz w:val="24"/>
              </w:rPr>
              <w:t>7.保持好的管理方式。</w:t>
            </w:r>
          </w:p>
        </w:tc>
      </w:tr>
    </w:tbl>
    <w:p>
      <w:pPr>
        <w:ind w:firstLine="632"/>
        <w:rPr>
          <w:rFonts w:cs="Times New Roman"/>
        </w:rPr>
      </w:pPr>
    </w:p>
    <w:sectPr>
      <w:pgSz w:w="11906" w:h="16838"/>
      <w:pgMar w:top="2098" w:right="1474" w:bottom="1985" w:left="1588" w:header="851" w:footer="1758" w:gutter="0"/>
      <w:pgNumType w:fmt="numberInDash"/>
      <w:cols w:space="425" w:num="1"/>
      <w:docGrid w:type="linesAndChars" w:linePitch="579" w:charSpace="-84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32"/>
      </w:pPr>
      <w:r>
        <w:separator/>
      </w:r>
    </w:p>
  </w:endnote>
  <w:endnote w:type="continuationSeparator" w:id="1">
    <w:p>
      <w:pPr>
        <w:spacing w:line="240" w:lineRule="auto"/>
        <w:ind w:firstLine="63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等线 Light">
    <w:panose1 w:val="02010600030101010101"/>
    <w:charset w:val="86"/>
    <w:family w:val="auto"/>
    <w:pitch w:val="default"/>
    <w:sig w:usb0="A00002BF" w:usb1="38CF7CFA" w:usb2="00000016" w:usb3="00000000" w:csb0="0004000F" w:csb1="00000000"/>
  </w:font>
  <w:font w:name="方正小标宋_GBK">
    <w:altName w:val="微软雅黑"/>
    <w:panose1 w:val="03000509000000000000"/>
    <w:charset w:val="86"/>
    <w:family w:val="script"/>
    <w:pitch w:val="default"/>
    <w:sig w:usb0="00000000" w:usb1="00000000" w:usb2="00000010" w:usb3="00000000" w:csb0="00040000" w:csb1="00000000"/>
  </w:font>
  <w:font w:name="方正小标宋简体">
    <w:panose1 w:val="03000509000000000000"/>
    <w:charset w:val="86"/>
    <w:family w:val="script"/>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0" w:firstLineChars="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583131586"/>
      <w:docPartObj>
        <w:docPartGallery w:val="autotext"/>
      </w:docPartObj>
    </w:sdtPr>
    <w:sdtEndPr>
      <w:rPr>
        <w:rFonts w:ascii="宋体" w:hAnsi="宋体" w:eastAsia="宋体"/>
        <w:sz w:val="28"/>
        <w:szCs w:val="28"/>
      </w:rPr>
    </w:sdtEndPr>
    <w:sdtContent>
      <w:p>
        <w:pPr>
          <w:pStyle w:val="10"/>
          <w:ind w:firstLine="0" w:firstLineChars="0"/>
          <w:rPr>
            <w:rFonts w:ascii="宋体" w:hAnsi="宋体" w:eastAsia="宋体"/>
            <w:sz w:val="28"/>
            <w:szCs w:val="28"/>
          </w:rPr>
        </w:pPr>
        <w:r>
          <w:rPr>
            <w:rFonts w:ascii="宋体" w:hAnsi="宋体" w:eastAsia="宋体"/>
            <w:sz w:val="28"/>
            <w:szCs w:val="28"/>
          </w:rPr>
          <w:fldChar w:fldCharType="begin"/>
        </w:r>
        <w:r>
          <w:rPr>
            <w:rFonts w:ascii="宋体" w:hAnsi="宋体" w:eastAsia="宋体"/>
            <w:sz w:val="28"/>
            <w:szCs w:val="28"/>
          </w:rPr>
          <w:instrText xml:space="preserve">PAGE   \* MERGEFORMAT</w:instrText>
        </w:r>
        <w:r>
          <w:rPr>
            <w:rFonts w:ascii="宋体" w:hAnsi="宋体" w:eastAsia="宋体"/>
            <w:sz w:val="28"/>
            <w:szCs w:val="28"/>
          </w:rPr>
          <w:fldChar w:fldCharType="separate"/>
        </w:r>
        <w:r>
          <w:rPr>
            <w:rFonts w:ascii="宋体" w:hAnsi="宋体" w:eastAsia="宋体"/>
            <w:sz w:val="28"/>
            <w:szCs w:val="28"/>
            <w:lang w:val="zh-CN"/>
          </w:rPr>
          <w:t>-</w:t>
        </w:r>
        <w:r>
          <w:rPr>
            <w:rFonts w:ascii="宋体" w:hAnsi="宋体" w:eastAsia="宋体"/>
            <w:sz w:val="28"/>
            <w:szCs w:val="28"/>
          </w:rPr>
          <w:t xml:space="preserve"> 38 -</w:t>
        </w:r>
        <w:r>
          <w:rPr>
            <w:rFonts w:ascii="宋体" w:hAnsi="宋体" w:eastAsia="宋体"/>
            <w:sz w:val="28"/>
            <w:szCs w:val="28"/>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329758789"/>
      <w:docPartObj>
        <w:docPartGallery w:val="autotext"/>
      </w:docPartObj>
    </w:sdtPr>
    <w:sdtEndPr>
      <w:rPr>
        <w:rFonts w:ascii="宋体" w:hAnsi="宋体" w:eastAsia="宋体"/>
        <w:sz w:val="28"/>
        <w:szCs w:val="28"/>
      </w:rPr>
    </w:sdtEndPr>
    <w:sdtContent>
      <w:p>
        <w:pPr>
          <w:pStyle w:val="10"/>
          <w:ind w:firstLine="0" w:firstLineChars="0"/>
          <w:jc w:val="right"/>
          <w:rPr>
            <w:rFonts w:ascii="宋体" w:hAnsi="宋体" w:eastAsia="宋体"/>
            <w:sz w:val="28"/>
            <w:szCs w:val="28"/>
          </w:rPr>
        </w:pPr>
        <w:r>
          <w:rPr>
            <w:rFonts w:ascii="宋体" w:hAnsi="宋体" w:eastAsia="宋体"/>
            <w:sz w:val="28"/>
            <w:szCs w:val="28"/>
          </w:rPr>
          <w:fldChar w:fldCharType="begin"/>
        </w:r>
        <w:r>
          <w:rPr>
            <w:rFonts w:ascii="宋体" w:hAnsi="宋体" w:eastAsia="宋体"/>
            <w:sz w:val="28"/>
            <w:szCs w:val="28"/>
          </w:rPr>
          <w:instrText xml:space="preserve">PAGE   \* MERGEFORMAT</w:instrText>
        </w:r>
        <w:r>
          <w:rPr>
            <w:rFonts w:ascii="宋体" w:hAnsi="宋体" w:eastAsia="宋体"/>
            <w:sz w:val="28"/>
            <w:szCs w:val="28"/>
          </w:rPr>
          <w:fldChar w:fldCharType="separate"/>
        </w:r>
        <w:r>
          <w:rPr>
            <w:rFonts w:ascii="宋体" w:hAnsi="宋体" w:eastAsia="宋体"/>
            <w:sz w:val="28"/>
            <w:szCs w:val="28"/>
            <w:lang w:val="zh-CN"/>
          </w:rPr>
          <w:t>-</w:t>
        </w:r>
        <w:r>
          <w:rPr>
            <w:rFonts w:ascii="宋体" w:hAnsi="宋体" w:eastAsia="宋体"/>
            <w:sz w:val="28"/>
            <w:szCs w:val="28"/>
          </w:rPr>
          <w:t xml:space="preserve"> 39 -</w:t>
        </w:r>
        <w:r>
          <w:rPr>
            <w:rFonts w:ascii="宋体" w:hAnsi="宋体" w:eastAsia="宋体"/>
            <w:sz w:val="28"/>
            <w:szCs w:val="28"/>
          </w:rPr>
          <w:fldChar w:fldCharType="end"/>
        </w:r>
      </w:p>
    </w:sdtContent>
  </w:sdt>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665966187"/>
      <w:docPartObj>
        <w:docPartGallery w:val="autotext"/>
      </w:docPartObj>
    </w:sdtPr>
    <w:sdtEndPr>
      <w:rPr>
        <w:rFonts w:ascii="宋体" w:hAnsi="宋体" w:eastAsia="宋体"/>
        <w:sz w:val="28"/>
        <w:szCs w:val="28"/>
      </w:rPr>
    </w:sdtEndPr>
    <w:sdtContent>
      <w:p>
        <w:pPr>
          <w:pStyle w:val="10"/>
          <w:ind w:firstLine="360"/>
          <w:jc w:val="right"/>
          <w:rPr>
            <w:rFonts w:ascii="宋体" w:hAnsi="宋体" w:eastAsia="宋体"/>
            <w:sz w:val="28"/>
            <w:szCs w:val="28"/>
          </w:rPr>
        </w:pPr>
        <w:r>
          <w:rPr>
            <w:rFonts w:ascii="宋体" w:hAnsi="宋体" w:eastAsia="宋体"/>
            <w:sz w:val="28"/>
            <w:szCs w:val="28"/>
          </w:rPr>
          <w:fldChar w:fldCharType="begin"/>
        </w:r>
        <w:r>
          <w:rPr>
            <w:rFonts w:ascii="宋体" w:hAnsi="宋体" w:eastAsia="宋体"/>
            <w:sz w:val="28"/>
            <w:szCs w:val="28"/>
          </w:rPr>
          <w:instrText xml:space="preserve">PAGE   \* MERGEFORMAT</w:instrText>
        </w:r>
        <w:r>
          <w:rPr>
            <w:rFonts w:ascii="宋体" w:hAnsi="宋体" w:eastAsia="宋体"/>
            <w:sz w:val="28"/>
            <w:szCs w:val="28"/>
          </w:rPr>
          <w:fldChar w:fldCharType="separate"/>
        </w:r>
        <w:r>
          <w:rPr>
            <w:rFonts w:ascii="宋体" w:hAnsi="宋体" w:eastAsia="宋体"/>
            <w:sz w:val="28"/>
            <w:szCs w:val="28"/>
            <w:lang w:val="zh-CN"/>
          </w:rPr>
          <w:t>-</w:t>
        </w:r>
        <w:r>
          <w:rPr>
            <w:rFonts w:ascii="宋体" w:hAnsi="宋体" w:eastAsia="宋体"/>
            <w:sz w:val="28"/>
            <w:szCs w:val="28"/>
          </w:rPr>
          <w:t xml:space="preserve"> 57 -</w:t>
        </w:r>
        <w:r>
          <w:rPr>
            <w:rFonts w:ascii="宋体" w:hAnsi="宋体" w:eastAsia="宋体"/>
            <w:sz w:val="28"/>
            <w:szCs w:val="28"/>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632"/>
      </w:pPr>
      <w:r>
        <w:separator/>
      </w:r>
    </w:p>
  </w:footnote>
  <w:footnote w:type="continuationSeparator" w:id="1">
    <w:p>
      <w:pPr>
        <w:spacing w:line="240" w:lineRule="auto"/>
        <w:ind w:firstLine="632"/>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evenAndOddHeaders w:val="1"/>
  <w:drawingGridHorizontalSpacing w:val="158"/>
  <w:drawingGridVerticalSpacing w:val="579"/>
  <w:displayHorizontalDrawingGridEvery w:val="0"/>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DU5NTZhOTRkNjhmMjkwMGYxODI2NWI4MzY2ODQ1YWYifQ=="/>
    <w:docVar w:name="KSO_WPS_MARK_KEY" w:val="5004cfdc-5928-4a8c-878a-38f73ac3b68d"/>
  </w:docVars>
  <w:rsids>
    <w:rsidRoot w:val="00001680"/>
    <w:rsid w:val="000003DB"/>
    <w:rsid w:val="00001680"/>
    <w:rsid w:val="00003886"/>
    <w:rsid w:val="000163B7"/>
    <w:rsid w:val="0001796D"/>
    <w:rsid w:val="00022FAB"/>
    <w:rsid w:val="00024F32"/>
    <w:rsid w:val="00032AE4"/>
    <w:rsid w:val="00033A52"/>
    <w:rsid w:val="00043DAB"/>
    <w:rsid w:val="00052ADE"/>
    <w:rsid w:val="00053AEA"/>
    <w:rsid w:val="00057D48"/>
    <w:rsid w:val="0006060E"/>
    <w:rsid w:val="00062EAC"/>
    <w:rsid w:val="000652DD"/>
    <w:rsid w:val="000706D6"/>
    <w:rsid w:val="00086FCA"/>
    <w:rsid w:val="0009270E"/>
    <w:rsid w:val="000B0184"/>
    <w:rsid w:val="000C4FFB"/>
    <w:rsid w:val="000D22D4"/>
    <w:rsid w:val="000D378C"/>
    <w:rsid w:val="000D3BE5"/>
    <w:rsid w:val="000D6B86"/>
    <w:rsid w:val="000E497C"/>
    <w:rsid w:val="000E5D97"/>
    <w:rsid w:val="000F7730"/>
    <w:rsid w:val="001400D8"/>
    <w:rsid w:val="00161899"/>
    <w:rsid w:val="00166E1A"/>
    <w:rsid w:val="00183594"/>
    <w:rsid w:val="001B44EC"/>
    <w:rsid w:val="001B6EBA"/>
    <w:rsid w:val="001C2857"/>
    <w:rsid w:val="001D26D9"/>
    <w:rsid w:val="001E2D1D"/>
    <w:rsid w:val="001F3254"/>
    <w:rsid w:val="001F515F"/>
    <w:rsid w:val="00202B9A"/>
    <w:rsid w:val="0021562D"/>
    <w:rsid w:val="002178D1"/>
    <w:rsid w:val="00230484"/>
    <w:rsid w:val="0023428B"/>
    <w:rsid w:val="00242681"/>
    <w:rsid w:val="00244F15"/>
    <w:rsid w:val="002513B8"/>
    <w:rsid w:val="002551E8"/>
    <w:rsid w:val="0025655E"/>
    <w:rsid w:val="002706B6"/>
    <w:rsid w:val="00271BDF"/>
    <w:rsid w:val="002732C8"/>
    <w:rsid w:val="002A06C5"/>
    <w:rsid w:val="002A3CAC"/>
    <w:rsid w:val="002C07E1"/>
    <w:rsid w:val="002D1855"/>
    <w:rsid w:val="002D1AC8"/>
    <w:rsid w:val="002E5CD8"/>
    <w:rsid w:val="002F672F"/>
    <w:rsid w:val="003039B7"/>
    <w:rsid w:val="00307F52"/>
    <w:rsid w:val="0031430D"/>
    <w:rsid w:val="003268FB"/>
    <w:rsid w:val="00334F89"/>
    <w:rsid w:val="00341D02"/>
    <w:rsid w:val="00354658"/>
    <w:rsid w:val="003619D8"/>
    <w:rsid w:val="0036748B"/>
    <w:rsid w:val="003702D6"/>
    <w:rsid w:val="003A1009"/>
    <w:rsid w:val="003A5B55"/>
    <w:rsid w:val="003A6EC0"/>
    <w:rsid w:val="003A7FCF"/>
    <w:rsid w:val="003B1D1D"/>
    <w:rsid w:val="003B2C8B"/>
    <w:rsid w:val="003C3126"/>
    <w:rsid w:val="003C5C9B"/>
    <w:rsid w:val="003D6111"/>
    <w:rsid w:val="003E01EB"/>
    <w:rsid w:val="00406F94"/>
    <w:rsid w:val="00413165"/>
    <w:rsid w:val="004138FC"/>
    <w:rsid w:val="0044229C"/>
    <w:rsid w:val="00445625"/>
    <w:rsid w:val="00450D65"/>
    <w:rsid w:val="00450DCC"/>
    <w:rsid w:val="004539B6"/>
    <w:rsid w:val="004554B0"/>
    <w:rsid w:val="00465CC2"/>
    <w:rsid w:val="00470DAD"/>
    <w:rsid w:val="00470F6C"/>
    <w:rsid w:val="00480E33"/>
    <w:rsid w:val="004A0D58"/>
    <w:rsid w:val="004A1D97"/>
    <w:rsid w:val="004A1FBC"/>
    <w:rsid w:val="004A4DEE"/>
    <w:rsid w:val="004A7C9D"/>
    <w:rsid w:val="004B5751"/>
    <w:rsid w:val="004D1089"/>
    <w:rsid w:val="004D286A"/>
    <w:rsid w:val="004D593A"/>
    <w:rsid w:val="004D7850"/>
    <w:rsid w:val="004E3260"/>
    <w:rsid w:val="004F206E"/>
    <w:rsid w:val="004F6308"/>
    <w:rsid w:val="00501B89"/>
    <w:rsid w:val="00502CD2"/>
    <w:rsid w:val="00512B7B"/>
    <w:rsid w:val="0051673D"/>
    <w:rsid w:val="00521874"/>
    <w:rsid w:val="00536B26"/>
    <w:rsid w:val="0054645D"/>
    <w:rsid w:val="005529EE"/>
    <w:rsid w:val="00557E20"/>
    <w:rsid w:val="00574335"/>
    <w:rsid w:val="00576209"/>
    <w:rsid w:val="005801D9"/>
    <w:rsid w:val="00583DB7"/>
    <w:rsid w:val="0059451E"/>
    <w:rsid w:val="005A0172"/>
    <w:rsid w:val="005A1772"/>
    <w:rsid w:val="005B436E"/>
    <w:rsid w:val="005B4DFE"/>
    <w:rsid w:val="005C536C"/>
    <w:rsid w:val="005F4B39"/>
    <w:rsid w:val="006035FF"/>
    <w:rsid w:val="0063023D"/>
    <w:rsid w:val="00643E8F"/>
    <w:rsid w:val="00645415"/>
    <w:rsid w:val="006467D6"/>
    <w:rsid w:val="0064774C"/>
    <w:rsid w:val="00652BF1"/>
    <w:rsid w:val="00660A6D"/>
    <w:rsid w:val="0066690C"/>
    <w:rsid w:val="0067208C"/>
    <w:rsid w:val="0067594F"/>
    <w:rsid w:val="00675CCD"/>
    <w:rsid w:val="006766BC"/>
    <w:rsid w:val="00683F26"/>
    <w:rsid w:val="006A431A"/>
    <w:rsid w:val="006A6829"/>
    <w:rsid w:val="006B2A41"/>
    <w:rsid w:val="006C56B2"/>
    <w:rsid w:val="006D7D53"/>
    <w:rsid w:val="006E2E6A"/>
    <w:rsid w:val="006E680A"/>
    <w:rsid w:val="006F24F7"/>
    <w:rsid w:val="006F4F76"/>
    <w:rsid w:val="006F5B76"/>
    <w:rsid w:val="00711574"/>
    <w:rsid w:val="00715390"/>
    <w:rsid w:val="00722000"/>
    <w:rsid w:val="007362D2"/>
    <w:rsid w:val="00740C1F"/>
    <w:rsid w:val="0074703D"/>
    <w:rsid w:val="007557E0"/>
    <w:rsid w:val="00773191"/>
    <w:rsid w:val="00781750"/>
    <w:rsid w:val="00781D60"/>
    <w:rsid w:val="00782F39"/>
    <w:rsid w:val="007920B0"/>
    <w:rsid w:val="007934CC"/>
    <w:rsid w:val="007A48BA"/>
    <w:rsid w:val="007A61B6"/>
    <w:rsid w:val="007A6863"/>
    <w:rsid w:val="007B09A7"/>
    <w:rsid w:val="007B54A1"/>
    <w:rsid w:val="007B6F61"/>
    <w:rsid w:val="007B705B"/>
    <w:rsid w:val="007B7B4E"/>
    <w:rsid w:val="007D57E1"/>
    <w:rsid w:val="007E0A75"/>
    <w:rsid w:val="007F384C"/>
    <w:rsid w:val="007F71BD"/>
    <w:rsid w:val="007F7A5F"/>
    <w:rsid w:val="00801A73"/>
    <w:rsid w:val="00815AD0"/>
    <w:rsid w:val="00825533"/>
    <w:rsid w:val="008256D0"/>
    <w:rsid w:val="00825EF4"/>
    <w:rsid w:val="00844138"/>
    <w:rsid w:val="008442F0"/>
    <w:rsid w:val="008529E0"/>
    <w:rsid w:val="008539E1"/>
    <w:rsid w:val="00853DA0"/>
    <w:rsid w:val="00864C05"/>
    <w:rsid w:val="008828B3"/>
    <w:rsid w:val="00885307"/>
    <w:rsid w:val="00885498"/>
    <w:rsid w:val="008A210F"/>
    <w:rsid w:val="008A230D"/>
    <w:rsid w:val="008A68D2"/>
    <w:rsid w:val="008B08A5"/>
    <w:rsid w:val="008B16E4"/>
    <w:rsid w:val="008C48F4"/>
    <w:rsid w:val="008C6155"/>
    <w:rsid w:val="008D24D0"/>
    <w:rsid w:val="00917759"/>
    <w:rsid w:val="0092391E"/>
    <w:rsid w:val="00925094"/>
    <w:rsid w:val="00927BC5"/>
    <w:rsid w:val="0093093D"/>
    <w:rsid w:val="00931CE9"/>
    <w:rsid w:val="009477D4"/>
    <w:rsid w:val="00950386"/>
    <w:rsid w:val="009578AD"/>
    <w:rsid w:val="00971E17"/>
    <w:rsid w:val="00982B8E"/>
    <w:rsid w:val="00985D6E"/>
    <w:rsid w:val="00993076"/>
    <w:rsid w:val="009A4558"/>
    <w:rsid w:val="009A55E4"/>
    <w:rsid w:val="009B0D84"/>
    <w:rsid w:val="009D3AE5"/>
    <w:rsid w:val="009D721C"/>
    <w:rsid w:val="009E141E"/>
    <w:rsid w:val="009E2854"/>
    <w:rsid w:val="00A33B89"/>
    <w:rsid w:val="00A35917"/>
    <w:rsid w:val="00A45E59"/>
    <w:rsid w:val="00A50830"/>
    <w:rsid w:val="00A50848"/>
    <w:rsid w:val="00A517EA"/>
    <w:rsid w:val="00A7041F"/>
    <w:rsid w:val="00A8313C"/>
    <w:rsid w:val="00A84FDB"/>
    <w:rsid w:val="00A92B4C"/>
    <w:rsid w:val="00A966B1"/>
    <w:rsid w:val="00AA7FEC"/>
    <w:rsid w:val="00AE36C0"/>
    <w:rsid w:val="00B05368"/>
    <w:rsid w:val="00B252D4"/>
    <w:rsid w:val="00B262FD"/>
    <w:rsid w:val="00B32389"/>
    <w:rsid w:val="00B348C0"/>
    <w:rsid w:val="00B34C12"/>
    <w:rsid w:val="00B37905"/>
    <w:rsid w:val="00B43EA4"/>
    <w:rsid w:val="00B45B70"/>
    <w:rsid w:val="00B52C25"/>
    <w:rsid w:val="00B544D0"/>
    <w:rsid w:val="00B565E2"/>
    <w:rsid w:val="00B6293A"/>
    <w:rsid w:val="00B67BC0"/>
    <w:rsid w:val="00B75AF7"/>
    <w:rsid w:val="00B81BE0"/>
    <w:rsid w:val="00B856CA"/>
    <w:rsid w:val="00B94DCE"/>
    <w:rsid w:val="00B97037"/>
    <w:rsid w:val="00B9703A"/>
    <w:rsid w:val="00BB1143"/>
    <w:rsid w:val="00BB58A2"/>
    <w:rsid w:val="00BB5FA5"/>
    <w:rsid w:val="00BC1182"/>
    <w:rsid w:val="00BD28B6"/>
    <w:rsid w:val="00BD3422"/>
    <w:rsid w:val="00BD35CC"/>
    <w:rsid w:val="00BD53EE"/>
    <w:rsid w:val="00BE0532"/>
    <w:rsid w:val="00BE0FB7"/>
    <w:rsid w:val="00BE74AC"/>
    <w:rsid w:val="00BF0D45"/>
    <w:rsid w:val="00BF64AD"/>
    <w:rsid w:val="00C011F4"/>
    <w:rsid w:val="00C0380D"/>
    <w:rsid w:val="00C06DA1"/>
    <w:rsid w:val="00C220DD"/>
    <w:rsid w:val="00C322F6"/>
    <w:rsid w:val="00C625A7"/>
    <w:rsid w:val="00C663B4"/>
    <w:rsid w:val="00C748EB"/>
    <w:rsid w:val="00C752F6"/>
    <w:rsid w:val="00C80902"/>
    <w:rsid w:val="00C816D8"/>
    <w:rsid w:val="00C81C81"/>
    <w:rsid w:val="00C83200"/>
    <w:rsid w:val="00C940FE"/>
    <w:rsid w:val="00C95F05"/>
    <w:rsid w:val="00CA1F2B"/>
    <w:rsid w:val="00CA331A"/>
    <w:rsid w:val="00CB7D21"/>
    <w:rsid w:val="00CC33E3"/>
    <w:rsid w:val="00CC6855"/>
    <w:rsid w:val="00CC69C4"/>
    <w:rsid w:val="00CD1EEF"/>
    <w:rsid w:val="00CE217D"/>
    <w:rsid w:val="00CE5EA2"/>
    <w:rsid w:val="00CF45F3"/>
    <w:rsid w:val="00D17866"/>
    <w:rsid w:val="00D33A3C"/>
    <w:rsid w:val="00D363F0"/>
    <w:rsid w:val="00D448BB"/>
    <w:rsid w:val="00D47B65"/>
    <w:rsid w:val="00D50DF0"/>
    <w:rsid w:val="00D81649"/>
    <w:rsid w:val="00D86A1C"/>
    <w:rsid w:val="00D90009"/>
    <w:rsid w:val="00DA58C5"/>
    <w:rsid w:val="00DB3F4A"/>
    <w:rsid w:val="00DC49A3"/>
    <w:rsid w:val="00DD2833"/>
    <w:rsid w:val="00DD2EE5"/>
    <w:rsid w:val="00DD5F7C"/>
    <w:rsid w:val="00DD7406"/>
    <w:rsid w:val="00DD768C"/>
    <w:rsid w:val="00DE01EA"/>
    <w:rsid w:val="00DF05BD"/>
    <w:rsid w:val="00E0041A"/>
    <w:rsid w:val="00E03F5A"/>
    <w:rsid w:val="00E10530"/>
    <w:rsid w:val="00E14BF2"/>
    <w:rsid w:val="00E5277E"/>
    <w:rsid w:val="00E55367"/>
    <w:rsid w:val="00E57AB9"/>
    <w:rsid w:val="00E61D59"/>
    <w:rsid w:val="00E6741F"/>
    <w:rsid w:val="00E71582"/>
    <w:rsid w:val="00E75008"/>
    <w:rsid w:val="00EA2430"/>
    <w:rsid w:val="00EA2A62"/>
    <w:rsid w:val="00EA2B12"/>
    <w:rsid w:val="00EC1990"/>
    <w:rsid w:val="00EC26A3"/>
    <w:rsid w:val="00EC3413"/>
    <w:rsid w:val="00ED164D"/>
    <w:rsid w:val="00ED73F7"/>
    <w:rsid w:val="00F009B4"/>
    <w:rsid w:val="00F0361F"/>
    <w:rsid w:val="00F05659"/>
    <w:rsid w:val="00F20DDE"/>
    <w:rsid w:val="00F4468B"/>
    <w:rsid w:val="00F44C24"/>
    <w:rsid w:val="00F52416"/>
    <w:rsid w:val="00F53EE1"/>
    <w:rsid w:val="00F54E64"/>
    <w:rsid w:val="00F636C1"/>
    <w:rsid w:val="00F91D8A"/>
    <w:rsid w:val="00F92E69"/>
    <w:rsid w:val="00FA54E6"/>
    <w:rsid w:val="00FA5BF2"/>
    <w:rsid w:val="00FB043D"/>
    <w:rsid w:val="00FB1C67"/>
    <w:rsid w:val="00FB27FF"/>
    <w:rsid w:val="00FB33FB"/>
    <w:rsid w:val="00FB38D6"/>
    <w:rsid w:val="00FB6508"/>
    <w:rsid w:val="00FC12AA"/>
    <w:rsid w:val="00FC6076"/>
    <w:rsid w:val="00FC79C4"/>
    <w:rsid w:val="00FD10A6"/>
    <w:rsid w:val="00FD1B00"/>
    <w:rsid w:val="00FE6577"/>
    <w:rsid w:val="00FF3CA8"/>
    <w:rsid w:val="19D84EFD"/>
    <w:rsid w:val="3348396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semiHidden="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70" w:lineRule="exact"/>
      <w:ind w:firstLine="200" w:firstLineChars="200"/>
      <w:jc w:val="both"/>
    </w:pPr>
    <w:rPr>
      <w:rFonts w:ascii="Times New Roman" w:hAnsi="Times New Roman" w:eastAsia="仿宋_GB2312" w:cstheme="minorBidi"/>
      <w:kern w:val="2"/>
      <w:sz w:val="32"/>
      <w:szCs w:val="22"/>
      <w:lang w:val="en-US" w:eastAsia="zh-CN" w:bidi="ar-SA"/>
      <w14:ligatures w14:val="standardContextual"/>
    </w:rPr>
  </w:style>
  <w:style w:type="paragraph" w:styleId="2">
    <w:name w:val="heading 1"/>
    <w:basedOn w:val="1"/>
    <w:next w:val="1"/>
    <w:link w:val="23"/>
    <w:qFormat/>
    <w:uiPriority w:val="9"/>
    <w:pPr>
      <w:keepNext/>
      <w:keepLines/>
      <w:outlineLvl w:val="0"/>
    </w:pPr>
    <w:rPr>
      <w:rFonts w:eastAsia="黑体"/>
      <w:bCs/>
      <w:kern w:val="44"/>
      <w:szCs w:val="44"/>
    </w:rPr>
  </w:style>
  <w:style w:type="paragraph" w:styleId="3">
    <w:name w:val="heading 2"/>
    <w:basedOn w:val="1"/>
    <w:next w:val="1"/>
    <w:link w:val="24"/>
    <w:unhideWhenUsed/>
    <w:qFormat/>
    <w:uiPriority w:val="9"/>
    <w:pPr>
      <w:keepNext/>
      <w:keepLines/>
      <w:outlineLvl w:val="1"/>
    </w:pPr>
    <w:rPr>
      <w:rFonts w:eastAsia="楷体_GB2312" w:cstheme="majorBidi"/>
      <w:bCs/>
      <w:szCs w:val="32"/>
    </w:rPr>
  </w:style>
  <w:style w:type="paragraph" w:styleId="4">
    <w:name w:val="heading 3"/>
    <w:basedOn w:val="1"/>
    <w:next w:val="1"/>
    <w:link w:val="27"/>
    <w:unhideWhenUsed/>
    <w:qFormat/>
    <w:uiPriority w:val="9"/>
    <w:pPr>
      <w:keepNext/>
      <w:keepLines/>
      <w:outlineLvl w:val="2"/>
    </w:pPr>
    <w:rPr>
      <w:bCs/>
      <w:szCs w:val="32"/>
    </w:rPr>
  </w:style>
  <w:style w:type="paragraph" w:styleId="5">
    <w:name w:val="heading 4"/>
    <w:basedOn w:val="1"/>
    <w:next w:val="1"/>
    <w:link w:val="28"/>
    <w:unhideWhenUsed/>
    <w:qFormat/>
    <w:uiPriority w:val="9"/>
    <w:pPr>
      <w:keepNext/>
      <w:keepLines/>
      <w:outlineLvl w:val="3"/>
    </w:pPr>
    <w:rPr>
      <w:rFonts w:cstheme="majorBidi"/>
      <w:bCs/>
      <w:szCs w:val="28"/>
    </w:rPr>
  </w:style>
  <w:style w:type="character" w:default="1" w:styleId="17">
    <w:name w:val="Default Paragraph Font"/>
    <w:semiHidden/>
    <w:unhideWhenUsed/>
    <w:uiPriority w:val="1"/>
  </w:style>
  <w:style w:type="table" w:default="1" w:styleId="15">
    <w:name w:val="Normal Table"/>
    <w:semiHidden/>
    <w:unhideWhenUsed/>
    <w:uiPriority w:val="99"/>
    <w:tblPr>
      <w:tblCellMar>
        <w:top w:w="0" w:type="dxa"/>
        <w:left w:w="108" w:type="dxa"/>
        <w:bottom w:w="0" w:type="dxa"/>
        <w:right w:w="108" w:type="dxa"/>
      </w:tblCellMar>
    </w:tblPr>
  </w:style>
  <w:style w:type="paragraph" w:styleId="6">
    <w:name w:val="caption"/>
    <w:basedOn w:val="1"/>
    <w:next w:val="1"/>
    <w:unhideWhenUsed/>
    <w:qFormat/>
    <w:uiPriority w:val="35"/>
    <w:pPr>
      <w:spacing w:line="240" w:lineRule="auto"/>
      <w:ind w:firstLine="0" w:firstLineChars="0"/>
      <w:jc w:val="center"/>
    </w:pPr>
    <w:rPr>
      <w:rFonts w:eastAsia="黑体" w:asciiTheme="majorHAnsi" w:hAnsiTheme="majorHAnsi" w:cstheme="majorBidi"/>
      <w:sz w:val="28"/>
      <w:szCs w:val="20"/>
      <w14:ligatures w14:val="none"/>
    </w:rPr>
  </w:style>
  <w:style w:type="paragraph" w:styleId="7">
    <w:name w:val="annotation text"/>
    <w:basedOn w:val="1"/>
    <w:link w:val="25"/>
    <w:semiHidden/>
    <w:unhideWhenUsed/>
    <w:uiPriority w:val="99"/>
    <w:pPr>
      <w:jc w:val="left"/>
    </w:pPr>
  </w:style>
  <w:style w:type="paragraph" w:styleId="8">
    <w:name w:val="Date"/>
    <w:basedOn w:val="1"/>
    <w:next w:val="1"/>
    <w:link w:val="22"/>
    <w:semiHidden/>
    <w:unhideWhenUsed/>
    <w:qFormat/>
    <w:uiPriority w:val="99"/>
    <w:pPr>
      <w:ind w:left="100" w:leftChars="2500"/>
    </w:pPr>
  </w:style>
  <w:style w:type="paragraph" w:styleId="9">
    <w:name w:val="Balloon Text"/>
    <w:basedOn w:val="1"/>
    <w:link w:val="30"/>
    <w:semiHidden/>
    <w:unhideWhenUsed/>
    <w:uiPriority w:val="99"/>
    <w:pPr>
      <w:spacing w:line="240" w:lineRule="auto"/>
    </w:pPr>
    <w:rPr>
      <w:sz w:val="18"/>
      <w:szCs w:val="18"/>
    </w:rPr>
  </w:style>
  <w:style w:type="paragraph" w:styleId="10">
    <w:name w:val="footer"/>
    <w:basedOn w:val="1"/>
    <w:link w:val="21"/>
    <w:unhideWhenUsed/>
    <w:uiPriority w:val="99"/>
    <w:pPr>
      <w:tabs>
        <w:tab w:val="center" w:pos="4153"/>
        <w:tab w:val="right" w:pos="8306"/>
      </w:tabs>
      <w:snapToGrid w:val="0"/>
      <w:jc w:val="left"/>
    </w:pPr>
    <w:rPr>
      <w:sz w:val="18"/>
      <w:szCs w:val="18"/>
    </w:rPr>
  </w:style>
  <w:style w:type="paragraph" w:styleId="11">
    <w:name w:val="header"/>
    <w:basedOn w:val="1"/>
    <w:link w:val="20"/>
    <w:unhideWhenUsed/>
    <w:uiPriority w:val="99"/>
    <w:pPr>
      <w:tabs>
        <w:tab w:val="center" w:pos="4153"/>
        <w:tab w:val="right" w:pos="8306"/>
      </w:tabs>
      <w:snapToGrid w:val="0"/>
      <w:jc w:val="center"/>
    </w:pPr>
    <w:rPr>
      <w:sz w:val="18"/>
      <w:szCs w:val="18"/>
    </w:rPr>
  </w:style>
  <w:style w:type="paragraph" w:styleId="12">
    <w:name w:val="toc 1"/>
    <w:basedOn w:val="1"/>
    <w:next w:val="1"/>
    <w:unhideWhenUsed/>
    <w:qFormat/>
    <w:uiPriority w:val="39"/>
    <w:pPr>
      <w:ind w:firstLine="0" w:firstLineChars="0"/>
    </w:pPr>
    <w:rPr>
      <w:rFonts w:eastAsia="黑体"/>
    </w:rPr>
  </w:style>
  <w:style w:type="paragraph" w:styleId="13">
    <w:name w:val="toc 2"/>
    <w:basedOn w:val="1"/>
    <w:next w:val="1"/>
    <w:unhideWhenUsed/>
    <w:qFormat/>
    <w:uiPriority w:val="39"/>
    <w:rPr>
      <w:rFonts w:eastAsia="楷体_GB2312" w:cs="Times New Roman"/>
      <w:szCs w:val="24"/>
      <w14:ligatures w14:val="none"/>
    </w:rPr>
  </w:style>
  <w:style w:type="paragraph" w:styleId="14">
    <w:name w:val="annotation subject"/>
    <w:basedOn w:val="7"/>
    <w:next w:val="7"/>
    <w:link w:val="26"/>
    <w:semiHidden/>
    <w:unhideWhenUsed/>
    <w:uiPriority w:val="99"/>
    <w:rPr>
      <w:b/>
      <w:bCs/>
    </w:rPr>
  </w:style>
  <w:style w:type="table" w:styleId="16">
    <w:name w:val="Table Grid"/>
    <w:basedOn w:val="15"/>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8">
    <w:name w:val="Hyperlink"/>
    <w:basedOn w:val="17"/>
    <w:unhideWhenUsed/>
    <w:uiPriority w:val="99"/>
    <w:rPr>
      <w:color w:val="0563C1" w:themeColor="hyperlink"/>
      <w:u w:val="single"/>
      <w14:textFill>
        <w14:solidFill>
          <w14:schemeClr w14:val="hlink"/>
        </w14:solidFill>
      </w14:textFill>
    </w:rPr>
  </w:style>
  <w:style w:type="character" w:styleId="19">
    <w:name w:val="annotation reference"/>
    <w:basedOn w:val="17"/>
    <w:semiHidden/>
    <w:unhideWhenUsed/>
    <w:uiPriority w:val="99"/>
    <w:rPr>
      <w:sz w:val="21"/>
      <w:szCs w:val="21"/>
    </w:rPr>
  </w:style>
  <w:style w:type="character" w:customStyle="1" w:styleId="20">
    <w:name w:val="页眉 字符"/>
    <w:basedOn w:val="17"/>
    <w:link w:val="11"/>
    <w:qFormat/>
    <w:uiPriority w:val="99"/>
    <w:rPr>
      <w:sz w:val="18"/>
      <w:szCs w:val="18"/>
    </w:rPr>
  </w:style>
  <w:style w:type="character" w:customStyle="1" w:styleId="21">
    <w:name w:val="页脚 字符"/>
    <w:basedOn w:val="17"/>
    <w:link w:val="10"/>
    <w:uiPriority w:val="99"/>
    <w:rPr>
      <w:sz w:val="18"/>
      <w:szCs w:val="18"/>
    </w:rPr>
  </w:style>
  <w:style w:type="character" w:customStyle="1" w:styleId="22">
    <w:name w:val="日期 字符"/>
    <w:basedOn w:val="17"/>
    <w:link w:val="8"/>
    <w:semiHidden/>
    <w:uiPriority w:val="99"/>
  </w:style>
  <w:style w:type="character" w:customStyle="1" w:styleId="23">
    <w:name w:val="标题 1 字符"/>
    <w:basedOn w:val="17"/>
    <w:link w:val="2"/>
    <w:uiPriority w:val="9"/>
    <w:rPr>
      <w:rFonts w:ascii="Times New Roman" w:hAnsi="Times New Roman" w:eastAsia="黑体"/>
      <w:bCs/>
      <w:kern w:val="44"/>
      <w:sz w:val="32"/>
      <w:szCs w:val="44"/>
    </w:rPr>
  </w:style>
  <w:style w:type="character" w:customStyle="1" w:styleId="24">
    <w:name w:val="标题 2 字符"/>
    <w:basedOn w:val="17"/>
    <w:link w:val="3"/>
    <w:uiPriority w:val="9"/>
    <w:rPr>
      <w:rFonts w:ascii="Times New Roman" w:hAnsi="Times New Roman" w:eastAsia="楷体_GB2312" w:cstheme="majorBidi"/>
      <w:bCs/>
      <w:sz w:val="32"/>
      <w:szCs w:val="32"/>
    </w:rPr>
  </w:style>
  <w:style w:type="character" w:customStyle="1" w:styleId="25">
    <w:name w:val="批注文字 字符"/>
    <w:basedOn w:val="17"/>
    <w:link w:val="7"/>
    <w:semiHidden/>
    <w:uiPriority w:val="99"/>
    <w:rPr>
      <w:rFonts w:ascii="Times New Roman" w:hAnsi="Times New Roman" w:eastAsia="仿宋_GB2312"/>
      <w:sz w:val="32"/>
    </w:rPr>
  </w:style>
  <w:style w:type="character" w:customStyle="1" w:styleId="26">
    <w:name w:val="批注主题 字符"/>
    <w:basedOn w:val="25"/>
    <w:link w:val="14"/>
    <w:semiHidden/>
    <w:qFormat/>
    <w:uiPriority w:val="99"/>
    <w:rPr>
      <w:rFonts w:ascii="Times New Roman" w:hAnsi="Times New Roman" w:eastAsia="仿宋_GB2312"/>
      <w:b/>
      <w:bCs/>
      <w:sz w:val="32"/>
    </w:rPr>
  </w:style>
  <w:style w:type="character" w:customStyle="1" w:styleId="27">
    <w:name w:val="标题 3 字符"/>
    <w:basedOn w:val="17"/>
    <w:link w:val="4"/>
    <w:uiPriority w:val="9"/>
    <w:rPr>
      <w:rFonts w:ascii="Times New Roman" w:hAnsi="Times New Roman" w:eastAsia="仿宋_GB2312"/>
      <w:bCs/>
      <w:sz w:val="32"/>
      <w:szCs w:val="32"/>
    </w:rPr>
  </w:style>
  <w:style w:type="character" w:customStyle="1" w:styleId="28">
    <w:name w:val="标题 4 字符"/>
    <w:basedOn w:val="17"/>
    <w:link w:val="5"/>
    <w:uiPriority w:val="9"/>
    <w:rPr>
      <w:rFonts w:ascii="Times New Roman" w:hAnsi="Times New Roman" w:eastAsia="仿宋_GB2312" w:cstheme="majorBidi"/>
      <w:bCs/>
      <w:kern w:val="2"/>
      <w:sz w:val="32"/>
      <w:szCs w:val="28"/>
      <w14:ligatures w14:val="standardContextual"/>
    </w:rPr>
  </w:style>
  <w:style w:type="paragraph" w:styleId="29">
    <w:name w:val="List Paragraph"/>
    <w:basedOn w:val="1"/>
    <w:qFormat/>
    <w:uiPriority w:val="34"/>
    <w:pPr>
      <w:ind w:firstLine="420"/>
    </w:pPr>
  </w:style>
  <w:style w:type="character" w:customStyle="1" w:styleId="30">
    <w:name w:val="批注框文本 字符"/>
    <w:basedOn w:val="17"/>
    <w:link w:val="9"/>
    <w:semiHidden/>
    <w:uiPriority w:val="99"/>
    <w:rPr>
      <w:rFonts w:ascii="Times New Roman" w:hAnsi="Times New Roman" w:eastAsia="仿宋_GB2312"/>
      <w:sz w:val="18"/>
      <w:szCs w:val="18"/>
    </w:rPr>
  </w:style>
  <w:style w:type="paragraph" w:customStyle="1" w:styleId="31">
    <w:name w:val="修订1"/>
    <w:hidden/>
    <w:semiHidden/>
    <w:uiPriority w:val="99"/>
    <w:rPr>
      <w:rFonts w:ascii="Times New Roman" w:hAnsi="Times New Roman" w:eastAsia="仿宋_GB2312" w:cstheme="minorBidi"/>
      <w:kern w:val="2"/>
      <w:sz w:val="32"/>
      <w:szCs w:val="22"/>
      <w:lang w:val="en-US" w:eastAsia="zh-CN" w:bidi="ar-SA"/>
      <w14:ligatures w14:val="standardContextual"/>
    </w:rPr>
  </w:style>
  <w:style w:type="paragraph" w:customStyle="1" w:styleId="32">
    <w:name w:val="Revision"/>
    <w:hidden/>
    <w:unhideWhenUsed/>
    <w:uiPriority w:val="99"/>
    <w:rPr>
      <w:rFonts w:ascii="Times New Roman" w:hAnsi="Times New Roman" w:eastAsia="仿宋_GB2312" w:cstheme="minorBidi"/>
      <w:kern w:val="2"/>
      <w:sz w:val="32"/>
      <w:szCs w:val="22"/>
      <w:lang w:val="en-US" w:eastAsia="zh-CN" w:bidi="ar-SA"/>
      <w14:ligatures w14:val="standardContextual"/>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customXml" Target="../customXml/item1.xml"/><Relationship Id="rId13" Type="http://schemas.openxmlformats.org/officeDocument/2006/relationships/theme" Target="theme/theme1.xml"/><Relationship Id="rId12" Type="http://schemas.openxmlformats.org/officeDocument/2006/relationships/footer" Target="footer5.xml"/><Relationship Id="rId11" Type="http://schemas.openxmlformats.org/officeDocument/2006/relationships/footer" Target="foot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DBDC95-D37E-45C3-912D-B7BF680B33D2}">
  <ds:schemaRefs/>
</ds:datastoreItem>
</file>

<file path=docProps/app.xml><?xml version="1.0" encoding="utf-8"?>
<Properties xmlns="http://schemas.openxmlformats.org/officeDocument/2006/extended-properties" xmlns:vt="http://schemas.openxmlformats.org/officeDocument/2006/docPropsVTypes">
  <Template>Normal</Template>
  <Pages>67</Pages>
  <Words>4862</Words>
  <Characters>27717</Characters>
  <Lines>230</Lines>
  <Paragraphs>65</Paragraphs>
  <TotalTime>31</TotalTime>
  <ScaleCrop>false</ScaleCrop>
  <LinksUpToDate>false</LinksUpToDate>
  <CharactersWithSpaces>32514</CharactersWithSpaces>
  <Application>WPS Office_11.8.2.12309_F1E327BC-269C-435d-A152-05C5408002CA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2024-09-14T02:34:00Z</dcterms:created>
  <dc:creator>众联 国</dc:creator>
  <cp:lastModifiedBy>cym</cp:lastModifiedBy>
  <cp:lastPrinted>2024-09-12T11:36:00Z</cp:lastPrinted>
  <dcterms:modified xsi:type="dcterms:W3CDTF">2025-04-10T08:56:30Z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2052-11.8.2.12309</vt:lpwstr>
  </property>
  <property fmtid="{D5CDD505-2E9C-101B-9397-08002B2CF9AE}" pid="3" name="ICV">
    <vt:lpwstr>3BF06391B0A241C6A12CEE79CE5D89E0_12</vt:lpwstr>
  </property>
</Properties>
</file>