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6B292">
      <w:pPr>
        <w:spacing w:line="360" w:lineRule="auto"/>
        <w:rPr>
          <w:rFonts w:hint="eastAsia" w:ascii="宋体" w:hAnsi="宋体" w:cs="宋体"/>
          <w:b/>
          <w:color w:val="auto"/>
          <w:sz w:val="24"/>
          <w:szCs w:val="24"/>
          <w:highlight w:val="none"/>
        </w:rPr>
      </w:pPr>
      <w:r>
        <w:rPr>
          <w:rFonts w:hint="eastAsia" w:ascii="宋体" w:hAnsi="宋体" w:cs="宋体"/>
          <w:color w:val="auto"/>
          <w:sz w:val="24"/>
          <w:szCs w:val="24"/>
          <w:highlight w:val="none"/>
        </w:rPr>
        <w:t>附件一：</w:t>
      </w:r>
    </w:p>
    <w:p w14:paraId="1AEE6E97">
      <w:pPr>
        <w:spacing w:line="360" w:lineRule="auto"/>
        <w:jc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rPr>
        <w:t>投标人</w:t>
      </w:r>
      <w:r>
        <w:rPr>
          <w:rFonts w:hint="eastAsia" w:ascii="宋体" w:hAnsi="宋体" w:cs="宋体"/>
          <w:b/>
          <w:color w:val="auto"/>
          <w:sz w:val="44"/>
          <w:szCs w:val="44"/>
          <w:highlight w:val="none"/>
        </w:rPr>
        <w:t>声明</w:t>
      </w:r>
    </w:p>
    <w:p w14:paraId="280FD705">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广州市</w:t>
      </w:r>
      <w:r>
        <w:rPr>
          <w:rFonts w:hint="eastAsia" w:ascii="宋体" w:hAnsi="宋体" w:cs="宋体"/>
          <w:color w:val="auto"/>
          <w:kern w:val="0"/>
          <w:sz w:val="24"/>
          <w:szCs w:val="24"/>
          <w:highlight w:val="none"/>
          <w:lang w:val="en-US" w:eastAsia="zh-CN"/>
        </w:rPr>
        <w:t>增城区</w:t>
      </w:r>
      <w:r>
        <w:rPr>
          <w:rFonts w:hint="eastAsia" w:ascii="宋体" w:hAnsi="宋体" w:cs="宋体"/>
          <w:color w:val="auto"/>
          <w:kern w:val="0"/>
          <w:sz w:val="24"/>
          <w:szCs w:val="24"/>
          <w:highlight w:val="none"/>
        </w:rPr>
        <w:t>水务局、本招标项目招标人及招标监管机构：</w:t>
      </w:r>
    </w:p>
    <w:p w14:paraId="53702D0C">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本公司就参加</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（项目名称）</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投标工作，作出郑重声明：</w:t>
      </w:r>
    </w:p>
    <w:p w14:paraId="5EE4C723">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23B2128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二、本公司保证在本项目投标中不与其他单位围标、串标，不出让投标资格，不向招标人或评标委员会成员行贿。</w:t>
      </w:r>
    </w:p>
    <w:p w14:paraId="59CA8C1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三、本公司不存在下列情形之一：</w:t>
      </w:r>
    </w:p>
    <w:p w14:paraId="6948B4F4">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（1）为招标人不具有独立法人资格的附属机构（单位）；</w:t>
      </w:r>
    </w:p>
    <w:p w14:paraId="09CAA11D">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（2）为本标段前期准备提供设计或咨询服务或者与本项目设计人或提供咨询服务的机构存在附属关系的；</w:t>
      </w:r>
    </w:p>
    <w:p w14:paraId="78AFDBEB">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（3）为本项目监理人或者与本项目监理人存在隶属关系或者其他利害关系；</w:t>
      </w:r>
    </w:p>
    <w:p w14:paraId="561FF42D">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（4）为本标段的代建人；</w:t>
      </w:r>
    </w:p>
    <w:p w14:paraId="5F210689">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（5）为本标段提供招标代理服务的；</w:t>
      </w:r>
    </w:p>
    <w:p w14:paraId="561A88E1">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（6）与本标段的监理人或代建人或招标代理机构同为一个法定代表人的；</w:t>
      </w:r>
    </w:p>
    <w:p w14:paraId="653F09CF">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（7）与本标段的监理人或代建人或招标代理机构互相控股或参股的；</w:t>
      </w:r>
    </w:p>
    <w:p w14:paraId="41114285">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（8）与本标段的监理人或代建人或招标代理机构相互任职或工作的；</w:t>
      </w:r>
    </w:p>
    <w:p w14:paraId="31FEACA7">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（9）与本标段的检测机构、建设、监理单位以及建筑材料、建筑构配件和设备供应商有隶属关系或者其他利害关系有隶属关系或者其他利害关系；</w:t>
      </w:r>
    </w:p>
    <w:p w14:paraId="6B91A088">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（10）与招标人存在利害关系且可能影响招标公正性；</w:t>
      </w:r>
    </w:p>
    <w:p w14:paraId="4CEB3537">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78EFE9D">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（12）被责令停产停业、暂扣或者吊销许可证、暂扣或者吊销执照的（本项事实应当以根据《中华人民共和国行政处罚法》依法作出并已经生效的行政处罚决定为认定依据。）；</w:t>
      </w:r>
    </w:p>
    <w:p w14:paraId="2E5B2141">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（13）进入清算程序，或被宣布破产，或其他丧失履约能力的情形；</w:t>
      </w:r>
    </w:p>
    <w:p w14:paraId="525CC51C">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2FE75A0">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（15）法律法规规定的其他情形。</w:t>
      </w:r>
    </w:p>
    <w:p w14:paraId="6BEC3157">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四、本公司保证：本项目拟派的项目负责人没有在其他在建项目中任施工单位项目负责人，本项目拟派的专职安全员没有在其他在建项目中任职。</w:t>
      </w:r>
    </w:p>
    <w:p w14:paraId="60EFAF69">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138E76B">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1BED9C6">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七、本公司承诺，切实落实《住房和城乡建设部人力资源社会保障部关于修改&lt;建筑工人实名制管理办法（试行）&gt;的通知》建市〔2022〕59号、《住房城乡建设部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14:paraId="143CD7ED">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八、与本公司单位负责人为同一人或者与本公司存在控股、管理关系的其他单位包括：</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。（注：本条由投标人如实填写，如有，应列出全部满足招标公告资质要求的相关单位的名称；如无，则填写“无”。）</w:t>
      </w:r>
    </w:p>
    <w:p w14:paraId="02606C24">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79EAAB83">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8841889">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8614ACC">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十二、本公司积极响应广州市关于投身“百千万工程”的号召，主动参与政府投资类建设工程施工项目的建筑业结对帮扶等活动（市属国有企业投资项目参照执行）</w:t>
      </w:r>
      <w:r>
        <w:rPr>
          <w:rFonts w:hint="eastAsia" w:ascii="宋体" w:hAnsi="宋体"/>
          <w:color w:val="auto"/>
          <w:kern w:val="0"/>
          <w:sz w:val="24"/>
          <w:szCs w:val="24"/>
          <w:highlight w:val="none"/>
          <w:lang w:eastAsia="zh-CN"/>
        </w:rPr>
        <w:t>，具体事项以双方商定为准</w:t>
      </w:r>
      <w:r>
        <w:rPr>
          <w:rFonts w:hint="eastAsia" w:ascii="宋体" w:hAnsi="宋体"/>
          <w:color w:val="auto"/>
          <w:kern w:val="0"/>
          <w:sz w:val="24"/>
          <w:szCs w:val="24"/>
          <w:highlight w:val="none"/>
        </w:rPr>
        <w:t>。</w:t>
      </w:r>
    </w:p>
    <w:p w14:paraId="6323AD8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6A41D074">
      <w:pPr>
        <w:spacing w:line="360" w:lineRule="auto"/>
        <w:ind w:left="629" w:right="144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声明企业：</w:t>
      </w:r>
    </w:p>
    <w:p w14:paraId="02276C12">
      <w:pPr>
        <w:spacing w:line="360" w:lineRule="auto"/>
        <w:ind w:right="117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法定代表人签字：</w:t>
      </w:r>
    </w:p>
    <w:p w14:paraId="5017F491">
      <w:pPr>
        <w:spacing w:line="360" w:lineRule="auto"/>
        <w:ind w:right="117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项目负责人签字:</w:t>
      </w:r>
    </w:p>
    <w:p w14:paraId="6284BD45">
      <w:pPr>
        <w:spacing w:line="360" w:lineRule="auto"/>
        <w:ind w:right="879" w:firstLine="2160" w:firstLineChars="9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技术负责人签字：</w:t>
      </w:r>
    </w:p>
    <w:p w14:paraId="1DCD0682">
      <w:pPr>
        <w:spacing w:line="360" w:lineRule="auto"/>
        <w:ind w:right="879" w:firstLine="2160" w:firstLineChars="900"/>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14:paraId="778B9434">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（企业公章）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6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2024-12-30T09:56:58Z</dcterms:created>
  <dc:creator>Administrator</dc:creator>
  <cp:lastModifiedBy>小紙人</cp:lastModifiedBy>
  <dcterms:modified xsi:type="dcterms:W3CDTF">2024-12-30T10:01:12Z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eyJoZGlkIjoiZWU1NDgwOTc3ZjdmNDgyNDRiMDlmYzdkOTllZWIwZTUiLCJ1c2VySWQiOiIyNTExODA5MzUifQ==</vt:lpwstr>
  </property>
  <property fmtid="{D5CDD505-2E9C-101B-9397-08002B2CF9AE}" pid="4" name="ICV">
    <vt:lpwstr>D5A6D726F717410B9C7B7DE6B3AA6447_12</vt:lpwstr>
  </property>
</Properties>
</file>