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宣传制品及活动保障服务供应项目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textAlignment w:val="auto"/>
        <w:outlineLvl w:val="9"/>
        <w:rPr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346"/>
        <w:gridCol w:w="4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463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宣传制品及活动保障服务供应项目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463" w:type="dxa"/>
            <w:gridSpan w:val="2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463" w:type="dxa"/>
            <w:gridSpan w:val="2"/>
          </w:tcPr>
          <w:p>
            <w:pPr>
              <w:jc w:val="left"/>
            </w:pPr>
            <w:r>
              <w:t>商务部分</w:t>
            </w:r>
            <w:r>
              <w:rPr>
                <w:rFonts w:hint="eastAsia"/>
                <w:lang w:val="en-US" w:eastAsia="zh-CN"/>
              </w:rPr>
              <w:t>40</w:t>
            </w:r>
            <w:r>
              <w:t>分</w:t>
            </w:r>
          </w:p>
          <w:p>
            <w:pPr>
              <w:jc w:val="left"/>
              <w:rPr>
                <w:vertAlign w:val="baseline"/>
              </w:rPr>
            </w:pPr>
            <w:r>
              <w:t>技术部分</w:t>
            </w:r>
            <w:r>
              <w:rPr>
                <w:rFonts w:hint="eastAsia"/>
                <w:lang w:val="en-US" w:eastAsia="zh-CN"/>
              </w:rPr>
              <w:t>60</w:t>
            </w:r>
            <w: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/>
                <w:vertAlign w:val="baseline"/>
                <w:lang w:val="en-US" w:eastAsia="zh-CN"/>
              </w:rPr>
              <w:t>20分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宣传制品设计及活动保障服务</w:t>
            </w:r>
            <w:r>
              <w:rPr>
                <w:rFonts w:hint="eastAsia"/>
                <w:vertAlign w:val="baseline"/>
              </w:rPr>
              <w:t>需求的理解透彻深入，对本项目所提出的合理性建设意见与建议合理可行，项目重点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难点分析准确到位，得</w:t>
            </w:r>
            <w:r>
              <w:rPr>
                <w:rFonts w:hint="eastAsia"/>
                <w:vertAlign w:val="baseline"/>
                <w:lang w:val="en-US" w:eastAsia="zh-CN"/>
              </w:rPr>
              <w:t>20</w:t>
            </w:r>
            <w:r>
              <w:rPr>
                <w:rFonts w:hint="eastAsia"/>
                <w:vertAlign w:val="baseline"/>
              </w:rPr>
              <w:t>分；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宣传制品设计及活动保障服务</w:t>
            </w:r>
            <w:r>
              <w:rPr>
                <w:rFonts w:hint="eastAsia"/>
                <w:vertAlign w:val="baseline"/>
              </w:rPr>
              <w:t>需求的理解较为透彻深入，对本项目所提出的合理性建设意见与建议合理可行性较高，项目重点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难点分析准确到位，得</w:t>
            </w:r>
            <w:r>
              <w:rPr>
                <w:rFonts w:hint="eastAsia"/>
                <w:vertAlign w:val="baseline"/>
                <w:lang w:val="en-US" w:eastAsia="zh-CN"/>
              </w:rPr>
              <w:t>15</w:t>
            </w:r>
            <w:r>
              <w:rPr>
                <w:rFonts w:hint="eastAsia"/>
                <w:vertAlign w:val="baseline"/>
              </w:rPr>
              <w:t>分；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宣传制品设计及活动保障服务</w:t>
            </w:r>
            <w:r>
              <w:rPr>
                <w:rFonts w:hint="eastAsia"/>
                <w:vertAlign w:val="baseline"/>
              </w:rPr>
              <w:t>需求的理解一般，对本项目所提出的建设意见与建议具有一定的合理性，得</w:t>
            </w:r>
            <w:r>
              <w:rPr>
                <w:rFonts w:hint="eastAsia"/>
                <w:vertAlign w:val="baseline"/>
                <w:lang w:val="en-US" w:eastAsia="zh-CN"/>
              </w:rPr>
              <w:t>10</w:t>
            </w:r>
            <w:r>
              <w:rPr>
                <w:rFonts w:hint="eastAsia"/>
                <w:vertAlign w:val="baseline"/>
              </w:rPr>
              <w:t>分；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宣传制品设计及活动保障服务</w:t>
            </w:r>
            <w:r>
              <w:rPr>
                <w:rFonts w:hint="eastAsia"/>
                <w:vertAlign w:val="baseline"/>
              </w:rPr>
              <w:t>需求的理解较差，对本项目所提出的建设意见与建议不合理，项目重点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难点分析不到位，得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</w:rPr>
              <w:t>分</w:t>
            </w:r>
            <w:r>
              <w:rPr>
                <w:rFonts w:hint="eastAsia"/>
                <w:vertAlign w:val="baseline"/>
                <w:lang w:eastAsia="zh-CN"/>
              </w:rPr>
              <w:t>；（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不提供得</w:t>
            </w: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项目实施方案（</w:t>
            </w:r>
            <w:r>
              <w:rPr>
                <w:rFonts w:hint="eastAsia"/>
                <w:vertAlign w:val="baseline"/>
                <w:lang w:val="en-US" w:eastAsia="zh-CN"/>
              </w:rPr>
              <w:t>16分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r>
              <w:rPr>
                <w:rFonts w:hint="eastAsia"/>
                <w:lang w:eastAsia="zh-CN"/>
              </w:rPr>
              <w:t>项目实施方案应包括但不限于工作安排、人员分工、质量保证措施、设计主题方向等内容。（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项目实施方案原理、阐述全面、合理，具体方案切合实际，完整详尽，得</w:t>
            </w:r>
            <w:r>
              <w:rPr>
                <w:rFonts w:hint="eastAsia"/>
                <w:lang w:val="en-US" w:eastAsia="zh-CN"/>
              </w:rPr>
              <w:t>16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项目实施方案、原理阐述较为全面合理，方案较切合实际，较完整，得</w:t>
            </w:r>
            <w:r>
              <w:rPr>
                <w:rFonts w:hint="eastAsia"/>
                <w:lang w:val="en-US" w:eastAsia="zh-CN"/>
              </w:rPr>
              <w:t>12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项目实施方案、原理阐述不够全面，方案与实际切合性一般，完整性一般，得</w:t>
            </w:r>
            <w:r>
              <w:rPr>
                <w:rFonts w:hint="eastAsia"/>
                <w:lang w:val="en-US" w:eastAsia="zh-CN"/>
              </w:rPr>
              <w:t>8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项目实施方案技术原理阐述差，具体方案不切合实际，不完整，得</w:t>
            </w:r>
            <w:r>
              <w:rPr>
                <w:rFonts w:hint="eastAsia"/>
                <w:lang w:val="en-US" w:eastAsia="zh-CN"/>
              </w:rPr>
              <w:t>4</w:t>
            </w:r>
            <w:r>
              <w:t>分</w:t>
            </w:r>
            <w:r>
              <w:rPr>
                <w:rFonts w:hint="eastAsia"/>
                <w:lang w:eastAsia="zh-CN"/>
              </w:rPr>
              <w:t>；（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</w:t>
            </w:r>
            <w:r>
              <w:t>不提供得</w:t>
            </w:r>
            <w:r>
              <w:rPr>
                <w:rFonts w:hint="eastAsia"/>
                <w:lang w:val="en-US" w:eastAsia="zh-CN"/>
              </w:rPr>
              <w:t>0</w:t>
            </w:r>
            <w: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/>
                <w:vertAlign w:val="baseline"/>
                <w:lang w:val="en-US" w:eastAsia="zh-CN"/>
              </w:rPr>
              <w:t>12分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t>工作计划清晰详细，时间进度安排合理的，得</w:t>
            </w:r>
            <w:r>
              <w:rPr>
                <w:rFonts w:hint="eastAsia"/>
                <w:lang w:val="en-US" w:eastAsia="zh-CN"/>
              </w:rPr>
              <w:t>12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t>工作计划较详细，时间进度安排较合理的</w:t>
            </w:r>
            <w:r>
              <w:rPr>
                <w:rFonts w:hint="eastAsia"/>
                <w:lang w:eastAsia="zh-CN"/>
              </w:rPr>
              <w:t>，</w:t>
            </w:r>
            <w:r>
              <w:t>得</w:t>
            </w:r>
            <w:r>
              <w:rPr>
                <w:rFonts w:hint="eastAsia"/>
                <w:lang w:val="en-US" w:eastAsia="zh-CN"/>
              </w:rPr>
              <w:t>9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t>工作计划一般，时间进度安排一般的</w:t>
            </w:r>
            <w:r>
              <w:rPr>
                <w:rFonts w:hint="eastAsia"/>
                <w:lang w:eastAsia="zh-CN"/>
              </w:rPr>
              <w:t>，</w:t>
            </w:r>
            <w:r>
              <w:t>得</w:t>
            </w:r>
            <w:r>
              <w:rPr>
                <w:rFonts w:hint="eastAsia"/>
                <w:lang w:val="en-US" w:eastAsia="zh-CN"/>
              </w:rPr>
              <w:t>6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t>工作计划不够详细，时间进度安排不合理的，得</w:t>
            </w:r>
            <w:r>
              <w:rPr>
                <w:rFonts w:hint="eastAsia"/>
                <w:lang w:val="en-US" w:eastAsia="zh-CN"/>
              </w:rPr>
              <w:t>3</w:t>
            </w:r>
            <w:r>
              <w:t>分。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</w:t>
            </w:r>
            <w:r>
              <w:t>不提供得</w:t>
            </w:r>
            <w:r>
              <w:rPr>
                <w:rFonts w:hint="eastAsia"/>
                <w:lang w:val="en-US" w:eastAsia="zh-CN"/>
              </w:rPr>
              <w:t>0</w:t>
            </w:r>
            <w: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/>
                <w:vertAlign w:val="baseline"/>
                <w:lang w:val="en-US" w:eastAsia="zh-CN"/>
              </w:rPr>
              <w:t>12分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突发事件应急方案全面具体、合理、可行性高，得1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突发事件应急方案较全面具体、较合理、可行性较高，得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突发事件应急方案基本全面具体、基本合理、基本可行，得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突发事件应急方案不全面，不合理可行，得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无或其它得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同类项目经验（</w:t>
            </w:r>
            <w:r>
              <w:rPr>
                <w:rFonts w:hint="eastAsia"/>
                <w:vertAlign w:val="baseline"/>
                <w:lang w:val="en-US" w:eastAsia="zh-CN"/>
              </w:rPr>
              <w:t>16分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  <w:vertAlign w:val="baseline"/>
              </w:rPr>
              <w:t>提供</w:t>
            </w:r>
            <w:r>
              <w:rPr>
                <w:rFonts w:hint="eastAsia"/>
                <w:vertAlign w:val="baseline"/>
                <w:lang w:val="en-US" w:eastAsia="zh-CN"/>
              </w:rPr>
              <w:t>2020</w:t>
            </w:r>
            <w:bookmarkStart w:id="0" w:name="_GoBack"/>
            <w:bookmarkEnd w:id="0"/>
            <w:r>
              <w:rPr>
                <w:rFonts w:hint="eastAsia"/>
                <w:vertAlign w:val="baseline"/>
              </w:rPr>
              <w:t>年</w:t>
            </w:r>
            <w:r>
              <w:rPr>
                <w:rFonts w:hint="eastAsia"/>
                <w:vertAlign w:val="baseline"/>
                <w:lang w:eastAsia="zh-CN"/>
              </w:rPr>
              <w:t>以来</w:t>
            </w:r>
            <w:r>
              <w:rPr>
                <w:rFonts w:hint="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</w:rPr>
              <w:t>分，最高</w:t>
            </w:r>
            <w:r>
              <w:rPr>
                <w:rFonts w:hint="eastAsia"/>
                <w:vertAlign w:val="baseline"/>
                <w:lang w:eastAsia="zh-CN"/>
              </w:rPr>
              <w:t>得</w:t>
            </w:r>
            <w:r>
              <w:rPr>
                <w:rFonts w:hint="eastAsia"/>
                <w:vertAlign w:val="baseline"/>
                <w:lang w:val="en-US" w:eastAsia="zh-CN"/>
              </w:rPr>
              <w:t>16</w:t>
            </w:r>
            <w:r>
              <w:rPr>
                <w:rFonts w:hint="eastAsia"/>
                <w:vertAlign w:val="baseline"/>
              </w:rPr>
              <w:t>分。</w:t>
            </w:r>
            <w:r>
              <w:rPr>
                <w:rFonts w:hint="eastAsia"/>
                <w:vertAlign w:val="baseline"/>
                <w:lang w:eastAsia="zh-CN"/>
              </w:rPr>
              <w:t>注：</w:t>
            </w:r>
            <w:r>
              <w:rPr>
                <w:rFonts w:hint="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服务响应能力（</w:t>
            </w:r>
            <w:r>
              <w:rPr>
                <w:rFonts w:hint="eastAsia"/>
                <w:vertAlign w:val="baseline"/>
                <w:lang w:val="en-US" w:eastAsia="zh-CN"/>
              </w:rPr>
              <w:t>9分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</w:rPr>
              <w:t>应在响应文件中明确注明承诺内容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对采购人提出的</w:t>
            </w:r>
            <w:r>
              <w:rPr>
                <w:rFonts w:hint="eastAsia"/>
                <w:lang w:eastAsia="zh-CN"/>
              </w:rPr>
              <w:t>紧急事项</w:t>
            </w:r>
            <w:r>
              <w:rPr>
                <w:rFonts w:hint="eastAsia"/>
              </w:rPr>
              <w:t>响应和解决时间要求：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</w:rPr>
              <w:t>能在接报后小于等于1小时响应，小于等于6小时给出解决方案的，得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</w:rPr>
              <w:t>能在接报后大于1小时，小于等于2小时响应，大于6小时，小于等于12小时给出解决方案，得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</w:rPr>
              <w:t>能在接报后大于2小时内响应，大于12小时给出解决方案，得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分。</w:t>
            </w:r>
            <w:r>
              <w:t xml:space="preserve">（4）无或其他得0分。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用户评价（</w:t>
            </w:r>
            <w:r>
              <w:rPr>
                <w:rFonts w:hint="eastAsia"/>
                <w:vertAlign w:val="baseline"/>
                <w:lang w:val="en-US" w:eastAsia="zh-CN"/>
              </w:rPr>
              <w:t>9分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vertAlign w:val="baseline"/>
                <w:lang w:eastAsia="zh-CN"/>
              </w:rPr>
              <w:t>投标人提供</w:t>
            </w:r>
            <w:r>
              <w:rPr>
                <w:rFonts w:hint="eastAsia"/>
                <w:vertAlign w:val="baseline"/>
              </w:rPr>
              <w:t>同类项目用户评价</w:t>
            </w:r>
            <w:r>
              <w:rPr>
                <w:rFonts w:hint="eastAsia"/>
                <w:vertAlign w:val="baseline"/>
                <w:lang w:eastAsia="zh-CN"/>
              </w:rPr>
              <w:t>：</w:t>
            </w:r>
            <w:r>
              <w:rPr>
                <w:rFonts w:hint="eastAsia"/>
                <w:vertAlign w:val="baseline"/>
              </w:rPr>
              <w:t>获得采购方或服务对象评定为满意</w:t>
            </w:r>
            <w:r>
              <w:rPr>
                <w:rFonts w:hint="eastAsia"/>
                <w:vertAlign w:val="baseline"/>
                <w:lang w:eastAsia="zh-CN"/>
              </w:rPr>
              <w:t>、优秀、</w:t>
            </w:r>
            <w:r>
              <w:rPr>
                <w:rFonts w:hint="eastAsia"/>
                <w:vertAlign w:val="baseline"/>
                <w:lang w:val="en-US" w:eastAsia="zh-CN"/>
              </w:rPr>
              <w:t>90分或</w:t>
            </w:r>
            <w:r>
              <w:rPr>
                <w:rFonts w:hint="eastAsia"/>
                <w:vertAlign w:val="baseline"/>
              </w:rPr>
              <w:t>以上含同等意义评价</w:t>
            </w:r>
            <w:r>
              <w:rPr>
                <w:rFonts w:hint="eastAsia"/>
                <w:vertAlign w:val="baseline"/>
                <w:lang w:eastAsia="zh-CN"/>
              </w:rPr>
              <w:t>的</w:t>
            </w:r>
            <w:r>
              <w:rPr>
                <w:rFonts w:hint="eastAsia"/>
                <w:vertAlign w:val="baseline"/>
              </w:rPr>
              <w:t>，每一项得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</w:rPr>
              <w:t>分</w:t>
            </w:r>
            <w:r>
              <w:rPr>
                <w:rFonts w:hint="eastAsia"/>
                <w:vertAlign w:val="baseline"/>
                <w:lang w:eastAsia="zh-CN"/>
              </w:rPr>
              <w:t>，</w:t>
            </w:r>
            <w:r>
              <w:rPr>
                <w:rFonts w:hint="eastAsia"/>
                <w:vertAlign w:val="baseline"/>
              </w:rPr>
              <w:t>最高</w:t>
            </w:r>
            <w:r>
              <w:rPr>
                <w:rFonts w:hint="eastAsia"/>
                <w:vertAlign w:val="baseline"/>
                <w:lang w:eastAsia="zh-CN"/>
              </w:rPr>
              <w:t>得</w:t>
            </w:r>
            <w:r>
              <w:rPr>
                <w:rFonts w:hint="eastAsia"/>
                <w:vertAlign w:val="baseline"/>
                <w:lang w:val="en-US" w:eastAsia="zh-CN"/>
              </w:rPr>
              <w:t>9</w:t>
            </w:r>
            <w:r>
              <w:rPr>
                <w:rFonts w:hint="eastAsia"/>
                <w:vertAlign w:val="baseline"/>
              </w:rPr>
              <w:t xml:space="preserve">分。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/>
                <w:vertAlign w:val="baseline"/>
                <w:lang w:val="en-US" w:eastAsia="zh-CN"/>
              </w:rPr>
              <w:t>6分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vertAlign w:val="baseline"/>
              </w:rPr>
              <w:t>分。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对列入行政处罚的投标人每一条记录扣1分</w:t>
            </w:r>
            <w:r>
              <w:rPr>
                <w:rFonts w:hint="eastAsia"/>
                <w:vertAlign w:val="baseline"/>
                <w:lang w:eastAsia="zh-CN"/>
              </w:rPr>
              <w:t>；（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vertAlign w:val="baseline"/>
              </w:rPr>
              <w:t>分。以</w:t>
            </w:r>
            <w:r>
              <w:rPr>
                <w:rFonts w:hint="eastAsia"/>
                <w:vertAlign w:val="baseline"/>
                <w:lang w:eastAsia="zh-CN"/>
              </w:rPr>
              <w:t>评审小组</w:t>
            </w:r>
            <w:r>
              <w:rPr>
                <w:rFonts w:hint="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MGDT">
    <w:altName w:val="Swis721 Lt BT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wis721 Lt BT">
    <w:panose1 w:val="020B0403020202020204"/>
    <w:charset w:val="00"/>
    <w:family w:val="auto"/>
    <w:pitch w:val="default"/>
    <w:sig w:usb0="800000AF" w:usb1="1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7055598"/>
    <w:rsid w:val="07715C96"/>
    <w:rsid w:val="097339D8"/>
    <w:rsid w:val="1A1112E9"/>
    <w:rsid w:val="1BE37C69"/>
    <w:rsid w:val="1D06393D"/>
    <w:rsid w:val="1E1E6470"/>
    <w:rsid w:val="243120DA"/>
    <w:rsid w:val="289A56B5"/>
    <w:rsid w:val="30B74119"/>
    <w:rsid w:val="376226EC"/>
    <w:rsid w:val="378A466A"/>
    <w:rsid w:val="397D10F0"/>
    <w:rsid w:val="3D6A7EF8"/>
    <w:rsid w:val="3EA830F4"/>
    <w:rsid w:val="400E6D04"/>
    <w:rsid w:val="407571D6"/>
    <w:rsid w:val="49E16D06"/>
    <w:rsid w:val="4DCF5A5C"/>
    <w:rsid w:val="503D584F"/>
    <w:rsid w:val="50C64021"/>
    <w:rsid w:val="535862C2"/>
    <w:rsid w:val="537E0EE6"/>
    <w:rsid w:val="54DD1860"/>
    <w:rsid w:val="552D7EF5"/>
    <w:rsid w:val="55A76AE7"/>
    <w:rsid w:val="567E0483"/>
    <w:rsid w:val="586C4C04"/>
    <w:rsid w:val="59207E9D"/>
    <w:rsid w:val="59DF26CF"/>
    <w:rsid w:val="5B924830"/>
    <w:rsid w:val="60FC3141"/>
    <w:rsid w:val="636308A0"/>
    <w:rsid w:val="63A6141E"/>
    <w:rsid w:val="644738C7"/>
    <w:rsid w:val="69076F01"/>
    <w:rsid w:val="690A2251"/>
    <w:rsid w:val="69580E55"/>
    <w:rsid w:val="699F6A57"/>
    <w:rsid w:val="6A326DB4"/>
    <w:rsid w:val="6B4360A7"/>
    <w:rsid w:val="6D8B1C9E"/>
    <w:rsid w:val="70C04AE1"/>
    <w:rsid w:val="72275A49"/>
    <w:rsid w:val="725D5F06"/>
    <w:rsid w:val="72926FA6"/>
    <w:rsid w:val="72D05E80"/>
    <w:rsid w:val="72FB5FA0"/>
    <w:rsid w:val="738D6937"/>
    <w:rsid w:val="77623002"/>
    <w:rsid w:val="78E44BCD"/>
    <w:rsid w:val="79875502"/>
    <w:rsid w:val="7B0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dcterms:modified xsi:type="dcterms:W3CDTF">2024-09-10T09:24:14Z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