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3FAC9">
      <w:pPr>
        <w:spacing w:line="360" w:lineRule="auto"/>
        <w:ind w:left="-567" w:leftChars="-270" w:right="-624" w:rightChars="-297"/>
        <w:jc w:val="center"/>
        <w:rPr>
          <w:rFonts w:ascii="宋体" w:hAnsi="宋体"/>
          <w:b/>
          <w:color w:val="auto"/>
          <w:kern w:val="2"/>
          <w:sz w:val="52"/>
          <w:szCs w:val="48"/>
          <w:highlight w:val="none"/>
        </w:rPr>
      </w:pPr>
    </w:p>
    <w:p w14:paraId="22ACD8C4">
      <w:pPr>
        <w:spacing w:line="360" w:lineRule="auto"/>
        <w:ind w:left="-567" w:leftChars="-270" w:right="-624" w:rightChars="-297"/>
        <w:jc w:val="center"/>
        <w:rPr>
          <w:rFonts w:hint="eastAsia" w:ascii="宋体" w:hAnsi="宋体" w:eastAsia="宋体"/>
          <w:b/>
          <w:color w:val="auto"/>
          <w:kern w:val="2"/>
          <w:sz w:val="52"/>
          <w:szCs w:val="48"/>
          <w:highlight w:val="none"/>
          <w:lang w:val="en-US" w:eastAsia="zh-CN"/>
        </w:rPr>
      </w:pPr>
      <w:r>
        <w:rPr>
          <w:rFonts w:hint="eastAsia" w:ascii="宋体" w:hAnsi="宋体" w:eastAsia="宋体"/>
          <w:b/>
          <w:color w:val="auto"/>
          <w:kern w:val="2"/>
          <w:sz w:val="52"/>
          <w:szCs w:val="48"/>
          <w:highlight w:val="none"/>
          <w:lang w:val="en-US" w:eastAsia="zh-CN"/>
        </w:rPr>
        <w:t>增城区永宁街岗</w:t>
      </w:r>
      <w:bookmarkStart w:id="531" w:name="_GoBack"/>
      <w:bookmarkEnd w:id="531"/>
      <w:r>
        <w:rPr>
          <w:rFonts w:hint="eastAsia" w:ascii="宋体" w:hAnsi="宋体" w:eastAsia="宋体"/>
          <w:b/>
          <w:color w:val="auto"/>
          <w:kern w:val="2"/>
          <w:sz w:val="52"/>
          <w:szCs w:val="48"/>
          <w:highlight w:val="none"/>
          <w:lang w:val="en-US" w:eastAsia="zh-CN"/>
        </w:rPr>
        <w:t xml:space="preserve">丰村陈家林地块环境综 </w:t>
      </w:r>
    </w:p>
    <w:p w14:paraId="07325A8E">
      <w:pPr>
        <w:spacing w:line="360" w:lineRule="auto"/>
        <w:ind w:left="-567" w:leftChars="-270" w:right="-624" w:rightChars="-297"/>
        <w:jc w:val="center"/>
        <w:rPr>
          <w:rFonts w:hint="eastAsia" w:ascii="宋体" w:hAnsi="宋体" w:eastAsia="宋体"/>
          <w:b/>
          <w:color w:val="auto"/>
          <w:kern w:val="2"/>
          <w:sz w:val="52"/>
          <w:szCs w:val="48"/>
          <w:highlight w:val="none"/>
          <w:lang w:val="en-US" w:eastAsia="zh-CN"/>
        </w:rPr>
      </w:pPr>
      <w:r>
        <w:rPr>
          <w:rFonts w:hint="eastAsia" w:ascii="宋体" w:hAnsi="宋体" w:eastAsia="宋体"/>
          <w:b/>
          <w:color w:val="auto"/>
          <w:kern w:val="2"/>
          <w:sz w:val="52"/>
          <w:szCs w:val="48"/>
          <w:highlight w:val="none"/>
          <w:lang w:val="en-US" w:eastAsia="zh-CN"/>
        </w:rPr>
        <w:t>合整治项目</w:t>
      </w:r>
      <w:r>
        <w:rPr>
          <w:rFonts w:hint="eastAsia" w:ascii="宋体" w:hAnsi="宋体" w:eastAsia="宋体"/>
          <w:b/>
          <w:color w:val="auto"/>
          <w:kern w:val="2"/>
          <w:sz w:val="52"/>
          <w:szCs w:val="48"/>
          <w:highlight w:val="none"/>
          <w:lang w:eastAsia="zh-CN"/>
        </w:rPr>
        <w:t>设计施工总承包</w:t>
      </w:r>
    </w:p>
    <w:p w14:paraId="43BD1F23">
      <w:pPr>
        <w:pStyle w:val="20"/>
        <w:spacing w:line="360" w:lineRule="auto"/>
        <w:rPr>
          <w:color w:val="auto"/>
          <w:highlight w:val="none"/>
          <w:lang w:val="en-US"/>
        </w:rPr>
      </w:pPr>
    </w:p>
    <w:p w14:paraId="3F29CDAD">
      <w:pPr>
        <w:rPr>
          <w:color w:val="auto"/>
          <w:highlight w:val="none"/>
          <w:lang w:val="en-US"/>
        </w:rPr>
      </w:pPr>
    </w:p>
    <w:p w14:paraId="595EAE1D">
      <w:pPr>
        <w:pStyle w:val="20"/>
        <w:spacing w:line="360" w:lineRule="auto"/>
        <w:rPr>
          <w:color w:val="auto"/>
          <w:highlight w:val="none"/>
        </w:rPr>
      </w:pPr>
    </w:p>
    <w:p w14:paraId="1949DB3B">
      <w:pPr>
        <w:pStyle w:val="20"/>
        <w:spacing w:line="360" w:lineRule="auto"/>
        <w:rPr>
          <w:color w:val="auto"/>
          <w:highlight w:val="none"/>
        </w:rPr>
      </w:pPr>
    </w:p>
    <w:p w14:paraId="39092318">
      <w:pPr>
        <w:spacing w:line="360" w:lineRule="auto"/>
        <w:jc w:val="center"/>
        <w:rPr>
          <w:rFonts w:ascii="宋体" w:hAnsi="宋体"/>
          <w:color w:val="auto"/>
          <w:kern w:val="1"/>
          <w:sz w:val="52"/>
          <w:szCs w:val="52"/>
          <w:highlight w:val="none"/>
        </w:rPr>
      </w:pPr>
    </w:p>
    <w:p w14:paraId="6F468A97">
      <w:pPr>
        <w:spacing w:line="360" w:lineRule="auto"/>
        <w:jc w:val="center"/>
        <w:rPr>
          <w:rFonts w:hint="eastAsia" w:ascii="宋体" w:hAnsi="宋体"/>
          <w:b/>
          <w:bCs/>
          <w:color w:val="auto"/>
          <w:kern w:val="1"/>
          <w:sz w:val="84"/>
          <w:szCs w:val="84"/>
          <w:highlight w:val="none"/>
        </w:rPr>
      </w:pPr>
      <w:r>
        <w:rPr>
          <w:rFonts w:hint="eastAsia" w:ascii="宋体" w:hAnsi="宋体"/>
          <w:b/>
          <w:bCs/>
          <w:color w:val="auto"/>
          <w:kern w:val="1"/>
          <w:sz w:val="84"/>
          <w:szCs w:val="84"/>
          <w:highlight w:val="none"/>
        </w:rPr>
        <w:t>招 标 文 件</w:t>
      </w:r>
    </w:p>
    <w:p w14:paraId="0B80797A">
      <w:pPr>
        <w:spacing w:line="360" w:lineRule="auto"/>
        <w:jc w:val="center"/>
        <w:rPr>
          <w:rFonts w:ascii="宋体" w:hAnsi="宋体"/>
          <w:color w:val="auto"/>
          <w:kern w:val="1"/>
          <w:sz w:val="48"/>
          <w:szCs w:val="21"/>
          <w:highlight w:val="none"/>
        </w:rPr>
      </w:pPr>
    </w:p>
    <w:p w14:paraId="055968E7">
      <w:pPr>
        <w:spacing w:line="360" w:lineRule="auto"/>
        <w:jc w:val="center"/>
        <w:rPr>
          <w:rFonts w:ascii="宋体" w:hAnsi="宋体"/>
          <w:color w:val="auto"/>
          <w:kern w:val="1"/>
          <w:sz w:val="32"/>
          <w:szCs w:val="32"/>
          <w:highlight w:val="none"/>
        </w:rPr>
      </w:pPr>
    </w:p>
    <w:p w14:paraId="03B617B0">
      <w:pPr>
        <w:pStyle w:val="20"/>
        <w:spacing w:line="360" w:lineRule="auto"/>
        <w:rPr>
          <w:color w:val="auto"/>
          <w:highlight w:val="none"/>
        </w:rPr>
      </w:pPr>
    </w:p>
    <w:p w14:paraId="31E7F9BA">
      <w:pPr>
        <w:spacing w:line="360" w:lineRule="auto"/>
        <w:rPr>
          <w:rFonts w:ascii="宋体" w:hAnsi="宋体"/>
          <w:color w:val="auto"/>
          <w:kern w:val="1"/>
          <w:highlight w:val="none"/>
        </w:rPr>
      </w:pPr>
    </w:p>
    <w:p w14:paraId="09E7AC82">
      <w:pPr>
        <w:pStyle w:val="20"/>
        <w:rPr>
          <w:color w:val="auto"/>
          <w:highlight w:val="none"/>
          <w:lang w:val="en-US"/>
        </w:rPr>
      </w:pPr>
    </w:p>
    <w:p w14:paraId="1217C1E6">
      <w:pPr>
        <w:pStyle w:val="20"/>
        <w:rPr>
          <w:color w:val="auto"/>
          <w:highlight w:val="none"/>
          <w:lang w:val="en-US"/>
        </w:rPr>
      </w:pPr>
    </w:p>
    <w:p w14:paraId="568FB698">
      <w:pPr>
        <w:pStyle w:val="20"/>
        <w:rPr>
          <w:color w:val="auto"/>
          <w:highlight w:val="none"/>
          <w:lang w:val="en-US"/>
        </w:rPr>
      </w:pPr>
    </w:p>
    <w:p w14:paraId="7137C31E">
      <w:pPr>
        <w:pStyle w:val="20"/>
        <w:rPr>
          <w:color w:val="auto"/>
          <w:highlight w:val="none"/>
          <w:lang w:val="en-US"/>
        </w:rPr>
      </w:pPr>
    </w:p>
    <w:p w14:paraId="272D1B28">
      <w:pPr>
        <w:spacing w:line="360" w:lineRule="auto"/>
        <w:ind w:firstLine="321" w:firstLineChars="100"/>
        <w:jc w:val="left"/>
        <w:rPr>
          <w:rFonts w:hint="eastAsia" w:ascii="宋体" w:hAnsi="宋体"/>
          <w:b/>
          <w:color w:val="auto"/>
          <w:kern w:val="1"/>
          <w:sz w:val="32"/>
          <w:szCs w:val="32"/>
          <w:highlight w:val="none"/>
          <w:lang w:eastAsia="zh-CN"/>
        </w:rPr>
      </w:pPr>
      <w:r>
        <w:rPr>
          <w:rFonts w:hint="eastAsia" w:ascii="宋体" w:hAnsi="宋体"/>
          <w:b/>
          <w:color w:val="auto"/>
          <w:kern w:val="1"/>
          <w:sz w:val="32"/>
          <w:szCs w:val="32"/>
          <w:highlight w:val="none"/>
          <w:lang w:eastAsia="zh-CN"/>
        </w:rPr>
        <w:t>　</w:t>
      </w:r>
      <w:r>
        <w:rPr>
          <w:rFonts w:hint="eastAsia" w:ascii="宋体" w:hAnsi="宋体"/>
          <w:b/>
          <w:color w:val="auto"/>
          <w:kern w:val="1"/>
          <w:sz w:val="32"/>
          <w:szCs w:val="32"/>
          <w:highlight w:val="none"/>
        </w:rPr>
        <w:t>招   标   人：</w:t>
      </w:r>
      <w:r>
        <w:rPr>
          <w:rFonts w:hint="eastAsia" w:ascii="宋体" w:hAnsi="宋体" w:eastAsia="宋体"/>
          <w:b/>
          <w:color w:val="auto"/>
          <w:sz w:val="32"/>
          <w:szCs w:val="32"/>
          <w:highlight w:val="none"/>
          <w:lang w:val="en-US" w:eastAsia="zh-CN"/>
        </w:rPr>
        <w:t>广州市增城区人民政府永宁街道办事处</w:t>
      </w:r>
    </w:p>
    <w:p w14:paraId="3C790BA5">
      <w:pPr>
        <w:spacing w:line="360" w:lineRule="auto"/>
        <w:ind w:firstLine="707" w:firstLineChars="220"/>
        <w:rPr>
          <w:rFonts w:hint="eastAsia" w:ascii="宋体" w:hAnsi="宋体"/>
          <w:b/>
          <w:color w:val="auto"/>
          <w:kern w:val="1"/>
          <w:sz w:val="32"/>
          <w:szCs w:val="32"/>
          <w:highlight w:val="none"/>
        </w:rPr>
      </w:pPr>
      <w:bookmarkStart w:id="0" w:name="_Hlk69809718"/>
      <w:bookmarkEnd w:id="0"/>
      <w:r>
        <w:rPr>
          <w:rFonts w:hint="eastAsia" w:ascii="宋体" w:hAnsi="宋体"/>
          <w:b/>
          <w:color w:val="auto"/>
          <w:kern w:val="1"/>
          <w:sz w:val="32"/>
          <w:szCs w:val="32"/>
          <w:highlight w:val="none"/>
        </w:rPr>
        <w:t>招标代理机</w:t>
      </w:r>
      <w:r>
        <w:rPr>
          <w:rFonts w:hint="eastAsia" w:ascii="宋体" w:hAnsi="宋体" w:eastAsia="宋体"/>
          <w:b/>
          <w:color w:val="auto"/>
          <w:kern w:val="1"/>
          <w:sz w:val="32"/>
          <w:szCs w:val="32"/>
          <w:highlight w:val="none"/>
          <w:lang w:val="zh-CN"/>
        </w:rPr>
        <w:t>构：</w:t>
      </w:r>
      <w:r>
        <w:rPr>
          <w:rFonts w:hint="eastAsia" w:ascii="宋体" w:hAnsi="宋体"/>
          <w:b/>
          <w:color w:val="auto"/>
          <w:sz w:val="32"/>
          <w:szCs w:val="32"/>
          <w:highlight w:val="none"/>
          <w:lang w:eastAsia="zh-CN"/>
        </w:rPr>
        <w:t>广州建筑工程监理有限公司</w:t>
      </w:r>
    </w:p>
    <w:p w14:paraId="2177CCBF">
      <w:pPr>
        <w:pStyle w:val="24"/>
        <w:spacing w:line="360" w:lineRule="auto"/>
        <w:ind w:firstLine="643" w:firstLineChars="200"/>
        <w:rPr>
          <w:rFonts w:hint="eastAsia" w:ascii="宋体" w:hAnsi="宋体"/>
          <w:b/>
          <w:color w:val="auto"/>
          <w:kern w:val="2"/>
          <w:sz w:val="32"/>
          <w:szCs w:val="32"/>
          <w:highlight w:val="none"/>
        </w:rPr>
      </w:pPr>
      <w:bookmarkStart w:id="1" w:name="_Toc152042286"/>
      <w:bookmarkEnd w:id="1"/>
      <w:bookmarkStart w:id="2" w:name="_Toc247527532"/>
      <w:bookmarkEnd w:id="2"/>
      <w:bookmarkStart w:id="3" w:name="_Toc367729707"/>
      <w:bookmarkEnd w:id="3"/>
      <w:bookmarkStart w:id="4" w:name="_Toc300834926"/>
      <w:bookmarkEnd w:id="4"/>
      <w:bookmarkStart w:id="5" w:name="_Toc144974478"/>
      <w:bookmarkEnd w:id="5"/>
      <w:r>
        <w:rPr>
          <w:rFonts w:hint="eastAsia" w:ascii="宋体" w:hAnsi="宋体"/>
          <w:b/>
          <w:color w:val="auto"/>
          <w:kern w:val="2"/>
          <w:sz w:val="32"/>
          <w:szCs w:val="32"/>
          <w:highlight w:val="none"/>
        </w:rPr>
        <w:t xml:space="preserve">日 </w:t>
      </w:r>
      <w:r>
        <w:rPr>
          <w:rFonts w:ascii="宋体" w:hAnsi="宋体"/>
          <w:b/>
          <w:color w:val="auto"/>
          <w:kern w:val="2"/>
          <w:sz w:val="32"/>
          <w:szCs w:val="32"/>
          <w:highlight w:val="none"/>
        </w:rPr>
        <w:t xml:space="preserve">    </w:t>
      </w:r>
      <w:r>
        <w:rPr>
          <w:rFonts w:hint="eastAsia" w:ascii="宋体" w:hAnsi="宋体"/>
          <w:b/>
          <w:color w:val="auto"/>
          <w:kern w:val="2"/>
          <w:sz w:val="32"/>
          <w:szCs w:val="32"/>
          <w:highlight w:val="none"/>
          <w:lang w:val="en-US" w:eastAsia="zh-CN"/>
        </w:rPr>
        <w:t xml:space="preserve"> </w:t>
      </w:r>
      <w:r>
        <w:rPr>
          <w:rFonts w:ascii="宋体" w:hAnsi="宋体"/>
          <w:b/>
          <w:color w:val="auto"/>
          <w:kern w:val="2"/>
          <w:sz w:val="32"/>
          <w:szCs w:val="32"/>
          <w:highlight w:val="none"/>
        </w:rPr>
        <w:t xml:space="preserve">   </w:t>
      </w:r>
      <w:r>
        <w:rPr>
          <w:rFonts w:hint="eastAsia" w:ascii="宋体" w:hAnsi="宋体"/>
          <w:b/>
          <w:color w:val="auto"/>
          <w:kern w:val="2"/>
          <w:sz w:val="32"/>
          <w:szCs w:val="32"/>
          <w:highlight w:val="none"/>
        </w:rPr>
        <w:t>期：</w:t>
      </w:r>
      <w:r>
        <w:rPr>
          <w:rFonts w:hint="eastAsia" w:ascii="宋体" w:hAnsi="宋体"/>
          <w:b/>
          <w:color w:val="auto"/>
          <w:kern w:val="1"/>
          <w:sz w:val="32"/>
          <w:szCs w:val="32"/>
          <w:highlight w:val="none"/>
        </w:rPr>
        <w:t>202</w:t>
      </w:r>
      <w:r>
        <w:rPr>
          <w:rFonts w:hint="eastAsia" w:ascii="宋体" w:hAnsi="宋体"/>
          <w:b/>
          <w:color w:val="auto"/>
          <w:kern w:val="1"/>
          <w:sz w:val="32"/>
          <w:szCs w:val="32"/>
          <w:highlight w:val="none"/>
          <w:lang w:val="en-US" w:eastAsia="zh-CN"/>
        </w:rPr>
        <w:t>4</w:t>
      </w:r>
      <w:r>
        <w:rPr>
          <w:rFonts w:hint="eastAsia" w:ascii="宋体" w:hAnsi="宋体"/>
          <w:b/>
          <w:color w:val="auto"/>
          <w:kern w:val="1"/>
          <w:sz w:val="32"/>
          <w:szCs w:val="32"/>
          <w:highlight w:val="none"/>
        </w:rPr>
        <w:t>年</w:t>
      </w:r>
      <w:r>
        <w:rPr>
          <w:rFonts w:hint="eastAsia" w:ascii="宋体" w:hAnsi="宋体"/>
          <w:b/>
          <w:color w:val="auto"/>
          <w:kern w:val="1"/>
          <w:sz w:val="32"/>
          <w:szCs w:val="32"/>
          <w:highlight w:val="none"/>
          <w:lang w:val="en-US" w:eastAsia="zh-CN"/>
        </w:rPr>
        <w:t>11</w:t>
      </w:r>
      <w:r>
        <w:rPr>
          <w:rFonts w:hint="eastAsia" w:ascii="宋体" w:hAnsi="宋体"/>
          <w:b/>
          <w:color w:val="auto"/>
          <w:kern w:val="1"/>
          <w:sz w:val="32"/>
          <w:szCs w:val="32"/>
          <w:highlight w:val="none"/>
        </w:rPr>
        <w:t>月</w:t>
      </w:r>
    </w:p>
    <w:p w14:paraId="1C6107FB">
      <w:pPr>
        <w:pStyle w:val="24"/>
        <w:spacing w:line="360" w:lineRule="auto"/>
        <w:ind w:firstLine="3092" w:firstLineChars="1100"/>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目     录</w:t>
      </w:r>
    </w:p>
    <w:p w14:paraId="73FFAB51">
      <w:pPr>
        <w:pStyle w:val="23"/>
        <w:tabs>
          <w:tab w:val="right" w:leader="dot" w:pos="9040"/>
        </w:tabs>
        <w:rPr>
          <w:rFonts w:hint="eastAsia" w:ascii="宋体" w:hAnsi="宋体"/>
          <w:color w:val="auto"/>
          <w:sz w:val="22"/>
          <w:szCs w:val="22"/>
          <w:highlight w:val="none"/>
        </w:rPr>
      </w:pPr>
      <w:bookmarkStart w:id="6" w:name="_Toc247513932"/>
      <w:bookmarkEnd w:id="6"/>
      <w:bookmarkStart w:id="7" w:name="_Toc247527533"/>
      <w:bookmarkEnd w:id="7"/>
      <w:bookmarkStart w:id="8" w:name="_Toc144974479"/>
      <w:bookmarkEnd w:id="8"/>
      <w:bookmarkStart w:id="9" w:name="_Toc152042287"/>
      <w:bookmarkEnd w:id="9"/>
      <w:bookmarkStart w:id="10" w:name="_Toc152045511"/>
      <w:bookmarkEnd w:id="10"/>
      <w:r>
        <w:rPr>
          <w:rFonts w:hint="eastAsia" w:ascii="宋体" w:hAnsi="宋体"/>
          <w:color w:val="auto"/>
          <w:sz w:val="22"/>
          <w:szCs w:val="22"/>
          <w:highlight w:val="none"/>
        </w:rPr>
        <w:fldChar w:fldCharType="begin"/>
      </w:r>
      <w:r>
        <w:rPr>
          <w:rFonts w:hint="eastAsia" w:ascii="宋体" w:hAnsi="宋体"/>
          <w:color w:val="auto"/>
          <w:sz w:val="22"/>
          <w:szCs w:val="22"/>
          <w:highlight w:val="none"/>
        </w:rPr>
        <w:instrText xml:space="preserve"> TOC \o </w:instrText>
      </w:r>
      <w:r>
        <w:rPr>
          <w:rFonts w:hint="eastAsia" w:ascii="宋体" w:hAnsi="宋体"/>
          <w:color w:val="auto"/>
          <w:sz w:val="22"/>
          <w:szCs w:val="22"/>
          <w:highlight w:val="none"/>
        </w:rPr>
        <w:fldChar w:fldCharType="separate"/>
      </w:r>
      <w:r>
        <w:rPr>
          <w:rFonts w:ascii="宋体" w:hAnsi="宋体"/>
          <w:color w:val="auto"/>
          <w:highlight w:val="none"/>
        </w:rPr>
        <w:t xml:space="preserve">第一章 </w:t>
      </w:r>
      <w:r>
        <w:rPr>
          <w:rFonts w:hint="eastAsia" w:ascii="宋体" w:hAnsi="宋体"/>
          <w:color w:val="auto"/>
          <w:highlight w:val="none"/>
        </w:rPr>
        <w:t>招标公告（另册）</w:t>
      </w:r>
      <w:r>
        <w:rPr>
          <w:color w:val="auto"/>
          <w:highlight w:val="none"/>
        </w:rPr>
        <w:tab/>
      </w:r>
      <w:r>
        <w:rPr>
          <w:color w:val="auto"/>
          <w:highlight w:val="none"/>
        </w:rPr>
        <w:fldChar w:fldCharType="begin"/>
      </w:r>
      <w:r>
        <w:rPr>
          <w:color w:val="auto"/>
          <w:highlight w:val="none"/>
        </w:rPr>
        <w:instrText xml:space="preserve"> PAGEREF _Toc31100 \h </w:instrText>
      </w:r>
      <w:r>
        <w:rPr>
          <w:color w:val="auto"/>
          <w:highlight w:val="none"/>
        </w:rPr>
        <w:fldChar w:fldCharType="separate"/>
      </w:r>
      <w:r>
        <w:rPr>
          <w:color w:val="auto"/>
          <w:highlight w:val="none"/>
        </w:rPr>
        <w:t>2</w:t>
      </w:r>
      <w:r>
        <w:rPr>
          <w:color w:val="auto"/>
          <w:highlight w:val="none"/>
        </w:rPr>
        <w:fldChar w:fldCharType="end"/>
      </w:r>
    </w:p>
    <w:p w14:paraId="41E06757">
      <w:pPr>
        <w:pStyle w:val="23"/>
        <w:tabs>
          <w:tab w:val="right" w:leader="dot" w:pos="9040"/>
        </w:tabs>
        <w:rPr>
          <w:rFonts w:hint="eastAsia"/>
          <w:color w:val="auto"/>
          <w:highlight w:val="none"/>
        </w:rPr>
      </w:pPr>
      <w:r>
        <w:rPr>
          <w:rFonts w:hint="eastAsia"/>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_Toc10361 \h </w:instrText>
      </w:r>
      <w:r>
        <w:rPr>
          <w:color w:val="auto"/>
          <w:highlight w:val="none"/>
        </w:rPr>
        <w:fldChar w:fldCharType="separate"/>
      </w:r>
      <w:r>
        <w:rPr>
          <w:color w:val="auto"/>
          <w:highlight w:val="none"/>
        </w:rPr>
        <w:t>3</w:t>
      </w:r>
      <w:r>
        <w:rPr>
          <w:color w:val="auto"/>
          <w:highlight w:val="none"/>
        </w:rPr>
        <w:fldChar w:fldCharType="end"/>
      </w:r>
    </w:p>
    <w:p w14:paraId="68CB1770">
      <w:pPr>
        <w:pStyle w:val="23"/>
        <w:tabs>
          <w:tab w:val="right" w:leader="dot" w:pos="9040"/>
        </w:tabs>
        <w:rPr>
          <w:rFonts w:hint="eastAsia" w:ascii="宋体" w:hAnsi="宋体"/>
          <w:color w:val="auto"/>
          <w:kern w:val="1"/>
          <w:highlight w:val="none"/>
        </w:rPr>
      </w:pPr>
      <w:r>
        <w:rPr>
          <w:rFonts w:hint="eastAsia" w:ascii="宋体" w:hAnsi="宋体"/>
          <w:color w:val="auto"/>
          <w:kern w:val="1"/>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_Toc27248 \h </w:instrText>
      </w:r>
      <w:r>
        <w:rPr>
          <w:color w:val="auto"/>
          <w:highlight w:val="none"/>
        </w:rPr>
        <w:fldChar w:fldCharType="separate"/>
      </w:r>
      <w:r>
        <w:rPr>
          <w:color w:val="auto"/>
          <w:highlight w:val="none"/>
        </w:rPr>
        <w:t>26</w:t>
      </w:r>
      <w:r>
        <w:rPr>
          <w:color w:val="auto"/>
          <w:highlight w:val="none"/>
        </w:rPr>
        <w:fldChar w:fldCharType="end"/>
      </w:r>
    </w:p>
    <w:p w14:paraId="783C96EA">
      <w:pPr>
        <w:pStyle w:val="23"/>
        <w:tabs>
          <w:tab w:val="right" w:leader="dot" w:pos="9040"/>
        </w:tabs>
        <w:rPr>
          <w:rFonts w:hint="eastAsia" w:ascii="宋体" w:hAnsi="宋体"/>
          <w:color w:val="auto"/>
          <w:kern w:val="1"/>
          <w:highlight w:val="none"/>
        </w:rPr>
      </w:pPr>
      <w:r>
        <w:rPr>
          <w:rFonts w:hint="eastAsia" w:ascii="宋体" w:hAnsi="宋体"/>
          <w:color w:val="auto"/>
          <w:kern w:val="1"/>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_Toc22345 \h </w:instrText>
      </w:r>
      <w:r>
        <w:rPr>
          <w:color w:val="auto"/>
          <w:highlight w:val="none"/>
        </w:rPr>
        <w:fldChar w:fldCharType="separate"/>
      </w:r>
      <w:r>
        <w:rPr>
          <w:color w:val="auto"/>
          <w:highlight w:val="none"/>
        </w:rPr>
        <w:t>38</w:t>
      </w:r>
      <w:r>
        <w:rPr>
          <w:color w:val="auto"/>
          <w:highlight w:val="none"/>
        </w:rPr>
        <w:fldChar w:fldCharType="end"/>
      </w:r>
    </w:p>
    <w:p w14:paraId="0445DDA2">
      <w:pPr>
        <w:pStyle w:val="23"/>
        <w:tabs>
          <w:tab w:val="right" w:leader="dot" w:pos="9040"/>
        </w:tabs>
        <w:rPr>
          <w:rFonts w:hint="eastAsia" w:ascii="宋体" w:hAnsi="宋体"/>
          <w:color w:val="auto"/>
          <w:kern w:val="1"/>
          <w:highlight w:val="none"/>
        </w:rPr>
      </w:pPr>
      <w:r>
        <w:rPr>
          <w:rFonts w:hint="eastAsia" w:ascii="宋体" w:hAnsi="宋体"/>
          <w:color w:val="auto"/>
          <w:kern w:val="1"/>
          <w:highlight w:val="none"/>
        </w:rPr>
        <w:t>第五章 发包人要求</w:t>
      </w:r>
      <w:r>
        <w:rPr>
          <w:color w:val="auto"/>
          <w:highlight w:val="none"/>
        </w:rPr>
        <w:tab/>
      </w:r>
      <w:r>
        <w:rPr>
          <w:color w:val="auto"/>
          <w:highlight w:val="none"/>
        </w:rPr>
        <w:fldChar w:fldCharType="begin"/>
      </w:r>
      <w:r>
        <w:rPr>
          <w:color w:val="auto"/>
          <w:highlight w:val="none"/>
        </w:rPr>
        <w:instrText xml:space="preserve"> PAGEREF _Toc3417 \h </w:instrText>
      </w:r>
      <w:r>
        <w:rPr>
          <w:color w:val="auto"/>
          <w:highlight w:val="none"/>
        </w:rPr>
        <w:fldChar w:fldCharType="separate"/>
      </w:r>
      <w:r>
        <w:rPr>
          <w:color w:val="auto"/>
          <w:highlight w:val="none"/>
        </w:rPr>
        <w:t>38</w:t>
      </w:r>
      <w:r>
        <w:rPr>
          <w:color w:val="auto"/>
          <w:highlight w:val="none"/>
        </w:rPr>
        <w:fldChar w:fldCharType="end"/>
      </w:r>
    </w:p>
    <w:p w14:paraId="557F6A6F">
      <w:pPr>
        <w:pStyle w:val="23"/>
        <w:tabs>
          <w:tab w:val="right" w:leader="dot" w:pos="9040"/>
        </w:tabs>
        <w:rPr>
          <w:rFonts w:hint="eastAsia"/>
          <w:color w:val="auto"/>
          <w:highlight w:val="none"/>
        </w:rPr>
      </w:pPr>
      <w:r>
        <w:rPr>
          <w:rFonts w:hint="eastAsia"/>
          <w:color w:val="auto"/>
          <w:highlight w:val="none"/>
        </w:rPr>
        <w:t xml:space="preserve">第六章 </w:t>
      </w:r>
      <w:r>
        <w:rPr>
          <w:rFonts w:hint="eastAsia" w:ascii="宋体" w:hAnsi="宋体"/>
          <w:color w:val="auto"/>
          <w:highlight w:val="none"/>
        </w:rPr>
        <w:t>发包人</w:t>
      </w:r>
      <w:r>
        <w:rPr>
          <w:rFonts w:hint="eastAsia"/>
          <w:color w:val="auto"/>
          <w:highlight w:val="none"/>
        </w:rPr>
        <w:t>提供的资料</w:t>
      </w:r>
      <w:r>
        <w:rPr>
          <w:color w:val="auto"/>
          <w:highlight w:val="none"/>
        </w:rPr>
        <w:tab/>
      </w:r>
      <w:r>
        <w:rPr>
          <w:color w:val="auto"/>
          <w:highlight w:val="none"/>
        </w:rPr>
        <w:fldChar w:fldCharType="begin"/>
      </w:r>
      <w:r>
        <w:rPr>
          <w:color w:val="auto"/>
          <w:highlight w:val="none"/>
        </w:rPr>
        <w:instrText xml:space="preserve"> PAGEREF _Toc7370 \h </w:instrText>
      </w:r>
      <w:r>
        <w:rPr>
          <w:color w:val="auto"/>
          <w:highlight w:val="none"/>
        </w:rPr>
        <w:fldChar w:fldCharType="separate"/>
      </w:r>
      <w:r>
        <w:rPr>
          <w:color w:val="auto"/>
          <w:highlight w:val="none"/>
        </w:rPr>
        <w:t>40</w:t>
      </w:r>
      <w:r>
        <w:rPr>
          <w:color w:val="auto"/>
          <w:highlight w:val="none"/>
        </w:rPr>
        <w:fldChar w:fldCharType="end"/>
      </w:r>
    </w:p>
    <w:p w14:paraId="2CCEAE0B">
      <w:pPr>
        <w:pStyle w:val="23"/>
        <w:tabs>
          <w:tab w:val="right" w:leader="dot" w:pos="9040"/>
        </w:tabs>
        <w:rPr>
          <w:rFonts w:hint="eastAsia"/>
          <w:color w:val="auto"/>
          <w:highlight w:val="none"/>
        </w:rPr>
      </w:pPr>
      <w:r>
        <w:rPr>
          <w:rFonts w:hint="eastAsia"/>
          <w:color w:val="auto"/>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_Toc1542 \h </w:instrText>
      </w:r>
      <w:r>
        <w:rPr>
          <w:color w:val="auto"/>
          <w:highlight w:val="none"/>
        </w:rPr>
        <w:fldChar w:fldCharType="separate"/>
      </w:r>
      <w:r>
        <w:rPr>
          <w:color w:val="auto"/>
          <w:highlight w:val="none"/>
        </w:rPr>
        <w:t>41</w:t>
      </w:r>
      <w:r>
        <w:rPr>
          <w:color w:val="auto"/>
          <w:highlight w:val="none"/>
        </w:rPr>
        <w:fldChar w:fldCharType="end"/>
      </w:r>
    </w:p>
    <w:p w14:paraId="6EBD3441">
      <w:pPr>
        <w:pStyle w:val="23"/>
        <w:tabs>
          <w:tab w:val="right" w:leader="dot" w:pos="9297"/>
        </w:tabs>
        <w:spacing w:line="360" w:lineRule="auto"/>
        <w:rPr>
          <w:rFonts w:hint="eastAsia" w:ascii="宋体" w:hAnsi="宋体"/>
          <w:color w:val="auto"/>
          <w:szCs w:val="22"/>
          <w:highlight w:val="none"/>
        </w:rPr>
      </w:pPr>
      <w:bookmarkStart w:id="11" w:name="_Toc247527551"/>
      <w:bookmarkEnd w:id="11"/>
      <w:bookmarkStart w:id="12" w:name="_Toc144974494"/>
      <w:bookmarkEnd w:id="12"/>
      <w:bookmarkStart w:id="13" w:name="_Toc443505819"/>
      <w:bookmarkEnd w:id="13"/>
      <w:bookmarkStart w:id="14" w:name="_Toc152042303"/>
      <w:bookmarkEnd w:id="14"/>
      <w:bookmarkStart w:id="15" w:name="_Toc247527550"/>
      <w:bookmarkEnd w:id="15"/>
      <w:bookmarkStart w:id="16" w:name="_Toc152042302"/>
      <w:bookmarkEnd w:id="16"/>
      <w:bookmarkStart w:id="17" w:name="_Toc152045527"/>
      <w:bookmarkEnd w:id="17"/>
      <w:bookmarkStart w:id="18" w:name="_Toc247513950"/>
      <w:bookmarkEnd w:id="18"/>
      <w:bookmarkStart w:id="19" w:name="_Toc247513949"/>
      <w:bookmarkEnd w:id="19"/>
      <w:bookmarkStart w:id="20" w:name="_Toc144974495"/>
      <w:bookmarkEnd w:id="20"/>
      <w:bookmarkStart w:id="21" w:name="_Toc152045526"/>
      <w:bookmarkEnd w:id="21"/>
      <w:r>
        <w:rPr>
          <w:rFonts w:hint="eastAsia" w:ascii="宋体" w:hAnsi="宋体"/>
          <w:color w:val="auto"/>
          <w:szCs w:val="22"/>
          <w:highlight w:val="none"/>
        </w:rPr>
        <w:fldChar w:fldCharType="end"/>
      </w:r>
    </w:p>
    <w:p w14:paraId="0EE01205">
      <w:pPr>
        <w:pStyle w:val="8"/>
        <w:numPr>
          <w:ilvl w:val="0"/>
          <w:numId w:val="1"/>
        </w:numPr>
        <w:spacing w:line="360" w:lineRule="auto"/>
        <w:jc w:val="center"/>
        <w:rPr>
          <w:rFonts w:ascii="宋体" w:hAnsi="宋体"/>
          <w:color w:val="auto"/>
          <w:highlight w:val="none"/>
        </w:rPr>
      </w:pPr>
      <w:bookmarkStart w:id="22" w:name="_Toc5620293"/>
      <w:bookmarkEnd w:id="22"/>
      <w:bookmarkStart w:id="23" w:name="_Toc31100"/>
      <w:bookmarkEnd w:id="23"/>
      <w:r>
        <w:rPr>
          <w:rFonts w:ascii="宋体" w:hAnsi="宋体"/>
          <w:color w:val="auto"/>
          <w:highlight w:val="none"/>
        </w:rPr>
        <w:br w:type="page"/>
      </w:r>
      <w:r>
        <w:rPr>
          <w:rFonts w:hint="eastAsia" w:ascii="宋体" w:hAnsi="宋体"/>
          <w:color w:val="auto"/>
          <w:highlight w:val="none"/>
        </w:rPr>
        <w:t xml:space="preserve"> 招标公告（另册）</w:t>
      </w:r>
    </w:p>
    <w:p w14:paraId="736B9898">
      <w:pPr>
        <w:pStyle w:val="20"/>
        <w:spacing w:line="360" w:lineRule="auto"/>
        <w:jc w:val="center"/>
        <w:rPr>
          <w:color w:val="auto"/>
          <w:highlight w:val="none"/>
        </w:rPr>
      </w:pPr>
      <w:bookmarkStart w:id="24" w:name="_Toc10361"/>
      <w:bookmarkEnd w:id="24"/>
      <w:bookmarkStart w:id="25" w:name="_Toc12275"/>
      <w:bookmarkEnd w:id="25"/>
      <w:bookmarkStart w:id="26" w:name="_Toc5620294"/>
      <w:bookmarkEnd w:id="26"/>
      <w:r>
        <w:rPr>
          <w:color w:val="auto"/>
          <w:highlight w:val="none"/>
        </w:rPr>
        <w:br w:type="page"/>
      </w:r>
      <w:r>
        <w:rPr>
          <w:rStyle w:val="14"/>
          <w:rFonts w:hint="eastAsia"/>
          <w:color w:val="auto"/>
          <w:highlight w:val="none"/>
        </w:rPr>
        <w:t>第二章 投标人须知</w:t>
      </w:r>
    </w:p>
    <w:p w14:paraId="6961B387">
      <w:pPr>
        <w:pStyle w:val="9"/>
        <w:spacing w:before="100" w:after="100" w:line="360" w:lineRule="auto"/>
        <w:jc w:val="center"/>
        <w:rPr>
          <w:rFonts w:hint="eastAsia" w:ascii="宋体" w:hAnsi="宋体" w:eastAsia="宋体"/>
          <w:color w:val="auto"/>
          <w:highlight w:val="none"/>
          <w:lang w:val="zh-CN"/>
        </w:rPr>
      </w:pPr>
      <w:bookmarkStart w:id="27" w:name="_Toc14456"/>
      <w:bookmarkEnd w:id="27"/>
      <w:bookmarkStart w:id="28" w:name="_Toc6703"/>
      <w:bookmarkEnd w:id="28"/>
      <w:bookmarkStart w:id="29" w:name="_Toc18684"/>
      <w:bookmarkEnd w:id="29"/>
      <w:bookmarkStart w:id="30" w:name="_Toc5620295"/>
      <w:bookmarkEnd w:id="30"/>
      <w:bookmarkStart w:id="31" w:name="_Toc443505821"/>
      <w:bookmarkEnd w:id="31"/>
      <w:bookmarkStart w:id="32" w:name="_Toc357089510"/>
      <w:bookmarkEnd w:id="32"/>
      <w:bookmarkStart w:id="33" w:name="_Toc30749"/>
      <w:bookmarkEnd w:id="33"/>
      <w:bookmarkStart w:id="34" w:name="_Toc247513951"/>
      <w:bookmarkEnd w:id="34"/>
      <w:bookmarkStart w:id="35" w:name="_Toc362816479"/>
      <w:bookmarkEnd w:id="35"/>
      <w:bookmarkStart w:id="36" w:name="_Toc247527552"/>
      <w:bookmarkEnd w:id="36"/>
      <w:bookmarkStart w:id="37" w:name="_Toc300834948"/>
      <w:bookmarkEnd w:id="37"/>
      <w:bookmarkStart w:id="38" w:name="_Toc152045528"/>
      <w:bookmarkEnd w:id="38"/>
      <w:bookmarkStart w:id="39" w:name="_Toc144974496"/>
      <w:bookmarkEnd w:id="39"/>
      <w:bookmarkStart w:id="40" w:name="_Toc27203"/>
      <w:bookmarkEnd w:id="40"/>
      <w:bookmarkStart w:id="41" w:name="_Toc152042304"/>
      <w:bookmarkEnd w:id="41"/>
      <w:bookmarkStart w:id="42" w:name="_Toc11050"/>
      <w:bookmarkEnd w:id="42"/>
      <w:r>
        <w:rPr>
          <w:rFonts w:hint="eastAsia" w:ascii="宋体" w:hAnsi="宋体" w:eastAsia="宋体"/>
          <w:color w:val="auto"/>
          <w:highlight w:val="none"/>
          <w:lang w:val="zh-CN"/>
        </w:rPr>
        <w:t>投标人须知前附表</w:t>
      </w:r>
    </w:p>
    <w:tbl>
      <w:tblPr>
        <w:tblStyle w:val="5"/>
        <w:tblW w:w="9592" w:type="dxa"/>
        <w:jc w:val="center"/>
        <w:tblLayout w:type="fixed"/>
        <w:tblCellMar>
          <w:top w:w="0" w:type="dxa"/>
          <w:left w:w="108" w:type="dxa"/>
          <w:bottom w:w="0" w:type="dxa"/>
          <w:right w:w="108" w:type="dxa"/>
        </w:tblCellMar>
      </w:tblPr>
      <w:tblGrid>
        <w:gridCol w:w="884"/>
        <w:gridCol w:w="2330"/>
        <w:gridCol w:w="6378"/>
      </w:tblGrid>
      <w:tr w14:paraId="3CADA661">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8E36B5E">
            <w:pPr>
              <w:spacing w:line="360" w:lineRule="auto"/>
              <w:ind w:left="-134" w:right="-107"/>
              <w:jc w:val="center"/>
              <w:rPr>
                <w:rFonts w:hint="eastAsia" w:ascii="宋体" w:hAnsi="宋体"/>
                <w:b/>
                <w:color w:val="auto"/>
                <w:kern w:val="1"/>
                <w:szCs w:val="21"/>
                <w:highlight w:val="none"/>
              </w:rPr>
            </w:pPr>
            <w:r>
              <w:rPr>
                <w:rFonts w:hint="eastAsia" w:ascii="宋体" w:hAnsi="宋体"/>
                <w:b/>
                <w:color w:val="auto"/>
                <w:kern w:val="1"/>
                <w:szCs w:val="21"/>
                <w:highlight w:val="none"/>
              </w:rPr>
              <w:t>条款号</w:t>
            </w:r>
          </w:p>
        </w:tc>
        <w:tc>
          <w:tcPr>
            <w:tcW w:w="2330" w:type="dxa"/>
            <w:tcBorders>
              <w:top w:val="single" w:color="000000" w:sz="4" w:space="0"/>
              <w:left w:val="single" w:color="000000" w:sz="4" w:space="0"/>
              <w:bottom w:val="single" w:color="000000" w:sz="4" w:space="0"/>
              <w:right w:val="single" w:color="000000" w:sz="4" w:space="0"/>
            </w:tcBorders>
            <w:vAlign w:val="center"/>
          </w:tcPr>
          <w:p w14:paraId="3A70C8AA">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条  款  名  称</w:t>
            </w:r>
          </w:p>
        </w:tc>
        <w:tc>
          <w:tcPr>
            <w:tcW w:w="6378" w:type="dxa"/>
            <w:tcBorders>
              <w:top w:val="single" w:color="000000" w:sz="4" w:space="0"/>
              <w:left w:val="single" w:color="000000" w:sz="4" w:space="0"/>
              <w:bottom w:val="single" w:color="000000" w:sz="4" w:space="0"/>
              <w:right w:val="single" w:color="000000" w:sz="4" w:space="0"/>
            </w:tcBorders>
            <w:vAlign w:val="center"/>
          </w:tcPr>
          <w:p w14:paraId="26EF819B">
            <w:pPr>
              <w:spacing w:line="360" w:lineRule="auto"/>
              <w:rPr>
                <w:rFonts w:hint="eastAsia" w:ascii="宋体" w:hAnsi="宋体"/>
                <w:b/>
                <w:color w:val="auto"/>
                <w:kern w:val="1"/>
                <w:szCs w:val="21"/>
                <w:highlight w:val="none"/>
              </w:rPr>
            </w:pPr>
            <w:r>
              <w:rPr>
                <w:rFonts w:hint="eastAsia" w:ascii="宋体" w:hAnsi="宋体"/>
                <w:b/>
                <w:color w:val="auto"/>
                <w:kern w:val="1"/>
                <w:szCs w:val="21"/>
                <w:highlight w:val="none"/>
              </w:rPr>
              <w:t>编  列  内  容</w:t>
            </w:r>
          </w:p>
        </w:tc>
      </w:tr>
      <w:tr w14:paraId="4B891CA5">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AE78853">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1.1.2</w:t>
            </w:r>
          </w:p>
        </w:tc>
        <w:tc>
          <w:tcPr>
            <w:tcW w:w="2330" w:type="dxa"/>
            <w:tcBorders>
              <w:top w:val="single" w:color="000000" w:sz="4" w:space="0"/>
              <w:left w:val="single" w:color="000000" w:sz="4" w:space="0"/>
              <w:bottom w:val="single" w:color="000000" w:sz="4" w:space="0"/>
              <w:right w:val="single" w:color="000000" w:sz="4" w:space="0"/>
            </w:tcBorders>
            <w:vAlign w:val="center"/>
          </w:tcPr>
          <w:p w14:paraId="7D97F877">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招标人</w:t>
            </w:r>
          </w:p>
        </w:tc>
        <w:tc>
          <w:tcPr>
            <w:tcW w:w="6378" w:type="dxa"/>
            <w:tcBorders>
              <w:top w:val="single" w:color="000000" w:sz="4" w:space="0"/>
              <w:left w:val="single" w:color="000000" w:sz="4" w:space="0"/>
              <w:bottom w:val="single" w:color="000000" w:sz="4" w:space="0"/>
              <w:right w:val="single" w:color="000000" w:sz="4" w:space="0"/>
            </w:tcBorders>
            <w:vAlign w:val="center"/>
          </w:tcPr>
          <w:p w14:paraId="214FBA38">
            <w:pPr>
              <w:spacing w:line="360" w:lineRule="auto"/>
              <w:rPr>
                <w:rFonts w:hint="eastAsia" w:ascii="宋体" w:hAnsi="宋体"/>
                <w:color w:val="auto"/>
                <w:szCs w:val="21"/>
                <w:highlight w:val="none"/>
              </w:rPr>
            </w:pPr>
            <w:r>
              <w:rPr>
                <w:rFonts w:hint="eastAsia" w:ascii="宋体" w:hAnsi="宋体"/>
                <w:color w:val="auto"/>
                <w:szCs w:val="21"/>
                <w:highlight w:val="none"/>
              </w:rPr>
              <w:t>名称：</w:t>
            </w:r>
            <w:r>
              <w:rPr>
                <w:rFonts w:hint="eastAsia" w:ascii="宋体" w:hAnsi="宋体" w:eastAsia="宋体"/>
                <w:color w:val="auto"/>
                <w:szCs w:val="21"/>
                <w:highlight w:val="none"/>
                <w:u w:val="single"/>
              </w:rPr>
              <w:t>广州市增城区人民政府永宁街道办事处</w:t>
            </w:r>
          </w:p>
          <w:p w14:paraId="75F37435">
            <w:pPr>
              <w:spacing w:line="360" w:lineRule="auto"/>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eastAsia="宋体"/>
                <w:color w:val="auto"/>
                <w:szCs w:val="21"/>
                <w:highlight w:val="none"/>
                <w:u w:val="single"/>
              </w:rPr>
              <w:t>广州市增城区永宁街道荔香街31号</w:t>
            </w:r>
          </w:p>
          <w:p w14:paraId="0ABD2AB8">
            <w:pPr>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lang w:eastAsia="zh-CN"/>
              </w:rPr>
              <w:t>黄先生</w:t>
            </w:r>
          </w:p>
          <w:p w14:paraId="57DB4B2A">
            <w:pPr>
              <w:spacing w:line="360" w:lineRule="auto"/>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lang w:eastAsia="zh-CN"/>
              </w:rPr>
              <w:t>020-32988</w:t>
            </w:r>
            <w:r>
              <w:rPr>
                <w:rFonts w:hint="eastAsia" w:ascii="宋体" w:hAnsi="宋体" w:eastAsia="宋体"/>
                <w:color w:val="auto"/>
                <w:szCs w:val="21"/>
                <w:highlight w:val="none"/>
                <w:u w:val="single"/>
                <w:lang w:eastAsia="zh-CN"/>
              </w:rPr>
              <w:t>902</w:t>
            </w:r>
          </w:p>
        </w:tc>
      </w:tr>
      <w:tr w14:paraId="517C298D">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D09FFE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1.1.3</w:t>
            </w:r>
          </w:p>
        </w:tc>
        <w:tc>
          <w:tcPr>
            <w:tcW w:w="2330" w:type="dxa"/>
            <w:tcBorders>
              <w:top w:val="single" w:color="000000" w:sz="4" w:space="0"/>
              <w:left w:val="single" w:color="000000" w:sz="4" w:space="0"/>
              <w:bottom w:val="single" w:color="000000" w:sz="4" w:space="0"/>
              <w:right w:val="single" w:color="000000" w:sz="4" w:space="0"/>
            </w:tcBorders>
            <w:vAlign w:val="center"/>
          </w:tcPr>
          <w:p w14:paraId="5D929C04">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招标代理机构</w:t>
            </w:r>
          </w:p>
        </w:tc>
        <w:tc>
          <w:tcPr>
            <w:tcW w:w="6378" w:type="dxa"/>
            <w:tcBorders>
              <w:top w:val="single" w:color="000000" w:sz="4" w:space="0"/>
              <w:left w:val="single" w:color="000000" w:sz="4" w:space="0"/>
              <w:bottom w:val="single" w:color="000000" w:sz="4" w:space="0"/>
              <w:right w:val="single" w:color="000000" w:sz="4" w:space="0"/>
            </w:tcBorders>
            <w:vAlign w:val="center"/>
          </w:tcPr>
          <w:p w14:paraId="3AD3378E">
            <w:pPr>
              <w:spacing w:line="360" w:lineRule="auto"/>
              <w:rPr>
                <w:rFonts w:hint="eastAsia" w:ascii="宋体" w:hAnsi="宋体"/>
                <w:color w:val="auto"/>
                <w:szCs w:val="21"/>
                <w:highlight w:val="none"/>
              </w:rPr>
            </w:pPr>
            <w:r>
              <w:rPr>
                <w:rFonts w:hint="eastAsia" w:ascii="宋体" w:hAnsi="宋体"/>
                <w:color w:val="auto"/>
                <w:szCs w:val="21"/>
                <w:highlight w:val="none"/>
              </w:rPr>
              <w:t>名称：</w:t>
            </w:r>
            <w:r>
              <w:rPr>
                <w:rFonts w:hint="eastAsia" w:ascii="宋体" w:hAnsi="宋体" w:eastAsia="宋体"/>
                <w:color w:val="auto"/>
                <w:szCs w:val="21"/>
                <w:highlight w:val="none"/>
                <w:u w:val="single"/>
                <w:lang w:eastAsia="zh-CN"/>
              </w:rPr>
              <w:t>广州建筑工程监理有限公司</w:t>
            </w:r>
          </w:p>
          <w:p w14:paraId="2B885324">
            <w:pPr>
              <w:spacing w:line="360" w:lineRule="auto"/>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eastAsia="宋体"/>
                <w:color w:val="auto"/>
                <w:szCs w:val="21"/>
                <w:highlight w:val="none"/>
                <w:u w:val="single"/>
                <w:lang w:eastAsia="zh-CN"/>
              </w:rPr>
              <w:t>广州市越秀区广卫路</w:t>
            </w:r>
            <w:r>
              <w:rPr>
                <w:rFonts w:hint="eastAsia" w:ascii="宋体" w:hAnsi="宋体" w:eastAsia="宋体"/>
                <w:color w:val="auto"/>
                <w:szCs w:val="21"/>
                <w:highlight w:val="none"/>
                <w:u w:val="single"/>
                <w:lang w:val="en-US" w:eastAsia="zh-CN"/>
              </w:rPr>
              <w:t>4号20楼</w:t>
            </w:r>
          </w:p>
          <w:p w14:paraId="4BDD8533">
            <w:pPr>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eastAsia="宋体"/>
                <w:color w:val="auto"/>
                <w:szCs w:val="21"/>
                <w:highlight w:val="none"/>
                <w:u w:val="single"/>
                <w:lang w:eastAsia="zh-CN"/>
              </w:rPr>
              <w:t>陆工</w:t>
            </w:r>
          </w:p>
          <w:p w14:paraId="255B1547">
            <w:pPr>
              <w:spacing w:line="360" w:lineRule="auto"/>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eastAsia="宋体"/>
                <w:color w:val="auto"/>
                <w:szCs w:val="21"/>
                <w:highlight w:val="none"/>
                <w:u w:val="single"/>
                <w:lang w:eastAsia="zh-CN"/>
              </w:rPr>
              <w:t>020-</w:t>
            </w:r>
            <w:r>
              <w:rPr>
                <w:rFonts w:hint="eastAsia" w:ascii="宋体" w:hAnsi="宋体" w:eastAsia="宋体"/>
                <w:color w:val="auto"/>
                <w:szCs w:val="21"/>
                <w:highlight w:val="none"/>
                <w:u w:val="single"/>
                <w:lang w:val="en-US" w:eastAsia="zh-CN"/>
              </w:rPr>
              <w:t>82627566</w:t>
            </w:r>
          </w:p>
        </w:tc>
      </w:tr>
      <w:tr w14:paraId="489847A0">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2BE819">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1.1.4</w:t>
            </w:r>
          </w:p>
        </w:tc>
        <w:tc>
          <w:tcPr>
            <w:tcW w:w="2330" w:type="dxa"/>
            <w:tcBorders>
              <w:top w:val="single" w:color="000000" w:sz="4" w:space="0"/>
              <w:left w:val="single" w:color="000000" w:sz="4" w:space="0"/>
              <w:bottom w:val="single" w:color="000000" w:sz="4" w:space="0"/>
              <w:right w:val="single" w:color="000000" w:sz="4" w:space="0"/>
            </w:tcBorders>
            <w:vAlign w:val="center"/>
          </w:tcPr>
          <w:p w14:paraId="10704CA5">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项目名称</w:t>
            </w:r>
          </w:p>
        </w:tc>
        <w:tc>
          <w:tcPr>
            <w:tcW w:w="6378" w:type="dxa"/>
            <w:tcBorders>
              <w:top w:val="single" w:color="000000" w:sz="4" w:space="0"/>
              <w:left w:val="single" w:color="000000" w:sz="4" w:space="0"/>
              <w:bottom w:val="single" w:color="000000" w:sz="4" w:space="0"/>
              <w:right w:val="single" w:color="000000" w:sz="4" w:space="0"/>
            </w:tcBorders>
            <w:vAlign w:val="center"/>
          </w:tcPr>
          <w:p w14:paraId="6A7A71DD">
            <w:pPr>
              <w:spacing w:line="360" w:lineRule="auto"/>
              <w:rPr>
                <w:rFonts w:hint="eastAsia" w:ascii="宋体" w:hAnsi="宋体" w:eastAsia="宋体"/>
                <w:color w:val="auto"/>
                <w:kern w:val="1"/>
                <w:szCs w:val="21"/>
                <w:highlight w:val="none"/>
                <w:u w:val="single"/>
                <w:lang w:eastAsia="zh-CN"/>
              </w:rPr>
            </w:pPr>
            <w:r>
              <w:rPr>
                <w:rFonts w:hint="eastAsia" w:ascii="宋体" w:hAnsi="宋体" w:eastAsia="宋体"/>
                <w:color w:val="auto"/>
                <w:kern w:val="1"/>
                <w:szCs w:val="21"/>
                <w:highlight w:val="none"/>
                <w:u w:val="single"/>
                <w:lang w:eastAsia="zh-CN"/>
              </w:rPr>
              <w:t>增城区永宁街岗丰村陈家林地块环境综合整治项目设计施工总承包</w:t>
            </w:r>
          </w:p>
        </w:tc>
      </w:tr>
      <w:tr w14:paraId="6E59495F">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B4A3AA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1.1.5</w:t>
            </w:r>
          </w:p>
        </w:tc>
        <w:tc>
          <w:tcPr>
            <w:tcW w:w="2330" w:type="dxa"/>
            <w:tcBorders>
              <w:top w:val="single" w:color="000000" w:sz="4" w:space="0"/>
              <w:left w:val="single" w:color="000000" w:sz="4" w:space="0"/>
              <w:bottom w:val="single" w:color="000000" w:sz="4" w:space="0"/>
              <w:right w:val="single" w:color="000000" w:sz="4" w:space="0"/>
            </w:tcBorders>
            <w:vAlign w:val="center"/>
          </w:tcPr>
          <w:p w14:paraId="096B4CE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建设地点</w:t>
            </w:r>
          </w:p>
        </w:tc>
        <w:tc>
          <w:tcPr>
            <w:tcW w:w="6378" w:type="dxa"/>
            <w:tcBorders>
              <w:top w:val="single" w:color="000000" w:sz="4" w:space="0"/>
              <w:left w:val="single" w:color="000000" w:sz="4" w:space="0"/>
              <w:bottom w:val="single" w:color="000000" w:sz="4" w:space="0"/>
              <w:right w:val="single" w:color="000000" w:sz="4" w:space="0"/>
            </w:tcBorders>
            <w:vAlign w:val="center"/>
          </w:tcPr>
          <w:p w14:paraId="1281D333">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见本项目招标公告</w:t>
            </w:r>
          </w:p>
        </w:tc>
      </w:tr>
      <w:tr w14:paraId="6B9ABF0B">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B50DD4">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1.2.1</w:t>
            </w:r>
          </w:p>
        </w:tc>
        <w:tc>
          <w:tcPr>
            <w:tcW w:w="2330" w:type="dxa"/>
            <w:tcBorders>
              <w:top w:val="single" w:color="000000" w:sz="4" w:space="0"/>
              <w:left w:val="single" w:color="000000" w:sz="4" w:space="0"/>
              <w:bottom w:val="single" w:color="000000" w:sz="4" w:space="0"/>
              <w:right w:val="single" w:color="000000" w:sz="4" w:space="0"/>
            </w:tcBorders>
            <w:vAlign w:val="center"/>
          </w:tcPr>
          <w:p w14:paraId="3C7A4517">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资金来源及比例</w:t>
            </w:r>
          </w:p>
        </w:tc>
        <w:tc>
          <w:tcPr>
            <w:tcW w:w="6378" w:type="dxa"/>
            <w:tcBorders>
              <w:top w:val="single" w:color="000000" w:sz="4" w:space="0"/>
              <w:left w:val="single" w:color="000000" w:sz="4" w:space="0"/>
              <w:bottom w:val="single" w:color="000000" w:sz="4" w:space="0"/>
              <w:right w:val="single" w:color="000000" w:sz="4" w:space="0"/>
            </w:tcBorders>
            <w:vAlign w:val="center"/>
          </w:tcPr>
          <w:p w14:paraId="338FDAE1">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见本项目招标公告</w:t>
            </w:r>
          </w:p>
        </w:tc>
      </w:tr>
      <w:tr w14:paraId="3501DC84">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C46FBDD">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1.2.2</w:t>
            </w:r>
          </w:p>
        </w:tc>
        <w:tc>
          <w:tcPr>
            <w:tcW w:w="2330" w:type="dxa"/>
            <w:tcBorders>
              <w:top w:val="single" w:color="000000" w:sz="4" w:space="0"/>
              <w:left w:val="single" w:color="000000" w:sz="4" w:space="0"/>
              <w:bottom w:val="single" w:color="000000" w:sz="4" w:space="0"/>
              <w:right w:val="single" w:color="000000" w:sz="4" w:space="0"/>
            </w:tcBorders>
            <w:vAlign w:val="center"/>
          </w:tcPr>
          <w:p w14:paraId="2AE578B4">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资金落实情况</w:t>
            </w:r>
          </w:p>
        </w:tc>
        <w:tc>
          <w:tcPr>
            <w:tcW w:w="6378" w:type="dxa"/>
            <w:tcBorders>
              <w:top w:val="single" w:color="000000" w:sz="4" w:space="0"/>
              <w:left w:val="single" w:color="000000" w:sz="4" w:space="0"/>
              <w:bottom w:val="single" w:color="000000" w:sz="4" w:space="0"/>
              <w:right w:val="single" w:color="000000" w:sz="4" w:space="0"/>
            </w:tcBorders>
            <w:vAlign w:val="center"/>
          </w:tcPr>
          <w:p w14:paraId="32847DFB">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已落实</w:t>
            </w:r>
          </w:p>
        </w:tc>
      </w:tr>
      <w:tr w14:paraId="3936D0B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92ABA69">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1.3.1</w:t>
            </w:r>
          </w:p>
        </w:tc>
        <w:tc>
          <w:tcPr>
            <w:tcW w:w="2330" w:type="dxa"/>
            <w:tcBorders>
              <w:top w:val="single" w:color="000000" w:sz="4" w:space="0"/>
              <w:left w:val="single" w:color="000000" w:sz="4" w:space="0"/>
              <w:bottom w:val="single" w:color="000000" w:sz="4" w:space="0"/>
              <w:right w:val="single" w:color="000000" w:sz="4" w:space="0"/>
            </w:tcBorders>
            <w:vAlign w:val="center"/>
          </w:tcPr>
          <w:p w14:paraId="642C00A9">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招标范围</w:t>
            </w:r>
          </w:p>
        </w:tc>
        <w:tc>
          <w:tcPr>
            <w:tcW w:w="6378" w:type="dxa"/>
            <w:tcBorders>
              <w:top w:val="single" w:color="000000" w:sz="4" w:space="0"/>
              <w:left w:val="single" w:color="000000" w:sz="4" w:space="0"/>
              <w:bottom w:val="single" w:color="000000" w:sz="4" w:space="0"/>
              <w:right w:val="single" w:color="000000" w:sz="4" w:space="0"/>
            </w:tcBorders>
            <w:vAlign w:val="center"/>
          </w:tcPr>
          <w:p w14:paraId="1F5AA3DC">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见本项目招标公告及合同约定条款</w:t>
            </w:r>
          </w:p>
        </w:tc>
      </w:tr>
      <w:tr w14:paraId="5ACDDAE6">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AE4579E">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1.3.2</w:t>
            </w:r>
          </w:p>
        </w:tc>
        <w:tc>
          <w:tcPr>
            <w:tcW w:w="2330" w:type="dxa"/>
            <w:tcBorders>
              <w:top w:val="single" w:color="000000" w:sz="4" w:space="0"/>
              <w:left w:val="single" w:color="000000" w:sz="4" w:space="0"/>
              <w:bottom w:val="single" w:color="000000" w:sz="4" w:space="0"/>
              <w:right w:val="single" w:color="000000" w:sz="4" w:space="0"/>
            </w:tcBorders>
            <w:vAlign w:val="center"/>
          </w:tcPr>
          <w:p w14:paraId="36DA7A85">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计划工期</w:t>
            </w:r>
          </w:p>
        </w:tc>
        <w:tc>
          <w:tcPr>
            <w:tcW w:w="6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B58E">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见本项目招标公告及合同约定条款</w:t>
            </w:r>
          </w:p>
        </w:tc>
      </w:tr>
      <w:tr w14:paraId="585F2A3C">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389DB4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1.3.3</w:t>
            </w:r>
          </w:p>
        </w:tc>
        <w:tc>
          <w:tcPr>
            <w:tcW w:w="2330" w:type="dxa"/>
            <w:tcBorders>
              <w:top w:val="single" w:color="000000" w:sz="4" w:space="0"/>
              <w:left w:val="single" w:color="000000" w:sz="4" w:space="0"/>
              <w:bottom w:val="single" w:color="000000" w:sz="4" w:space="0"/>
              <w:right w:val="single" w:color="000000" w:sz="4" w:space="0"/>
            </w:tcBorders>
            <w:vAlign w:val="center"/>
          </w:tcPr>
          <w:p w14:paraId="3B52B406">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质量标准</w:t>
            </w:r>
          </w:p>
        </w:tc>
        <w:tc>
          <w:tcPr>
            <w:tcW w:w="6378" w:type="dxa"/>
            <w:tcBorders>
              <w:top w:val="single" w:color="000000" w:sz="4" w:space="0"/>
              <w:left w:val="single" w:color="000000" w:sz="4" w:space="0"/>
              <w:bottom w:val="single" w:color="000000" w:sz="4" w:space="0"/>
              <w:right w:val="single" w:color="000000" w:sz="4" w:space="0"/>
            </w:tcBorders>
            <w:vAlign w:val="center"/>
          </w:tcPr>
          <w:p w14:paraId="72D6B52B">
            <w:pPr>
              <w:spacing w:line="360" w:lineRule="auto"/>
              <w:rPr>
                <w:rFonts w:hint="eastAsia"/>
                <w:color w:val="auto"/>
                <w:highlight w:val="none"/>
              </w:rPr>
            </w:pPr>
            <w:r>
              <w:rPr>
                <w:rFonts w:hint="eastAsia"/>
                <w:color w:val="auto"/>
                <w:highlight w:val="none"/>
              </w:rPr>
              <w:t>设计</w:t>
            </w:r>
            <w:r>
              <w:rPr>
                <w:color w:val="auto"/>
                <w:highlight w:val="none"/>
              </w:rPr>
              <w:t>要求</w:t>
            </w:r>
            <w:r>
              <w:rPr>
                <w:rFonts w:hint="eastAsia"/>
                <w:color w:val="auto"/>
                <w:highlight w:val="none"/>
              </w:rPr>
              <w:t>的质量标准：</w:t>
            </w:r>
            <w:r>
              <w:rPr>
                <w:rFonts w:hint="eastAsia"/>
                <w:color w:val="auto"/>
                <w:highlight w:val="none"/>
                <w:u w:val="single"/>
              </w:rPr>
              <w:t>符合设计图纸要求和国家、省、市相关法律法规规定要求及行业</w:t>
            </w:r>
            <w:r>
              <w:rPr>
                <w:rFonts w:hint="eastAsia"/>
                <w:color w:val="auto"/>
                <w:highlight w:val="none"/>
                <w:u w:val="single"/>
                <w:lang w:val="en-US" w:eastAsia="zh-CN"/>
              </w:rPr>
              <w:t>标准</w:t>
            </w:r>
            <w:r>
              <w:rPr>
                <w:rFonts w:hint="eastAsia"/>
                <w:color w:val="auto"/>
                <w:highlight w:val="none"/>
                <w:u w:val="single"/>
              </w:rPr>
              <w:t>。</w:t>
            </w:r>
          </w:p>
          <w:p w14:paraId="7E53B499">
            <w:pPr>
              <w:spacing w:line="360" w:lineRule="auto"/>
              <w:rPr>
                <w:rFonts w:hint="eastAsia"/>
                <w:color w:val="auto"/>
                <w:highlight w:val="none"/>
              </w:rPr>
            </w:pPr>
            <w:r>
              <w:rPr>
                <w:rFonts w:hint="eastAsia"/>
                <w:color w:val="auto"/>
                <w:highlight w:val="none"/>
              </w:rPr>
              <w:t>施工要求的质量标准：</w:t>
            </w:r>
            <w:r>
              <w:rPr>
                <w:rFonts w:hint="eastAsia"/>
                <w:color w:val="auto"/>
                <w:highlight w:val="none"/>
                <w:u w:val="single"/>
              </w:rPr>
              <w:t>符合设计图纸要求和国家、省、市相关法律法规规定要求及行业</w:t>
            </w:r>
            <w:r>
              <w:rPr>
                <w:rFonts w:hint="eastAsia"/>
                <w:color w:val="auto"/>
                <w:highlight w:val="none"/>
                <w:u w:val="single"/>
                <w:lang w:val="en-US" w:eastAsia="zh-CN"/>
              </w:rPr>
              <w:t>标准</w:t>
            </w:r>
            <w:r>
              <w:rPr>
                <w:rFonts w:hint="eastAsia"/>
                <w:color w:val="auto"/>
                <w:highlight w:val="none"/>
                <w:u w:val="single"/>
              </w:rPr>
              <w:t>。</w:t>
            </w:r>
          </w:p>
        </w:tc>
      </w:tr>
      <w:tr w14:paraId="748ED69B">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E30F9E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1.4.1</w:t>
            </w:r>
          </w:p>
        </w:tc>
        <w:tc>
          <w:tcPr>
            <w:tcW w:w="2330" w:type="dxa"/>
            <w:tcBorders>
              <w:top w:val="single" w:color="000000" w:sz="4" w:space="0"/>
              <w:left w:val="single" w:color="000000" w:sz="4" w:space="0"/>
              <w:bottom w:val="single" w:color="000000" w:sz="4" w:space="0"/>
              <w:right w:val="single" w:color="000000" w:sz="4" w:space="0"/>
            </w:tcBorders>
            <w:vAlign w:val="center"/>
          </w:tcPr>
          <w:p w14:paraId="01A3138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投标人资质条件、能力和信誉</w:t>
            </w:r>
          </w:p>
        </w:tc>
        <w:tc>
          <w:tcPr>
            <w:tcW w:w="6378" w:type="dxa"/>
            <w:tcBorders>
              <w:top w:val="single" w:color="000000" w:sz="4" w:space="0"/>
              <w:left w:val="single" w:color="000000" w:sz="4" w:space="0"/>
              <w:bottom w:val="single" w:color="000000" w:sz="4" w:space="0"/>
              <w:right w:val="single" w:color="000000" w:sz="4" w:space="0"/>
            </w:tcBorders>
            <w:vAlign w:val="center"/>
          </w:tcPr>
          <w:p w14:paraId="5EE3F598">
            <w:pPr>
              <w:spacing w:line="360" w:lineRule="auto"/>
              <w:rPr>
                <w:rFonts w:hint="eastAsia" w:ascii="宋体" w:hAnsi="宋体"/>
                <w:color w:val="auto"/>
                <w:szCs w:val="21"/>
                <w:highlight w:val="none"/>
              </w:rPr>
            </w:pPr>
            <w:r>
              <w:rPr>
                <w:rFonts w:hint="eastAsia" w:ascii="宋体" w:hAnsi="宋体"/>
                <w:color w:val="auto"/>
                <w:szCs w:val="21"/>
                <w:highlight w:val="none"/>
              </w:rPr>
              <w:t>见本项目招标公告</w:t>
            </w:r>
          </w:p>
        </w:tc>
      </w:tr>
      <w:tr w14:paraId="44F71C94">
        <w:tblPrEx>
          <w:tblCellMar>
            <w:top w:w="0" w:type="dxa"/>
            <w:left w:w="108" w:type="dxa"/>
            <w:bottom w:w="0" w:type="dxa"/>
            <w:right w:w="108" w:type="dxa"/>
          </w:tblCellMar>
        </w:tblPrEx>
        <w:trPr>
          <w:trHeight w:val="53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C9D4C37">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1.4.2</w:t>
            </w:r>
          </w:p>
        </w:tc>
        <w:tc>
          <w:tcPr>
            <w:tcW w:w="2330" w:type="dxa"/>
            <w:tcBorders>
              <w:top w:val="single" w:color="000000" w:sz="4" w:space="0"/>
              <w:left w:val="single" w:color="000000" w:sz="4" w:space="0"/>
              <w:bottom w:val="single" w:color="000000" w:sz="4" w:space="0"/>
              <w:right w:val="single" w:color="000000" w:sz="4" w:space="0"/>
            </w:tcBorders>
            <w:vAlign w:val="center"/>
          </w:tcPr>
          <w:p w14:paraId="3BD50B50">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是否接受联合体投标</w:t>
            </w:r>
          </w:p>
        </w:tc>
        <w:tc>
          <w:tcPr>
            <w:tcW w:w="6378" w:type="dxa"/>
            <w:tcBorders>
              <w:top w:val="single" w:color="000000" w:sz="4" w:space="0"/>
              <w:left w:val="single" w:color="000000" w:sz="4" w:space="0"/>
              <w:bottom w:val="single" w:color="000000" w:sz="4" w:space="0"/>
              <w:right w:val="single" w:color="000000" w:sz="4" w:space="0"/>
            </w:tcBorders>
            <w:vAlign w:val="center"/>
          </w:tcPr>
          <w:p w14:paraId="2BAC9827">
            <w:pPr>
              <w:pStyle w:val="17"/>
              <w:spacing w:line="360" w:lineRule="auto"/>
              <w:rPr>
                <w:rFonts w:hint="eastAsia"/>
                <w:color w:val="auto"/>
                <w:kern w:val="1"/>
                <w:sz w:val="21"/>
                <w:szCs w:val="21"/>
                <w:highlight w:val="none"/>
              </w:rPr>
            </w:pPr>
            <w:r>
              <w:rPr>
                <w:rFonts w:hint="eastAsia"/>
                <w:color w:val="auto"/>
                <w:kern w:val="1"/>
                <w:sz w:val="21"/>
                <w:szCs w:val="21"/>
                <w:highlight w:val="none"/>
              </w:rPr>
              <w:t>□不接受</w:t>
            </w:r>
          </w:p>
          <w:p w14:paraId="353FBAD6">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kern w:val="1"/>
                <w:szCs w:val="21"/>
                <w:highlight w:val="none"/>
              </w:rPr>
              <w:t>接受，应满足下列要求：</w:t>
            </w:r>
            <w:r>
              <w:rPr>
                <w:rFonts w:hint="eastAsia" w:ascii="宋体" w:hAnsi="宋体"/>
                <w:color w:val="auto"/>
                <w:szCs w:val="21"/>
                <w:highlight w:val="none"/>
                <w:u w:val="single"/>
              </w:rPr>
              <w:t>见本项目招标公告要求</w:t>
            </w:r>
            <w:r>
              <w:rPr>
                <w:rFonts w:hint="eastAsia" w:ascii="宋体" w:hAnsi="宋体"/>
                <w:color w:val="auto"/>
                <w:szCs w:val="21"/>
                <w:highlight w:val="none"/>
              </w:rPr>
              <w:t>。</w:t>
            </w:r>
          </w:p>
        </w:tc>
      </w:tr>
      <w:tr w14:paraId="5A663707">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6019935">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1.5</w:t>
            </w:r>
          </w:p>
        </w:tc>
        <w:tc>
          <w:tcPr>
            <w:tcW w:w="2330" w:type="dxa"/>
            <w:tcBorders>
              <w:top w:val="single" w:color="000000" w:sz="4" w:space="0"/>
              <w:left w:val="single" w:color="000000" w:sz="4" w:space="0"/>
              <w:bottom w:val="single" w:color="000000" w:sz="4" w:space="0"/>
              <w:right w:val="single" w:color="000000" w:sz="4" w:space="0"/>
            </w:tcBorders>
            <w:vAlign w:val="center"/>
          </w:tcPr>
          <w:p w14:paraId="19291AC9">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费用承担和设计成果补偿</w:t>
            </w:r>
          </w:p>
        </w:tc>
        <w:tc>
          <w:tcPr>
            <w:tcW w:w="6378" w:type="dxa"/>
            <w:tcBorders>
              <w:top w:val="single" w:color="000000" w:sz="4" w:space="0"/>
              <w:left w:val="single" w:color="000000" w:sz="4" w:space="0"/>
              <w:bottom w:val="single" w:color="000000" w:sz="4" w:space="0"/>
              <w:right w:val="single" w:color="000000" w:sz="4" w:space="0"/>
            </w:tcBorders>
            <w:vAlign w:val="center"/>
          </w:tcPr>
          <w:p w14:paraId="3C1AA34B">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kern w:val="1"/>
                <w:szCs w:val="21"/>
                <w:highlight w:val="none"/>
              </w:rPr>
              <w:t>不补偿</w:t>
            </w:r>
          </w:p>
          <w:p w14:paraId="69F38E56">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□补偿，补偿标准：</w:t>
            </w:r>
            <w:r>
              <w:rPr>
                <w:rFonts w:hint="eastAsia" w:ascii="宋体" w:hAnsi="宋体"/>
                <w:color w:val="auto"/>
                <w:szCs w:val="21"/>
                <w:highlight w:val="none"/>
              </w:rPr>
              <w:t>/</w:t>
            </w:r>
          </w:p>
        </w:tc>
      </w:tr>
      <w:tr w14:paraId="67CB2F74">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73884F3">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1.9.1</w:t>
            </w:r>
          </w:p>
        </w:tc>
        <w:tc>
          <w:tcPr>
            <w:tcW w:w="2330" w:type="dxa"/>
            <w:tcBorders>
              <w:top w:val="single" w:color="000000" w:sz="4" w:space="0"/>
              <w:left w:val="single" w:color="000000" w:sz="4" w:space="0"/>
              <w:bottom w:val="single" w:color="000000" w:sz="4" w:space="0"/>
              <w:right w:val="single" w:color="000000" w:sz="4" w:space="0"/>
            </w:tcBorders>
            <w:vAlign w:val="center"/>
          </w:tcPr>
          <w:p w14:paraId="1F018A4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踏勘</w:t>
            </w:r>
          </w:p>
        </w:tc>
        <w:tc>
          <w:tcPr>
            <w:tcW w:w="6378" w:type="dxa"/>
            <w:tcBorders>
              <w:top w:val="single" w:color="000000" w:sz="4" w:space="0"/>
              <w:left w:val="single" w:color="000000" w:sz="4" w:space="0"/>
              <w:bottom w:val="single" w:color="000000" w:sz="4" w:space="0"/>
              <w:right w:val="single" w:color="000000" w:sz="4" w:space="0"/>
            </w:tcBorders>
            <w:vAlign w:val="center"/>
          </w:tcPr>
          <w:p w14:paraId="763DB885">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kern w:val="1"/>
                <w:szCs w:val="21"/>
                <w:highlight w:val="none"/>
              </w:rPr>
              <w:t>不组织</w:t>
            </w:r>
            <w:r>
              <w:rPr>
                <w:rFonts w:hint="eastAsia" w:ascii="宋体"/>
                <w:color w:val="auto"/>
                <w:szCs w:val="21"/>
                <w:highlight w:val="none"/>
              </w:rPr>
              <w:t>：投标人可自行结合招标文件等对工程现场及周围环境进行踏勘，以便获取有关编制投标文件和签署合同所涉及现场的资料。考察期间所发生一切费用或意外由投标人自行负责</w:t>
            </w:r>
            <w:r>
              <w:rPr>
                <w:rFonts w:hint="eastAsia" w:ascii="宋体" w:hAnsi="宋体"/>
                <w:color w:val="auto"/>
                <w:kern w:val="1"/>
                <w:szCs w:val="21"/>
                <w:highlight w:val="none"/>
              </w:rPr>
              <w:t>。</w:t>
            </w:r>
          </w:p>
          <w:p w14:paraId="496F577E">
            <w:pPr>
              <w:tabs>
                <w:tab w:val="center" w:pos="2950"/>
              </w:tabs>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□组织，踏勘时间：</w:t>
            </w:r>
            <w:r>
              <w:rPr>
                <w:rFonts w:hint="eastAsia" w:ascii="宋体" w:hAnsi="宋体"/>
                <w:color w:val="auto"/>
                <w:kern w:val="1"/>
                <w:szCs w:val="21"/>
                <w:highlight w:val="none"/>
              </w:rPr>
              <w:tab/>
            </w:r>
          </w:p>
          <w:p w14:paraId="1BE95842">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踏勘集中地点：</w:t>
            </w:r>
          </w:p>
        </w:tc>
      </w:tr>
      <w:tr w14:paraId="0166F3D8">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7FE975F">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1.10.1</w:t>
            </w:r>
          </w:p>
        </w:tc>
        <w:tc>
          <w:tcPr>
            <w:tcW w:w="2330" w:type="dxa"/>
            <w:tcBorders>
              <w:top w:val="single" w:color="000000" w:sz="4" w:space="0"/>
              <w:left w:val="single" w:color="000000" w:sz="4" w:space="0"/>
              <w:bottom w:val="single" w:color="000000" w:sz="4" w:space="0"/>
              <w:right w:val="single" w:color="000000" w:sz="4" w:space="0"/>
            </w:tcBorders>
            <w:vAlign w:val="center"/>
          </w:tcPr>
          <w:p w14:paraId="478BBFA8">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投标预备会</w:t>
            </w:r>
          </w:p>
        </w:tc>
        <w:tc>
          <w:tcPr>
            <w:tcW w:w="6378" w:type="dxa"/>
            <w:tcBorders>
              <w:top w:val="single" w:color="000000" w:sz="4" w:space="0"/>
              <w:left w:val="single" w:color="000000" w:sz="4" w:space="0"/>
              <w:bottom w:val="single" w:color="000000" w:sz="4" w:space="0"/>
              <w:right w:val="single" w:color="000000" w:sz="4" w:space="0"/>
            </w:tcBorders>
            <w:vAlign w:val="center"/>
          </w:tcPr>
          <w:p w14:paraId="60DDB7D2">
            <w:pPr>
              <w:pStyle w:val="17"/>
              <w:spacing w:line="360" w:lineRule="auto"/>
              <w:rPr>
                <w:rFonts w:hint="eastAsia"/>
                <w:color w:val="auto"/>
                <w:kern w:val="1"/>
                <w:sz w:val="21"/>
                <w:szCs w:val="21"/>
                <w:highlight w:val="none"/>
              </w:rPr>
            </w:pPr>
            <w:r>
              <w:rPr>
                <w:rFonts w:hint="eastAsia"/>
                <w:color w:val="auto"/>
                <w:kern w:val="1"/>
                <w:sz w:val="21"/>
                <w:szCs w:val="21"/>
                <w:highlight w:val="none"/>
              </w:rPr>
              <w:t>■不召开</w:t>
            </w:r>
          </w:p>
          <w:p w14:paraId="7F17B19D">
            <w:pPr>
              <w:widowControl/>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w:t>
            </w:r>
            <w:r>
              <w:rPr>
                <w:rFonts w:hint="eastAsia" w:ascii="宋体" w:hAnsi="宋体"/>
                <w:color w:val="auto"/>
                <w:szCs w:val="21"/>
                <w:highlight w:val="none"/>
              </w:rPr>
              <w:t>召开，召开时间：另行通知</w:t>
            </w:r>
          </w:p>
          <w:p w14:paraId="23A56EF0">
            <w:pPr>
              <w:spacing w:line="360" w:lineRule="auto"/>
              <w:rPr>
                <w:rFonts w:hint="eastAsia" w:ascii="宋体" w:hAnsi="宋体"/>
                <w:color w:val="auto"/>
                <w:szCs w:val="21"/>
                <w:highlight w:val="none"/>
              </w:rPr>
            </w:pPr>
            <w:r>
              <w:rPr>
                <w:rFonts w:hint="eastAsia" w:ascii="宋体" w:hAnsi="宋体"/>
                <w:color w:val="auto"/>
                <w:szCs w:val="21"/>
                <w:highlight w:val="none"/>
              </w:rPr>
              <w:t>召开地点：</w:t>
            </w:r>
          </w:p>
        </w:tc>
      </w:tr>
      <w:tr w14:paraId="7957F80E">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32EF3B4">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1.10.2</w:t>
            </w:r>
          </w:p>
        </w:tc>
        <w:tc>
          <w:tcPr>
            <w:tcW w:w="2330" w:type="dxa"/>
            <w:tcBorders>
              <w:top w:val="single" w:color="000000" w:sz="4" w:space="0"/>
              <w:left w:val="single" w:color="000000" w:sz="4" w:space="0"/>
              <w:bottom w:val="single" w:color="000000" w:sz="4" w:space="0"/>
              <w:right w:val="single" w:color="000000" w:sz="4" w:space="0"/>
            </w:tcBorders>
            <w:vAlign w:val="center"/>
          </w:tcPr>
          <w:p w14:paraId="7024B224">
            <w:pPr>
              <w:pStyle w:val="26"/>
              <w:spacing w:after="0" w:line="360" w:lineRule="auto"/>
              <w:ind w:firstLine="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招标答疑</w:t>
            </w:r>
          </w:p>
        </w:tc>
        <w:tc>
          <w:tcPr>
            <w:tcW w:w="6378" w:type="dxa"/>
            <w:tcBorders>
              <w:top w:val="single" w:color="000000" w:sz="4" w:space="0"/>
              <w:left w:val="single" w:color="000000" w:sz="4" w:space="0"/>
              <w:bottom w:val="single" w:color="000000" w:sz="4" w:space="0"/>
              <w:right w:val="single" w:color="000000" w:sz="4" w:space="0"/>
            </w:tcBorders>
            <w:vAlign w:val="center"/>
          </w:tcPr>
          <w:p w14:paraId="33EC565C">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1.本项目采用网上答疑方式。</w:t>
            </w:r>
          </w:p>
          <w:p w14:paraId="4AE489D6">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2.投标人疑问期限：在投</w:t>
            </w:r>
            <w:r>
              <w:rPr>
                <w:rFonts w:hint="eastAsia" w:ascii="宋体" w:hAnsi="宋体" w:eastAsia="宋体"/>
                <w:color w:val="auto"/>
                <w:kern w:val="1"/>
                <w:szCs w:val="21"/>
                <w:highlight w:val="none"/>
              </w:rPr>
              <w:t>标截止日期前18日，将投标疑问</w:t>
            </w:r>
            <w:r>
              <w:rPr>
                <w:rFonts w:hint="eastAsia" w:ascii="宋体" w:hAnsi="宋体"/>
                <w:color w:val="auto"/>
                <w:szCs w:val="21"/>
                <w:highlight w:val="none"/>
              </w:rPr>
              <w:t>通过</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eastAsia="宋体"/>
                <w:color w:val="auto"/>
                <w:kern w:val="1"/>
                <w:szCs w:val="21"/>
                <w:highlight w:val="none"/>
              </w:rPr>
              <w:t>交</w:t>
            </w:r>
            <w:r>
              <w:rPr>
                <w:rFonts w:hint="eastAsia" w:ascii="宋体" w:hAnsi="宋体"/>
                <w:color w:val="auto"/>
                <w:szCs w:val="21"/>
                <w:highlight w:val="none"/>
              </w:rPr>
              <w:t>易平台提交</w:t>
            </w:r>
            <w:r>
              <w:rPr>
                <w:rFonts w:hint="eastAsia" w:ascii="宋体" w:hAnsi="宋体"/>
                <w:color w:val="auto"/>
                <w:kern w:val="1"/>
                <w:szCs w:val="21"/>
                <w:highlight w:val="none"/>
              </w:rPr>
              <w:t>。</w:t>
            </w:r>
          </w:p>
          <w:p w14:paraId="738C6C1A">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3.招标人澄清、修补或答疑期限：在递交投标文件截止日期前15日，答疑纪要在</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kern w:val="1"/>
                <w:szCs w:val="21"/>
                <w:highlight w:val="none"/>
              </w:rPr>
              <w:t xml:space="preserve">网站（http://www.gzggzy.cn/）发布。 </w:t>
            </w:r>
          </w:p>
          <w:p w14:paraId="6C1E1931">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4.网上答疑的相关事项详见本章第2.2款。</w:t>
            </w:r>
          </w:p>
        </w:tc>
      </w:tr>
      <w:tr w14:paraId="1E2AE049">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E3FAB8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1.11.1</w:t>
            </w:r>
          </w:p>
        </w:tc>
        <w:tc>
          <w:tcPr>
            <w:tcW w:w="2330" w:type="dxa"/>
            <w:tcBorders>
              <w:top w:val="single" w:color="000000" w:sz="4" w:space="0"/>
              <w:left w:val="single" w:color="000000" w:sz="4" w:space="0"/>
              <w:bottom w:val="single" w:color="000000" w:sz="4" w:space="0"/>
              <w:right w:val="single" w:color="000000" w:sz="4" w:space="0"/>
            </w:tcBorders>
            <w:vAlign w:val="center"/>
          </w:tcPr>
          <w:p w14:paraId="472B2DD1">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招标人规定由分包人承担的工作</w:t>
            </w:r>
          </w:p>
        </w:tc>
        <w:tc>
          <w:tcPr>
            <w:tcW w:w="6378" w:type="dxa"/>
            <w:tcBorders>
              <w:top w:val="single" w:color="000000" w:sz="4" w:space="0"/>
              <w:left w:val="single" w:color="000000" w:sz="4" w:space="0"/>
              <w:bottom w:val="single" w:color="000000" w:sz="4" w:space="0"/>
              <w:right w:val="single" w:color="000000" w:sz="4" w:space="0"/>
            </w:tcBorders>
            <w:vAlign w:val="center"/>
          </w:tcPr>
          <w:p w14:paraId="09F872BA">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无</w:t>
            </w:r>
          </w:p>
        </w:tc>
      </w:tr>
      <w:tr w14:paraId="48AEA4E3">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887B2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1.11.2</w:t>
            </w:r>
          </w:p>
        </w:tc>
        <w:tc>
          <w:tcPr>
            <w:tcW w:w="2330" w:type="dxa"/>
            <w:tcBorders>
              <w:top w:val="single" w:color="000000" w:sz="4" w:space="0"/>
              <w:left w:val="single" w:color="000000" w:sz="4" w:space="0"/>
              <w:bottom w:val="single" w:color="000000" w:sz="4" w:space="0"/>
              <w:right w:val="single" w:color="000000" w:sz="4" w:space="0"/>
            </w:tcBorders>
            <w:vAlign w:val="center"/>
          </w:tcPr>
          <w:p w14:paraId="1F28EC7E">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投标人拟分包的工作</w:t>
            </w:r>
          </w:p>
        </w:tc>
        <w:tc>
          <w:tcPr>
            <w:tcW w:w="6378" w:type="dxa"/>
            <w:tcBorders>
              <w:top w:val="single" w:color="000000" w:sz="4" w:space="0"/>
              <w:left w:val="single" w:color="000000" w:sz="4" w:space="0"/>
              <w:bottom w:val="single" w:color="000000" w:sz="4" w:space="0"/>
              <w:right w:val="single" w:color="000000" w:sz="4" w:space="0"/>
            </w:tcBorders>
            <w:vAlign w:val="center"/>
          </w:tcPr>
          <w:p w14:paraId="00988C0E">
            <w:pPr>
              <w:pStyle w:val="17"/>
              <w:spacing w:line="360" w:lineRule="auto"/>
              <w:rPr>
                <w:rFonts w:hint="eastAsia"/>
                <w:color w:val="auto"/>
                <w:kern w:val="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59210B4C">
            <w:pPr>
              <w:spacing w:line="360" w:lineRule="auto"/>
              <w:rPr>
                <w:rFonts w:hint="eastAsia"/>
                <w:color w:val="auto"/>
                <w:kern w:val="1"/>
                <w:szCs w:val="21"/>
                <w:highlight w:val="none"/>
              </w:rPr>
            </w:pPr>
            <w:r>
              <w:rPr>
                <w:rFonts w:hint="eastAsia"/>
                <w:color w:val="auto"/>
                <w:kern w:val="1"/>
                <w:szCs w:val="21"/>
                <w:highlight w:val="none"/>
              </w:rPr>
              <w:t>■</w:t>
            </w:r>
            <w:r>
              <w:rPr>
                <w:rFonts w:hint="eastAsia" w:ascii="宋体" w:hAnsi="宋体"/>
                <w:color w:val="auto"/>
                <w:kern w:val="1"/>
                <w:szCs w:val="21"/>
                <w:highlight w:val="none"/>
              </w:rPr>
              <w:t>允许，</w:t>
            </w:r>
            <w:r>
              <w:rPr>
                <w:rFonts w:hint="eastAsia" w:ascii="宋体" w:hAnsi="宋体"/>
                <w:color w:val="auto"/>
                <w:szCs w:val="21"/>
                <w:highlight w:val="none"/>
              </w:rPr>
              <w:t>允许非主体、非关键性工程进行分包，分包需经招标人审核批准后分包给具有相应资质和能力的专业单位实施。</w:t>
            </w:r>
          </w:p>
        </w:tc>
      </w:tr>
      <w:tr w14:paraId="2F284ED4">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2EFA9B4">
            <w:pPr>
              <w:spacing w:line="360" w:lineRule="auto"/>
              <w:jc w:val="center"/>
              <w:rPr>
                <w:rFonts w:ascii="宋体" w:hAnsi="宋体"/>
                <w:color w:val="auto"/>
                <w:kern w:val="1"/>
                <w:szCs w:val="21"/>
                <w:highlight w:val="none"/>
              </w:rPr>
            </w:pPr>
            <w:r>
              <w:rPr>
                <w:rFonts w:ascii="宋体" w:hAnsi="宋体"/>
                <w:color w:val="auto"/>
                <w:kern w:val="1"/>
                <w:szCs w:val="21"/>
                <w:highlight w:val="none"/>
              </w:rPr>
              <w:t>1.12</w:t>
            </w:r>
          </w:p>
        </w:tc>
        <w:tc>
          <w:tcPr>
            <w:tcW w:w="2330" w:type="dxa"/>
            <w:tcBorders>
              <w:top w:val="single" w:color="000000" w:sz="4" w:space="0"/>
              <w:left w:val="single" w:color="000000" w:sz="4" w:space="0"/>
              <w:bottom w:val="single" w:color="000000" w:sz="4" w:space="0"/>
              <w:right w:val="single" w:color="000000" w:sz="4" w:space="0"/>
            </w:tcBorders>
            <w:vAlign w:val="center"/>
          </w:tcPr>
          <w:p w14:paraId="397F2D8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偏离</w:t>
            </w:r>
          </w:p>
        </w:tc>
        <w:tc>
          <w:tcPr>
            <w:tcW w:w="6378" w:type="dxa"/>
            <w:tcBorders>
              <w:top w:val="single" w:color="000000" w:sz="4" w:space="0"/>
              <w:left w:val="single" w:color="000000" w:sz="4" w:space="0"/>
              <w:bottom w:val="single" w:color="000000" w:sz="4" w:space="0"/>
              <w:right w:val="single" w:color="000000" w:sz="4" w:space="0"/>
            </w:tcBorders>
            <w:vAlign w:val="center"/>
          </w:tcPr>
          <w:p w14:paraId="77C14A78">
            <w:pPr>
              <w:pStyle w:val="17"/>
              <w:spacing w:line="360" w:lineRule="auto"/>
              <w:rPr>
                <w:rFonts w:hint="eastAsia"/>
                <w:color w:val="auto"/>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72256494">
            <w:pPr>
              <w:pStyle w:val="17"/>
              <w:spacing w:line="360" w:lineRule="auto"/>
              <w:rPr>
                <w:rFonts w:hint="eastAsia"/>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w:t>
            </w:r>
            <w:r>
              <w:rPr>
                <w:rFonts w:hint="eastAsia"/>
                <w:color w:val="auto"/>
                <w:sz w:val="21"/>
                <w:szCs w:val="21"/>
                <w:highlight w:val="none"/>
                <w:u w:val="single"/>
              </w:rPr>
              <w:t xml:space="preserve">          。</w:t>
            </w:r>
          </w:p>
        </w:tc>
      </w:tr>
      <w:tr w14:paraId="24F31A0C">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F17EB71">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2.1</w:t>
            </w:r>
          </w:p>
        </w:tc>
        <w:tc>
          <w:tcPr>
            <w:tcW w:w="2330" w:type="dxa"/>
            <w:tcBorders>
              <w:top w:val="single" w:color="000000" w:sz="4" w:space="0"/>
              <w:left w:val="single" w:color="000000" w:sz="4" w:space="0"/>
              <w:bottom w:val="single" w:color="000000" w:sz="4" w:space="0"/>
              <w:right w:val="single" w:color="000000" w:sz="4" w:space="0"/>
            </w:tcBorders>
            <w:vAlign w:val="center"/>
          </w:tcPr>
          <w:p w14:paraId="44416047">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构成招标文件的其他资料</w:t>
            </w:r>
          </w:p>
        </w:tc>
        <w:tc>
          <w:tcPr>
            <w:tcW w:w="6378" w:type="dxa"/>
            <w:tcBorders>
              <w:top w:val="single" w:color="000000" w:sz="4" w:space="0"/>
              <w:left w:val="single" w:color="000000" w:sz="4" w:space="0"/>
              <w:bottom w:val="single" w:color="000000" w:sz="4" w:space="0"/>
              <w:right w:val="single" w:color="000000" w:sz="4" w:space="0"/>
            </w:tcBorders>
            <w:vAlign w:val="center"/>
          </w:tcPr>
          <w:p w14:paraId="62BD944E">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答疑纪要、澄清文件等（如有）</w:t>
            </w:r>
          </w:p>
        </w:tc>
      </w:tr>
      <w:tr w14:paraId="4C87D98C">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0635B5C">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w:t>
            </w:r>
            <w:r>
              <w:rPr>
                <w:rFonts w:ascii="宋体" w:hAnsi="宋体"/>
                <w:color w:val="auto"/>
                <w:kern w:val="1"/>
                <w:szCs w:val="21"/>
                <w:highlight w:val="none"/>
              </w:rPr>
              <w:t>.2.1</w:t>
            </w:r>
          </w:p>
        </w:tc>
        <w:tc>
          <w:tcPr>
            <w:tcW w:w="2330" w:type="dxa"/>
            <w:tcBorders>
              <w:top w:val="single" w:color="000000" w:sz="4" w:space="0"/>
              <w:left w:val="single" w:color="000000" w:sz="4" w:space="0"/>
              <w:bottom w:val="single" w:color="000000" w:sz="4" w:space="0"/>
              <w:right w:val="single" w:color="000000" w:sz="4" w:space="0"/>
            </w:tcBorders>
            <w:vAlign w:val="center"/>
          </w:tcPr>
          <w:p w14:paraId="34E93641">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投标人要求澄清招标文件的截止时间</w:t>
            </w:r>
          </w:p>
        </w:tc>
        <w:tc>
          <w:tcPr>
            <w:tcW w:w="6378" w:type="dxa"/>
            <w:tcBorders>
              <w:top w:val="single" w:color="000000" w:sz="4" w:space="0"/>
              <w:left w:val="single" w:color="000000" w:sz="4" w:space="0"/>
              <w:bottom w:val="single" w:color="000000" w:sz="4" w:space="0"/>
              <w:right w:val="single" w:color="000000" w:sz="4" w:space="0"/>
            </w:tcBorders>
            <w:vAlign w:val="center"/>
          </w:tcPr>
          <w:p w14:paraId="336ADCE1">
            <w:pPr>
              <w:pStyle w:val="20"/>
              <w:spacing w:line="360" w:lineRule="auto"/>
              <w:rPr>
                <w:rFonts w:hint="eastAsia"/>
                <w:color w:val="auto"/>
                <w:sz w:val="21"/>
                <w:szCs w:val="21"/>
                <w:highlight w:val="none"/>
                <w:lang w:eastAsia="zh-CN"/>
              </w:rPr>
            </w:pPr>
            <w:r>
              <w:rPr>
                <w:rFonts w:hint="eastAsia"/>
                <w:color w:val="auto"/>
                <w:sz w:val="21"/>
                <w:szCs w:val="21"/>
                <w:highlight w:val="none"/>
                <w:lang w:eastAsia="zh-CN"/>
              </w:rPr>
              <w:t>时间：在提交投标文件截止时间18天前提出。</w:t>
            </w:r>
          </w:p>
          <w:p w14:paraId="0581A842">
            <w:pPr>
              <w:pStyle w:val="20"/>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形式：投标人疑问通过网上提交。网上答疑的操作指南为：登陆</w:t>
            </w:r>
            <w:r>
              <w:rPr>
                <w:rFonts w:hint="eastAsia" w:ascii="宋体" w:hAnsi="宋体" w:eastAsia="宋体"/>
                <w:color w:val="auto"/>
                <w:kern w:val="1"/>
                <w:sz w:val="21"/>
                <w:szCs w:val="21"/>
                <w:highlight w:val="none"/>
                <w:u w:val="none"/>
              </w:rPr>
              <w:t>广州交易集团有限公司（广州公共资源交易中心）</w:t>
            </w:r>
            <w:r>
              <w:rPr>
                <w:rFonts w:hint="eastAsia"/>
                <w:color w:val="auto"/>
                <w:sz w:val="21"/>
                <w:szCs w:val="21"/>
                <w:highlight w:val="none"/>
                <w:lang w:val="en-US" w:eastAsia="zh-CN"/>
              </w:rPr>
              <w:t>网站交易系统→进入“我的投标”专区→进入“招标答疑”选项→通过项目编号或名称找到所需的项目→在答疑时间内点击“答疑提问-新增提问”→提出问题(提问一律不得署名)。具体操作</w:t>
            </w:r>
            <w:r>
              <w:rPr>
                <w:rFonts w:hint="eastAsia" w:ascii="宋体" w:hAnsi="宋体" w:eastAsia="宋体"/>
                <w:color w:val="auto"/>
                <w:sz w:val="21"/>
                <w:szCs w:val="21"/>
                <w:highlight w:val="none"/>
                <w:lang w:val="en-US" w:eastAsia="zh-CN"/>
              </w:rPr>
              <w:t>方法详见</w:t>
            </w:r>
            <w:r>
              <w:rPr>
                <w:rFonts w:hint="eastAsia" w:ascii="宋体" w:hAnsi="宋体" w:eastAsia="宋体"/>
                <w:color w:val="auto"/>
                <w:sz w:val="21"/>
                <w:szCs w:val="21"/>
                <w:highlight w:val="none"/>
                <w:u w:val="none"/>
                <w:lang w:val="en-US"/>
              </w:rPr>
              <w:t>交易平台相关操作指南</w:t>
            </w:r>
            <w:r>
              <w:rPr>
                <w:rFonts w:hint="eastAsia" w:ascii="宋体" w:hAnsi="宋体" w:eastAsia="宋体"/>
                <w:color w:val="auto"/>
                <w:sz w:val="21"/>
                <w:szCs w:val="21"/>
                <w:highlight w:val="none"/>
                <w:lang w:val="en-US" w:eastAsia="zh-CN"/>
              </w:rPr>
              <w:t>。</w:t>
            </w:r>
          </w:p>
        </w:tc>
      </w:tr>
      <w:tr w14:paraId="54621E06">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777845C">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2.2.3</w:t>
            </w:r>
          </w:p>
        </w:tc>
        <w:tc>
          <w:tcPr>
            <w:tcW w:w="2330" w:type="dxa"/>
            <w:tcBorders>
              <w:top w:val="single" w:color="000000" w:sz="4" w:space="0"/>
              <w:left w:val="single" w:color="000000" w:sz="4" w:space="0"/>
              <w:bottom w:val="single" w:color="000000" w:sz="4" w:space="0"/>
              <w:right w:val="single" w:color="000000" w:sz="4" w:space="0"/>
            </w:tcBorders>
            <w:vAlign w:val="center"/>
          </w:tcPr>
          <w:p w14:paraId="11FF6B8D">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投标人确认收到答疑纪要或澄清的时间</w:t>
            </w:r>
          </w:p>
        </w:tc>
        <w:tc>
          <w:tcPr>
            <w:tcW w:w="6378" w:type="dxa"/>
            <w:tcBorders>
              <w:top w:val="single" w:color="000000" w:sz="4" w:space="0"/>
              <w:left w:val="single" w:color="000000" w:sz="4" w:space="0"/>
              <w:bottom w:val="single" w:color="000000" w:sz="4" w:space="0"/>
              <w:right w:val="single" w:color="000000" w:sz="4" w:space="0"/>
            </w:tcBorders>
            <w:vAlign w:val="center"/>
          </w:tcPr>
          <w:p w14:paraId="07875EBD">
            <w:pPr>
              <w:widowControl/>
              <w:spacing w:line="360" w:lineRule="auto"/>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szCs w:val="21"/>
                <w:highlight w:val="none"/>
              </w:rPr>
              <w:t>网上答疑专区发布时视为投标人收到。</w:t>
            </w:r>
          </w:p>
        </w:tc>
      </w:tr>
      <w:tr w14:paraId="37D6D81D">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ED7102F">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2.3.2</w:t>
            </w:r>
          </w:p>
        </w:tc>
        <w:tc>
          <w:tcPr>
            <w:tcW w:w="2330" w:type="dxa"/>
            <w:tcBorders>
              <w:top w:val="single" w:color="000000" w:sz="4" w:space="0"/>
              <w:left w:val="single" w:color="000000" w:sz="4" w:space="0"/>
              <w:bottom w:val="single" w:color="000000" w:sz="4" w:space="0"/>
              <w:right w:val="single" w:color="000000" w:sz="4" w:space="0"/>
            </w:tcBorders>
            <w:vAlign w:val="center"/>
          </w:tcPr>
          <w:p w14:paraId="6B8F329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投标人确认收到招标文件修改的时间</w:t>
            </w:r>
          </w:p>
        </w:tc>
        <w:tc>
          <w:tcPr>
            <w:tcW w:w="6378" w:type="dxa"/>
            <w:tcBorders>
              <w:top w:val="single" w:color="000000" w:sz="4" w:space="0"/>
              <w:left w:val="single" w:color="000000" w:sz="4" w:space="0"/>
              <w:bottom w:val="single" w:color="000000" w:sz="4" w:space="0"/>
              <w:right w:val="single" w:color="000000" w:sz="4" w:space="0"/>
            </w:tcBorders>
            <w:vAlign w:val="center"/>
          </w:tcPr>
          <w:p w14:paraId="54F9B9EC">
            <w:pPr>
              <w:widowControl/>
              <w:spacing w:line="360" w:lineRule="auto"/>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szCs w:val="21"/>
                <w:highlight w:val="none"/>
              </w:rPr>
              <w:t>网上答疑专区发布时视为投标人收到。</w:t>
            </w:r>
          </w:p>
        </w:tc>
      </w:tr>
      <w:tr w14:paraId="3AFBEAD6">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7D2C9DD">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3.1.1</w:t>
            </w:r>
          </w:p>
        </w:tc>
        <w:tc>
          <w:tcPr>
            <w:tcW w:w="2330" w:type="dxa"/>
            <w:tcBorders>
              <w:top w:val="single" w:color="000000" w:sz="4" w:space="0"/>
              <w:left w:val="single" w:color="000000" w:sz="4" w:space="0"/>
              <w:bottom w:val="single" w:color="000000" w:sz="4" w:space="0"/>
              <w:right w:val="single" w:color="000000" w:sz="4" w:space="0"/>
            </w:tcBorders>
            <w:vAlign w:val="center"/>
          </w:tcPr>
          <w:p w14:paraId="31C81EC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构成投标文件的其他资料</w:t>
            </w:r>
          </w:p>
        </w:tc>
        <w:tc>
          <w:tcPr>
            <w:tcW w:w="6378" w:type="dxa"/>
            <w:tcBorders>
              <w:top w:val="single" w:color="000000" w:sz="4" w:space="0"/>
              <w:left w:val="single" w:color="000000" w:sz="4" w:space="0"/>
              <w:bottom w:val="single" w:color="000000" w:sz="4" w:space="0"/>
              <w:right w:val="single" w:color="000000" w:sz="4" w:space="0"/>
            </w:tcBorders>
            <w:vAlign w:val="center"/>
          </w:tcPr>
          <w:p w14:paraId="3109ED82">
            <w:pPr>
              <w:widowControl/>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见第七章《投标文件格式》要求</w:t>
            </w:r>
          </w:p>
        </w:tc>
      </w:tr>
      <w:tr w14:paraId="3B7020C2">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554C4C1">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3.2.</w:t>
            </w:r>
            <w:r>
              <w:rPr>
                <w:rFonts w:ascii="宋体" w:hAnsi="宋体"/>
                <w:color w:val="auto"/>
                <w:kern w:val="1"/>
                <w:szCs w:val="21"/>
                <w:highlight w:val="none"/>
              </w:rPr>
              <w:t>4</w:t>
            </w:r>
          </w:p>
        </w:tc>
        <w:tc>
          <w:tcPr>
            <w:tcW w:w="2330" w:type="dxa"/>
            <w:tcBorders>
              <w:top w:val="single" w:color="000000" w:sz="4" w:space="0"/>
              <w:left w:val="single" w:color="000000" w:sz="4" w:space="0"/>
              <w:bottom w:val="single" w:color="000000" w:sz="4" w:space="0"/>
              <w:right w:val="single" w:color="000000" w:sz="4" w:space="0"/>
            </w:tcBorders>
            <w:vAlign w:val="center"/>
          </w:tcPr>
          <w:p w14:paraId="3C2088C5">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最高投标限价</w:t>
            </w:r>
          </w:p>
        </w:tc>
        <w:tc>
          <w:tcPr>
            <w:tcW w:w="6378" w:type="dxa"/>
            <w:tcBorders>
              <w:top w:val="single" w:color="000000" w:sz="4" w:space="0"/>
              <w:left w:val="single" w:color="000000" w:sz="4" w:space="0"/>
              <w:bottom w:val="single" w:color="000000" w:sz="4" w:space="0"/>
              <w:right w:val="single" w:color="000000" w:sz="4" w:space="0"/>
            </w:tcBorders>
            <w:vAlign w:val="center"/>
          </w:tcPr>
          <w:p w14:paraId="59524537">
            <w:pPr>
              <w:spacing w:line="400" w:lineRule="exact"/>
              <w:rPr>
                <w:rFonts w:hint="eastAsia" w:ascii="宋体" w:hAnsi="宋体" w:eastAsia="宋体"/>
                <w:color w:val="auto"/>
                <w:highlight w:val="none"/>
              </w:rPr>
            </w:pPr>
            <w:r>
              <w:rPr>
                <w:rFonts w:hint="eastAsia" w:ascii="宋体" w:hAnsi="宋体" w:eastAsia="宋体"/>
                <w:color w:val="auto"/>
                <w:highlight w:val="none"/>
              </w:rPr>
              <w:t>1.最高投标总限价人民币</w:t>
            </w:r>
            <w:r>
              <w:rPr>
                <w:rFonts w:hint="eastAsia" w:ascii="宋体" w:hAnsi="宋体" w:eastAsia="宋体"/>
                <w:color w:val="auto"/>
                <w:sz w:val="21"/>
                <w:szCs w:val="22"/>
                <w:highlight w:val="none"/>
                <w:u w:val="single"/>
                <w:lang w:val="en-US" w:eastAsia="zh-CN"/>
              </w:rPr>
              <w:t>24046.19</w:t>
            </w:r>
            <w:r>
              <w:rPr>
                <w:rFonts w:hint="eastAsia" w:ascii="宋体" w:hAnsi="宋体" w:eastAsia="宋体"/>
                <w:color w:val="auto"/>
                <w:highlight w:val="none"/>
              </w:rPr>
              <w:t>万元（其中：设计费最高投标限价为</w:t>
            </w:r>
            <w:r>
              <w:rPr>
                <w:rFonts w:hint="eastAsia" w:ascii="宋体" w:hAnsi="宋体" w:eastAsia="宋体"/>
                <w:color w:val="auto"/>
                <w:sz w:val="21"/>
                <w:szCs w:val="22"/>
                <w:highlight w:val="none"/>
                <w:u w:val="single"/>
                <w:lang w:val="en-US" w:eastAsia="zh-CN"/>
              </w:rPr>
              <w:t>289.66</w:t>
            </w:r>
            <w:r>
              <w:rPr>
                <w:rFonts w:hint="eastAsia" w:ascii="宋体" w:hAnsi="宋体" w:eastAsia="宋体"/>
                <w:color w:val="auto"/>
                <w:highlight w:val="none"/>
              </w:rPr>
              <w:t>万元；建安工程费最高投标限价为</w:t>
            </w:r>
            <w:r>
              <w:rPr>
                <w:rFonts w:hint="eastAsia" w:ascii="宋体" w:hAnsi="宋体" w:eastAsia="宋体"/>
                <w:color w:val="auto"/>
                <w:sz w:val="21"/>
                <w:highlight w:val="none"/>
                <w:u w:val="single"/>
                <w:lang w:val="en-US" w:eastAsia="zh-CN"/>
              </w:rPr>
              <w:t>23756.53</w:t>
            </w:r>
            <w:r>
              <w:rPr>
                <w:rFonts w:hint="eastAsia" w:ascii="宋体" w:hAnsi="宋体" w:eastAsia="宋体"/>
                <w:color w:val="auto"/>
                <w:highlight w:val="none"/>
              </w:rPr>
              <w:t>万元）。</w:t>
            </w:r>
          </w:p>
          <w:p w14:paraId="6C66AF41">
            <w:pPr>
              <w:spacing w:line="400" w:lineRule="exact"/>
              <w:rPr>
                <w:rFonts w:hint="eastAsia" w:ascii="宋体" w:hAnsi="宋体" w:eastAsia="宋体"/>
                <w:color w:val="auto"/>
                <w:highlight w:val="none"/>
              </w:rPr>
            </w:pPr>
            <w:bookmarkStart w:id="43" w:name="_Hlk78992326"/>
            <w:bookmarkEnd w:id="43"/>
            <w:r>
              <w:rPr>
                <w:rFonts w:hint="eastAsia" w:ascii="宋体" w:hAnsi="宋体" w:eastAsia="宋体"/>
                <w:color w:val="auto"/>
                <w:highlight w:val="none"/>
              </w:rPr>
              <w:t>2.上述最高限价为暂估值，投标时投标人除填报投标价外，需同时填报投标下浮率（建安工程费部分、设计费部分报价下浮率分别只算一个，各分项报价共用对应的下浮率）。投标人投标报价总价或设计费投标报价或建安工程费投标报价超过上述相应最高投标限价的均为无效标。</w:t>
            </w:r>
          </w:p>
        </w:tc>
      </w:tr>
      <w:tr w14:paraId="248D8E7F">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F3BEE48">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3.2.</w:t>
            </w:r>
            <w:r>
              <w:rPr>
                <w:rFonts w:ascii="宋体" w:hAnsi="宋体"/>
                <w:color w:val="auto"/>
                <w:kern w:val="1"/>
                <w:szCs w:val="21"/>
                <w:highlight w:val="none"/>
              </w:rPr>
              <w:t>5</w:t>
            </w:r>
          </w:p>
        </w:tc>
        <w:tc>
          <w:tcPr>
            <w:tcW w:w="2330" w:type="dxa"/>
            <w:tcBorders>
              <w:top w:val="single" w:color="000000" w:sz="4" w:space="0"/>
              <w:left w:val="single" w:color="000000" w:sz="4" w:space="0"/>
              <w:bottom w:val="single" w:color="000000" w:sz="4" w:space="0"/>
              <w:right w:val="single" w:color="000000" w:sz="4" w:space="0"/>
            </w:tcBorders>
            <w:vAlign w:val="center"/>
          </w:tcPr>
          <w:p w14:paraId="1C80F351">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投标报价的其他要求</w:t>
            </w:r>
          </w:p>
        </w:tc>
        <w:tc>
          <w:tcPr>
            <w:tcW w:w="6378" w:type="dxa"/>
            <w:tcBorders>
              <w:top w:val="single" w:color="000000" w:sz="4" w:space="0"/>
              <w:left w:val="single" w:color="000000" w:sz="4" w:space="0"/>
              <w:bottom w:val="single" w:color="000000" w:sz="4" w:space="0"/>
              <w:right w:val="single" w:color="000000" w:sz="4" w:space="0"/>
            </w:tcBorders>
            <w:vAlign w:val="center"/>
          </w:tcPr>
          <w:p w14:paraId="30183FBC">
            <w:pPr>
              <w:spacing w:line="400" w:lineRule="exact"/>
              <w:rPr>
                <w:rFonts w:hint="eastAsia" w:ascii="宋体" w:hAnsi="宋体" w:eastAsia="宋体"/>
                <w:color w:val="auto"/>
                <w:highlight w:val="none"/>
              </w:rPr>
            </w:pPr>
            <w:r>
              <w:rPr>
                <w:rFonts w:hint="eastAsia" w:ascii="宋体" w:hAnsi="宋体" w:eastAsia="宋体"/>
                <w:color w:val="auto"/>
                <w:highlight w:val="none"/>
              </w:rPr>
              <w:t>投标总报价由设计费投标报价、建安工程费投标报价组成：</w:t>
            </w:r>
          </w:p>
          <w:p w14:paraId="5959338A">
            <w:pPr>
              <w:spacing w:line="400" w:lineRule="exact"/>
              <w:rPr>
                <w:rFonts w:hint="eastAsia" w:ascii="宋体" w:hAnsi="宋体" w:eastAsia="宋体"/>
                <w:color w:val="auto"/>
                <w:highlight w:val="none"/>
              </w:rPr>
            </w:pPr>
            <w:r>
              <w:rPr>
                <w:rFonts w:hint="eastAsia" w:ascii="宋体" w:hAnsi="宋体" w:eastAsia="宋体"/>
                <w:color w:val="auto"/>
                <w:highlight w:val="none"/>
              </w:rPr>
              <w:t>1、设计费投标报价的要求：</w:t>
            </w:r>
          </w:p>
          <w:p w14:paraId="23965B3C">
            <w:pPr>
              <w:spacing w:line="400" w:lineRule="exact"/>
              <w:rPr>
                <w:rFonts w:hint="eastAsia" w:ascii="宋体" w:hAnsi="宋体" w:eastAsia="宋体"/>
                <w:color w:val="auto"/>
                <w:highlight w:val="none"/>
              </w:rPr>
            </w:pPr>
            <w:r>
              <w:rPr>
                <w:rFonts w:hint="eastAsia" w:ascii="宋体" w:hAnsi="宋体" w:eastAsia="宋体"/>
                <w:color w:val="auto"/>
                <w:highlight w:val="none"/>
              </w:rPr>
              <w:t>设计费用参照国家有关收费标准计算，投标下浮率由投标人自行填报。设计的投标下浮率作为结算的依据，详见合同协议书，最终结算以有关部门审定结果为准。</w:t>
            </w:r>
          </w:p>
          <w:p w14:paraId="306107F6">
            <w:pPr>
              <w:spacing w:line="400" w:lineRule="exact"/>
              <w:rPr>
                <w:rFonts w:hint="eastAsia" w:ascii="宋体" w:hAnsi="宋体" w:eastAsia="宋体"/>
                <w:color w:val="auto"/>
                <w:highlight w:val="none"/>
              </w:rPr>
            </w:pPr>
            <w:r>
              <w:rPr>
                <w:rFonts w:hint="eastAsia" w:ascii="宋体" w:hAnsi="宋体" w:eastAsia="宋体"/>
                <w:color w:val="auto"/>
                <w:highlight w:val="none"/>
              </w:rPr>
              <w:t>2、建安工程费报价的要求：</w:t>
            </w:r>
          </w:p>
          <w:p w14:paraId="64423EAF">
            <w:pPr>
              <w:spacing w:line="400" w:lineRule="exact"/>
              <w:rPr>
                <w:rFonts w:hint="eastAsia" w:ascii="宋体" w:hAnsi="宋体" w:eastAsia="宋体"/>
                <w:color w:val="auto"/>
                <w:highlight w:val="none"/>
              </w:rPr>
            </w:pPr>
            <w:r>
              <w:rPr>
                <w:rFonts w:hint="eastAsia" w:ascii="宋体" w:hAnsi="宋体" w:eastAsia="宋体"/>
                <w:color w:val="auto"/>
                <w:highlight w:val="none"/>
              </w:rPr>
              <w:t>建安工程费用由投标人根据招标文件要求以及企业自身情况填报投标下浮率，投标报价不得高于最高投标限价。建安工程费投标报价的投标下浮率及施工合同的计价方式（详见附件合同计价方式，具体签订的施工合同为准）作为签订结算的依据，最终结算以有关部门审定结果为准。</w:t>
            </w:r>
          </w:p>
          <w:p w14:paraId="77BA4023">
            <w:pPr>
              <w:spacing w:line="400" w:lineRule="exac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w:t>
            </w:r>
            <w:r>
              <w:rPr>
                <w:rFonts w:hint="eastAsia" w:ascii="宋体" w:hAnsi="宋体" w:eastAsia="宋体"/>
                <w:color w:val="auto"/>
                <w:highlight w:val="none"/>
                <w:lang w:eastAsia="zh-CN"/>
              </w:rPr>
              <w:t>本项目投标报价小数点后保留二位小数，第三位小数四舍五入。</w:t>
            </w:r>
          </w:p>
        </w:tc>
      </w:tr>
      <w:tr w14:paraId="3771BF2D">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B4AE0D5">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3.3.1</w:t>
            </w:r>
          </w:p>
        </w:tc>
        <w:tc>
          <w:tcPr>
            <w:tcW w:w="2330" w:type="dxa"/>
            <w:tcBorders>
              <w:top w:val="single" w:color="000000" w:sz="4" w:space="0"/>
              <w:left w:val="single" w:color="000000" w:sz="4" w:space="0"/>
              <w:bottom w:val="single" w:color="000000" w:sz="4" w:space="0"/>
              <w:right w:val="single" w:color="000000" w:sz="4" w:space="0"/>
            </w:tcBorders>
            <w:vAlign w:val="center"/>
          </w:tcPr>
          <w:p w14:paraId="604A0C0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投标有效期</w:t>
            </w:r>
          </w:p>
        </w:tc>
        <w:tc>
          <w:tcPr>
            <w:tcW w:w="6378" w:type="dxa"/>
            <w:tcBorders>
              <w:top w:val="single" w:color="000000" w:sz="4" w:space="0"/>
              <w:left w:val="single" w:color="000000" w:sz="4" w:space="0"/>
              <w:bottom w:val="single" w:color="000000" w:sz="4" w:space="0"/>
              <w:right w:val="single" w:color="000000" w:sz="4" w:space="0"/>
            </w:tcBorders>
            <w:vAlign w:val="center"/>
          </w:tcPr>
          <w:p w14:paraId="6E3D7493">
            <w:pPr>
              <w:widowControl/>
              <w:spacing w:line="360" w:lineRule="auto"/>
              <w:rPr>
                <w:rFonts w:hint="eastAsia" w:ascii="宋体"/>
                <w:color w:val="auto"/>
                <w:szCs w:val="21"/>
                <w:highlight w:val="none"/>
                <w:u w:val="single"/>
              </w:rPr>
            </w:pPr>
            <w:r>
              <w:rPr>
                <w:rFonts w:hint="eastAsia" w:ascii="宋体"/>
                <w:color w:val="auto"/>
                <w:szCs w:val="21"/>
                <w:highlight w:val="none"/>
                <w:u w:val="single"/>
              </w:rPr>
              <w:t>180日历天（从递交投标文件截止之日计起），如出现异议或投诉，则投标有效期自动延长至异议或投诉处理结束，确定中标人并发放中标通知书为止。</w:t>
            </w:r>
          </w:p>
        </w:tc>
      </w:tr>
      <w:tr w14:paraId="26BDACEB">
        <w:tblPrEx>
          <w:tblCellMar>
            <w:top w:w="0" w:type="dxa"/>
            <w:left w:w="108" w:type="dxa"/>
            <w:bottom w:w="0" w:type="dxa"/>
            <w:right w:w="108" w:type="dxa"/>
          </w:tblCellMar>
        </w:tblPrEx>
        <w:trPr>
          <w:trHeight w:val="703"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B347C67">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3.4</w:t>
            </w:r>
            <w:r>
              <w:rPr>
                <w:rFonts w:ascii="宋体" w:hAnsi="宋体"/>
                <w:color w:val="auto"/>
                <w:kern w:val="1"/>
                <w:szCs w:val="21"/>
                <w:highlight w:val="none"/>
              </w:rPr>
              <w:t>.1</w:t>
            </w:r>
          </w:p>
        </w:tc>
        <w:tc>
          <w:tcPr>
            <w:tcW w:w="2330" w:type="dxa"/>
            <w:tcBorders>
              <w:top w:val="single" w:color="000000" w:sz="4" w:space="0"/>
              <w:left w:val="single" w:color="000000" w:sz="4" w:space="0"/>
              <w:bottom w:val="single" w:color="000000" w:sz="4" w:space="0"/>
              <w:right w:val="single" w:color="000000" w:sz="4" w:space="0"/>
            </w:tcBorders>
            <w:vAlign w:val="center"/>
          </w:tcPr>
          <w:p w14:paraId="5C673865">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投标保证金</w:t>
            </w:r>
          </w:p>
        </w:tc>
        <w:tc>
          <w:tcPr>
            <w:tcW w:w="6378" w:type="dxa"/>
            <w:tcBorders>
              <w:top w:val="single" w:color="000000" w:sz="4" w:space="0"/>
              <w:left w:val="single" w:color="000000" w:sz="4" w:space="0"/>
              <w:bottom w:val="single" w:color="000000" w:sz="4" w:space="0"/>
              <w:right w:val="single" w:color="000000" w:sz="4" w:space="0"/>
            </w:tcBorders>
            <w:vAlign w:val="center"/>
          </w:tcPr>
          <w:p w14:paraId="7B94BAA3">
            <w:pPr>
              <w:snapToGrid w:val="0"/>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投标保证金的金额：</w:t>
            </w:r>
            <w:r>
              <w:rPr>
                <w:rFonts w:hint="eastAsia" w:ascii="宋体" w:hAnsi="宋体"/>
                <w:color w:val="auto"/>
                <w:szCs w:val="21"/>
                <w:highlight w:val="none"/>
                <w:lang w:eastAsia="zh-CN"/>
              </w:rPr>
              <w:t>本项目不收取投标保证金。</w:t>
            </w:r>
          </w:p>
        </w:tc>
      </w:tr>
      <w:tr w14:paraId="1D2584EC">
        <w:tblPrEx>
          <w:tblCellMar>
            <w:top w:w="0" w:type="dxa"/>
            <w:left w:w="108" w:type="dxa"/>
            <w:bottom w:w="0" w:type="dxa"/>
            <w:right w:w="108" w:type="dxa"/>
          </w:tblCellMar>
        </w:tblPrEx>
        <w:trPr>
          <w:trHeight w:val="77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EF900DF">
            <w:pPr>
              <w:spacing w:line="360" w:lineRule="auto"/>
              <w:jc w:val="center"/>
              <w:rPr>
                <w:rFonts w:ascii="宋体" w:hAnsi="宋体"/>
                <w:color w:val="auto"/>
                <w:kern w:val="1"/>
                <w:szCs w:val="21"/>
                <w:highlight w:val="none"/>
              </w:rPr>
            </w:pPr>
            <w:r>
              <w:rPr>
                <w:rFonts w:ascii="宋体" w:hAnsi="宋体"/>
                <w:color w:val="auto"/>
                <w:kern w:val="1"/>
                <w:szCs w:val="21"/>
                <w:highlight w:val="none"/>
              </w:rPr>
              <w:t>3.5.</w:t>
            </w:r>
            <w:r>
              <w:rPr>
                <w:rFonts w:hint="eastAsia" w:ascii="宋体" w:hAnsi="宋体"/>
                <w:color w:val="auto"/>
                <w:kern w:val="1"/>
                <w:szCs w:val="21"/>
                <w:highlight w:val="none"/>
              </w:rPr>
              <w:t>3</w:t>
            </w:r>
          </w:p>
        </w:tc>
        <w:tc>
          <w:tcPr>
            <w:tcW w:w="2330" w:type="dxa"/>
            <w:tcBorders>
              <w:top w:val="single" w:color="000000" w:sz="4" w:space="0"/>
              <w:left w:val="single" w:color="000000" w:sz="4" w:space="0"/>
              <w:bottom w:val="single" w:color="000000" w:sz="4" w:space="0"/>
              <w:right w:val="single" w:color="000000" w:sz="4" w:space="0"/>
            </w:tcBorders>
            <w:vAlign w:val="center"/>
          </w:tcPr>
          <w:p w14:paraId="32348B4B">
            <w:pPr>
              <w:spacing w:line="360" w:lineRule="auto"/>
              <w:jc w:val="center"/>
              <w:rPr>
                <w:rFonts w:ascii="宋体" w:hAnsi="宋体"/>
                <w:color w:val="auto"/>
                <w:kern w:val="1"/>
                <w:szCs w:val="21"/>
                <w:highlight w:val="none"/>
              </w:rPr>
            </w:pPr>
            <w:r>
              <w:rPr>
                <w:rFonts w:ascii="宋体" w:hAnsi="宋体"/>
                <w:color w:val="auto"/>
                <w:kern w:val="1"/>
                <w:szCs w:val="21"/>
                <w:highlight w:val="none"/>
              </w:rPr>
              <w:t>近年完成的类似项目</w:t>
            </w:r>
          </w:p>
        </w:tc>
        <w:tc>
          <w:tcPr>
            <w:tcW w:w="6378" w:type="dxa"/>
            <w:tcBorders>
              <w:top w:val="single" w:color="000000" w:sz="4" w:space="0"/>
              <w:left w:val="single" w:color="000000" w:sz="4" w:space="0"/>
              <w:bottom w:val="single" w:color="000000" w:sz="4" w:space="0"/>
              <w:right w:val="single" w:color="000000" w:sz="4" w:space="0"/>
            </w:tcBorders>
            <w:vAlign w:val="center"/>
          </w:tcPr>
          <w:p w14:paraId="2D859546">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20</w:t>
            </w:r>
            <w:r>
              <w:rPr>
                <w:rFonts w:hint="eastAsia" w:ascii="宋体" w:hAnsi="宋体"/>
                <w:color w:val="auto"/>
                <w:szCs w:val="21"/>
                <w:highlight w:val="none"/>
                <w:u w:val="single"/>
                <w:lang w:val="en-US" w:eastAsia="zh-CN"/>
              </w:rPr>
              <w:t>21</w:t>
            </w:r>
            <w:r>
              <w:rPr>
                <w:rFonts w:hint="eastAsia" w:ascii="宋体" w:hAnsi="宋体"/>
                <w:color w:val="auto"/>
                <w:szCs w:val="21"/>
                <w:highlight w:val="none"/>
                <w:u w:val="single"/>
              </w:rPr>
              <w:t>年1月1日至今</w:t>
            </w:r>
          </w:p>
        </w:tc>
      </w:tr>
      <w:tr w14:paraId="5BDC5E8B">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00AB6D8">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3.6</w:t>
            </w:r>
          </w:p>
        </w:tc>
        <w:tc>
          <w:tcPr>
            <w:tcW w:w="2330" w:type="dxa"/>
            <w:tcBorders>
              <w:top w:val="single" w:color="000000" w:sz="4" w:space="0"/>
              <w:left w:val="single" w:color="000000" w:sz="4" w:space="0"/>
              <w:bottom w:val="single" w:color="000000" w:sz="4" w:space="0"/>
              <w:right w:val="single" w:color="000000" w:sz="4" w:space="0"/>
            </w:tcBorders>
            <w:vAlign w:val="center"/>
          </w:tcPr>
          <w:p w14:paraId="650A04B4">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是否允许递交备选投标方案</w:t>
            </w:r>
          </w:p>
        </w:tc>
        <w:tc>
          <w:tcPr>
            <w:tcW w:w="6378" w:type="dxa"/>
            <w:tcBorders>
              <w:top w:val="single" w:color="000000" w:sz="4" w:space="0"/>
              <w:left w:val="single" w:color="000000" w:sz="4" w:space="0"/>
              <w:bottom w:val="single" w:color="000000" w:sz="4" w:space="0"/>
              <w:right w:val="single" w:color="000000" w:sz="4" w:space="0"/>
            </w:tcBorders>
            <w:vAlign w:val="center"/>
          </w:tcPr>
          <w:p w14:paraId="555996AB">
            <w:pPr>
              <w:pStyle w:val="17"/>
              <w:spacing w:line="360" w:lineRule="auto"/>
              <w:rPr>
                <w:rFonts w:hint="eastAsia"/>
                <w:color w:val="auto"/>
                <w:kern w:val="1"/>
                <w:sz w:val="21"/>
                <w:szCs w:val="21"/>
                <w:highlight w:val="none"/>
              </w:rPr>
            </w:pPr>
            <w:r>
              <w:rPr>
                <w:rFonts w:hint="eastAsia"/>
                <w:color w:val="auto"/>
                <w:kern w:val="1"/>
                <w:sz w:val="21"/>
                <w:szCs w:val="21"/>
                <w:highlight w:val="none"/>
              </w:rPr>
              <w:t>■不允许</w:t>
            </w:r>
          </w:p>
          <w:p w14:paraId="2EE00B12">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□允许</w:t>
            </w:r>
          </w:p>
        </w:tc>
      </w:tr>
      <w:tr w14:paraId="7CD11811">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D5837F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3.7.</w:t>
            </w:r>
            <w:r>
              <w:rPr>
                <w:rFonts w:ascii="宋体" w:hAnsi="宋体"/>
                <w:color w:val="auto"/>
                <w:kern w:val="1"/>
                <w:szCs w:val="21"/>
                <w:highlight w:val="none"/>
              </w:rPr>
              <w:t>3</w:t>
            </w:r>
          </w:p>
        </w:tc>
        <w:tc>
          <w:tcPr>
            <w:tcW w:w="2330" w:type="dxa"/>
            <w:tcBorders>
              <w:top w:val="single" w:color="000000" w:sz="4" w:space="0"/>
              <w:left w:val="single" w:color="000000" w:sz="4" w:space="0"/>
              <w:bottom w:val="single" w:color="000000" w:sz="4" w:space="0"/>
              <w:right w:val="single" w:color="000000" w:sz="4" w:space="0"/>
            </w:tcBorders>
            <w:vAlign w:val="center"/>
          </w:tcPr>
          <w:p w14:paraId="3BECD38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签字或盖章要求</w:t>
            </w:r>
          </w:p>
        </w:tc>
        <w:tc>
          <w:tcPr>
            <w:tcW w:w="6378" w:type="dxa"/>
            <w:tcBorders>
              <w:top w:val="single" w:color="000000" w:sz="4" w:space="0"/>
              <w:left w:val="single" w:color="000000" w:sz="4" w:space="0"/>
              <w:bottom w:val="single" w:color="000000" w:sz="4" w:space="0"/>
              <w:right w:val="single" w:color="000000" w:sz="4" w:space="0"/>
            </w:tcBorders>
            <w:vAlign w:val="center"/>
          </w:tcPr>
          <w:p w14:paraId="0C6AB209">
            <w:pPr>
              <w:spacing w:line="360" w:lineRule="auto"/>
              <w:rPr>
                <w:rFonts w:hint="eastAsia" w:ascii="宋体"/>
                <w:color w:val="auto"/>
                <w:szCs w:val="21"/>
                <w:highlight w:val="none"/>
                <w:u w:val="single"/>
              </w:rPr>
            </w:pPr>
            <w:r>
              <w:rPr>
                <w:rFonts w:hint="eastAsia" w:ascii="宋体"/>
                <w:color w:val="auto"/>
                <w:szCs w:val="21"/>
                <w:highlight w:val="none"/>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联合体共同投标协议书需联合体各方同时签字或盖章外，法定代表人证明书及授权委托证明书可由联合体主办方出具，其中“单位”一栏可只填写联合体主办方名称外，其他内容及落款中的“投标人”</w:t>
            </w:r>
            <w:r>
              <w:rPr>
                <w:rFonts w:hint="eastAsia" w:ascii="宋体"/>
                <w:color w:val="auto"/>
                <w:szCs w:val="21"/>
                <w:highlight w:val="none"/>
                <w:u w:val="single"/>
                <w:lang w:eastAsia="zh-CN"/>
              </w:rPr>
              <w:t>“</w:t>
            </w:r>
            <w:r>
              <w:rPr>
                <w:rFonts w:hint="eastAsia" w:ascii="宋体" w:hAnsi="宋体" w:eastAsia="宋体"/>
                <w:color w:val="auto"/>
                <w:sz w:val="21"/>
                <w:szCs w:val="21"/>
                <w:highlight w:val="none"/>
                <w:u w:val="single"/>
              </w:rPr>
              <w:t>声明企业</w:t>
            </w:r>
            <w:r>
              <w:rPr>
                <w:rFonts w:hint="eastAsia" w:ascii="宋体"/>
                <w:color w:val="auto"/>
                <w:szCs w:val="21"/>
                <w:highlight w:val="none"/>
                <w:u w:val="single"/>
                <w:lang w:eastAsia="zh-CN"/>
              </w:rPr>
              <w:t>”</w:t>
            </w:r>
            <w:r>
              <w:rPr>
                <w:rFonts w:hint="eastAsia" w:ascii="宋体"/>
                <w:color w:val="auto"/>
                <w:szCs w:val="21"/>
                <w:highlight w:val="none"/>
                <w:u w:val="single"/>
              </w:rPr>
              <w:t>应填写联合体各方的单位全称【参考格式表示为：</w:t>
            </w:r>
            <w:r>
              <w:rPr>
                <w:rFonts w:hint="eastAsia" w:ascii="宋体"/>
                <w:color w:val="auto"/>
                <w:szCs w:val="21"/>
                <w:highlight w:val="none"/>
                <w:u w:val="single"/>
                <w:lang w:eastAsia="zh-CN"/>
              </w:rPr>
              <w:t>（</w:t>
            </w:r>
            <w:r>
              <w:rPr>
                <w:rFonts w:hint="eastAsia" w:ascii="宋体"/>
                <w:color w:val="auto"/>
                <w:szCs w:val="21"/>
                <w:highlight w:val="none"/>
                <w:u w:val="single"/>
              </w:rPr>
              <w:t>主)XXXX公司(成)XXXX公司】，由联合体主办方签字、盖章即可</w:t>
            </w:r>
            <w:r>
              <w:rPr>
                <w:rFonts w:hint="eastAsia" w:ascii="宋体" w:hAnsi="宋体"/>
                <w:b/>
                <w:bCs/>
                <w:color w:val="auto"/>
                <w:szCs w:val="21"/>
                <w:highlight w:val="none"/>
                <w:u w:val="single"/>
              </w:rPr>
              <w:t>。</w:t>
            </w:r>
          </w:p>
        </w:tc>
      </w:tr>
      <w:tr w14:paraId="148C92F6">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2EF643C">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4</w:t>
            </w:r>
            <w:r>
              <w:rPr>
                <w:rFonts w:ascii="宋体" w:hAnsi="宋体"/>
                <w:color w:val="auto"/>
                <w:kern w:val="1"/>
                <w:szCs w:val="21"/>
                <w:highlight w:val="none"/>
              </w:rPr>
              <w:t>.1.1</w:t>
            </w:r>
          </w:p>
        </w:tc>
        <w:tc>
          <w:tcPr>
            <w:tcW w:w="2330" w:type="dxa"/>
            <w:tcBorders>
              <w:top w:val="single" w:color="000000" w:sz="4" w:space="0"/>
              <w:left w:val="single" w:color="000000" w:sz="4" w:space="0"/>
              <w:bottom w:val="single" w:color="000000" w:sz="4" w:space="0"/>
              <w:right w:val="single" w:color="000000" w:sz="4" w:space="0"/>
            </w:tcBorders>
            <w:vAlign w:val="center"/>
          </w:tcPr>
          <w:p w14:paraId="01A547A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投标文件加密要求</w:t>
            </w:r>
          </w:p>
        </w:tc>
        <w:tc>
          <w:tcPr>
            <w:tcW w:w="6378" w:type="dxa"/>
            <w:tcBorders>
              <w:top w:val="single" w:color="000000" w:sz="4" w:space="0"/>
              <w:left w:val="single" w:color="000000" w:sz="4" w:space="0"/>
              <w:bottom w:val="single" w:color="000000" w:sz="4" w:space="0"/>
              <w:right w:val="single" w:color="000000" w:sz="4" w:space="0"/>
            </w:tcBorders>
            <w:vAlign w:val="center"/>
          </w:tcPr>
          <w:p w14:paraId="3156F661">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1、网上递交的电子投标文件须进行加密。具体操作详见</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kern w:val="1"/>
                <w:szCs w:val="21"/>
                <w:highlight w:val="none"/>
              </w:rPr>
              <w:t>交易平台相关操作指南。</w:t>
            </w:r>
          </w:p>
          <w:p w14:paraId="1BA9A234">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2、未按要求加密的投标文件，招标人将予以拒收。</w:t>
            </w:r>
          </w:p>
        </w:tc>
      </w:tr>
      <w:tr w14:paraId="7CACB95C">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0236E2C">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4</w:t>
            </w:r>
            <w:r>
              <w:rPr>
                <w:rFonts w:ascii="宋体" w:hAnsi="宋体"/>
                <w:color w:val="auto"/>
                <w:kern w:val="1"/>
                <w:szCs w:val="21"/>
                <w:highlight w:val="none"/>
              </w:rPr>
              <w:t>.1.2</w:t>
            </w:r>
          </w:p>
        </w:tc>
        <w:tc>
          <w:tcPr>
            <w:tcW w:w="2330" w:type="dxa"/>
            <w:tcBorders>
              <w:top w:val="single" w:color="000000" w:sz="4" w:space="0"/>
              <w:left w:val="single" w:color="000000" w:sz="4" w:space="0"/>
              <w:bottom w:val="single" w:color="000000" w:sz="4" w:space="0"/>
              <w:right w:val="single" w:color="000000" w:sz="4" w:space="0"/>
            </w:tcBorders>
            <w:vAlign w:val="center"/>
          </w:tcPr>
          <w:p w14:paraId="4CDF330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封套上应载明的信息</w:t>
            </w:r>
          </w:p>
        </w:tc>
        <w:tc>
          <w:tcPr>
            <w:tcW w:w="6378" w:type="dxa"/>
            <w:tcBorders>
              <w:top w:val="single" w:color="000000" w:sz="4" w:space="0"/>
              <w:left w:val="single" w:color="000000" w:sz="4" w:space="0"/>
              <w:bottom w:val="single" w:color="000000" w:sz="4" w:space="0"/>
              <w:right w:val="single" w:color="000000" w:sz="4" w:space="0"/>
            </w:tcBorders>
            <w:vAlign w:val="center"/>
          </w:tcPr>
          <w:p w14:paraId="6235952B">
            <w:pPr>
              <w:spacing w:line="360" w:lineRule="auto"/>
              <w:rPr>
                <w:rFonts w:hint="eastAsia" w:ascii="宋体" w:hAnsi="宋体"/>
                <w:color w:val="auto"/>
                <w:szCs w:val="21"/>
                <w:highlight w:val="none"/>
              </w:rPr>
            </w:pPr>
            <w:r>
              <w:rPr>
                <w:rFonts w:hint="eastAsia" w:ascii="宋体" w:hAnsi="宋体"/>
                <w:color w:val="auto"/>
                <w:szCs w:val="21"/>
                <w:highlight w:val="none"/>
              </w:rPr>
              <w:t>如有提交备用投标文件</w:t>
            </w:r>
            <w:r>
              <w:rPr>
                <w:rFonts w:hint="eastAsia" w:ascii="宋体" w:hAnsi="宋体"/>
                <w:color w:val="auto"/>
                <w:szCs w:val="21"/>
                <w:highlight w:val="none"/>
                <w:u w:val="single"/>
              </w:rPr>
              <w:t>光盘或U</w:t>
            </w:r>
            <w:r>
              <w:rPr>
                <w:rFonts w:ascii="宋体" w:hAnsi="宋体"/>
                <w:color w:val="auto"/>
                <w:szCs w:val="21"/>
                <w:highlight w:val="none"/>
                <w:u w:val="single"/>
              </w:rPr>
              <w:t>盘</w:t>
            </w:r>
            <w:r>
              <w:rPr>
                <w:rFonts w:ascii="宋体" w:hAnsi="宋体"/>
                <w:color w:val="auto"/>
                <w:szCs w:val="21"/>
                <w:highlight w:val="none"/>
              </w:rPr>
              <w:t>，</w:t>
            </w:r>
            <w:r>
              <w:rPr>
                <w:rFonts w:hint="eastAsia" w:ascii="宋体" w:hAnsi="宋体"/>
                <w:color w:val="auto"/>
                <w:szCs w:val="21"/>
                <w:highlight w:val="none"/>
              </w:rPr>
              <w:t>刻录好的投标文件</w:t>
            </w:r>
            <w:r>
              <w:rPr>
                <w:rFonts w:hint="eastAsia" w:ascii="宋体" w:hAnsi="宋体"/>
                <w:color w:val="auto"/>
                <w:szCs w:val="21"/>
                <w:highlight w:val="none"/>
                <w:u w:val="single"/>
              </w:rPr>
              <w:t>光盘或U盘</w:t>
            </w:r>
            <w:r>
              <w:rPr>
                <w:rFonts w:hint="eastAsia" w:ascii="宋体" w:hAnsi="宋体"/>
                <w:color w:val="auto"/>
                <w:szCs w:val="21"/>
                <w:highlight w:val="none"/>
              </w:rPr>
              <w:t>分别密封在不透明的密封袋并作以下标记，其中：</w:t>
            </w:r>
            <w:r>
              <w:rPr>
                <w:rFonts w:hint="eastAsia" w:ascii="宋体" w:hAnsi="宋体"/>
                <w:color w:val="auto"/>
                <w:szCs w:val="21"/>
                <w:highlight w:val="none"/>
                <w:u w:val="single"/>
                <w:lang w:val="en-US" w:eastAsia="zh-CN"/>
              </w:rPr>
              <w:t>设计方案</w:t>
            </w:r>
            <w:r>
              <w:rPr>
                <w:rFonts w:hint="eastAsia" w:ascii="宋体" w:hAnsi="宋体"/>
                <w:color w:val="auto"/>
                <w:szCs w:val="21"/>
                <w:highlight w:val="none"/>
                <w:u w:val="single"/>
              </w:rPr>
              <w:t>”、</w:t>
            </w:r>
            <w:r>
              <w:rPr>
                <w:rFonts w:hint="eastAsia" w:ascii="宋体" w:hAnsi="Times New Roman" w:eastAsia="宋体"/>
                <w:color w:val="auto"/>
                <w:szCs w:val="21"/>
                <w:highlight w:val="none"/>
                <w:u w:val="single"/>
                <w:lang w:val="en-US" w:eastAsia="zh-CN"/>
              </w:rPr>
              <w:t>工程总承包实施方案（含资格审查文件）</w:t>
            </w:r>
            <w:r>
              <w:rPr>
                <w:rFonts w:ascii="宋体" w:hAnsi="宋体"/>
                <w:color w:val="auto"/>
                <w:szCs w:val="21"/>
                <w:highlight w:val="none"/>
                <w:u w:val="single"/>
              </w:rPr>
              <w:t>”</w:t>
            </w:r>
            <w:r>
              <w:rPr>
                <w:rFonts w:hint="eastAsia" w:ascii="宋体" w:hAnsi="宋体"/>
                <w:color w:val="auto"/>
                <w:szCs w:val="21"/>
                <w:highlight w:val="none"/>
                <w:u w:val="single"/>
              </w:rPr>
              <w:t>光盘或U盘应分别在密封袋上写明：（1）招标人名称；（2）“[工程名称]</w:t>
            </w:r>
            <w:r>
              <w:rPr>
                <w:rFonts w:hint="eastAsia" w:ascii="宋体" w:hAnsi="Times New Roman" w:eastAsia="宋体"/>
                <w:color w:val="auto"/>
                <w:szCs w:val="21"/>
                <w:highlight w:val="none"/>
                <w:u w:val="single"/>
                <w:lang w:val="en-US" w:eastAsia="zh-CN"/>
              </w:rPr>
              <w:t>设计方案或工程总承包实施方案（含资格审查文件）</w:t>
            </w:r>
            <w:r>
              <w:rPr>
                <w:rFonts w:hint="eastAsia" w:ascii="宋体" w:hAnsi="宋体"/>
                <w:color w:val="auto"/>
                <w:szCs w:val="21"/>
                <w:highlight w:val="none"/>
                <w:u w:val="single"/>
              </w:rPr>
              <w:t>光盘或U盘”字样；（3）投标人名称；并在封口处加盖投标人单位公章</w:t>
            </w:r>
            <w:r>
              <w:rPr>
                <w:rFonts w:hint="eastAsia" w:ascii="宋体" w:hAnsi="宋体"/>
                <w:color w:val="auto"/>
                <w:kern w:val="1"/>
                <w:szCs w:val="21"/>
                <w:highlight w:val="none"/>
                <w:u w:val="single"/>
              </w:rPr>
              <w:t>。</w:t>
            </w:r>
          </w:p>
        </w:tc>
      </w:tr>
      <w:tr w14:paraId="0E66D0D7">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B814E70">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4.2.</w:t>
            </w:r>
            <w:r>
              <w:rPr>
                <w:rFonts w:ascii="宋体" w:hAnsi="宋体"/>
                <w:color w:val="auto"/>
                <w:kern w:val="1"/>
                <w:szCs w:val="21"/>
                <w:highlight w:val="none"/>
              </w:rPr>
              <w:t>1</w:t>
            </w:r>
          </w:p>
        </w:tc>
        <w:tc>
          <w:tcPr>
            <w:tcW w:w="2330" w:type="dxa"/>
            <w:tcBorders>
              <w:top w:val="single" w:color="000000" w:sz="4" w:space="0"/>
              <w:left w:val="single" w:color="000000" w:sz="4" w:space="0"/>
              <w:bottom w:val="single" w:color="000000" w:sz="4" w:space="0"/>
              <w:right w:val="single" w:color="000000" w:sz="4" w:space="0"/>
            </w:tcBorders>
            <w:vAlign w:val="center"/>
          </w:tcPr>
          <w:p w14:paraId="07EBFA47">
            <w:pPr>
              <w:spacing w:line="360" w:lineRule="auto"/>
              <w:jc w:val="center"/>
              <w:rPr>
                <w:rFonts w:hint="eastAsia" w:ascii="宋体" w:hAnsi="宋体"/>
                <w:bCs/>
                <w:color w:val="auto"/>
                <w:kern w:val="1"/>
                <w:szCs w:val="21"/>
                <w:highlight w:val="none"/>
              </w:rPr>
            </w:pPr>
            <w:r>
              <w:rPr>
                <w:rFonts w:hint="eastAsia" w:ascii="宋体" w:hAnsi="宋体"/>
                <w:bCs/>
                <w:color w:val="auto"/>
                <w:kern w:val="1"/>
                <w:szCs w:val="21"/>
                <w:highlight w:val="none"/>
              </w:rPr>
              <w:t>投标截止时间</w:t>
            </w:r>
          </w:p>
        </w:tc>
        <w:tc>
          <w:tcPr>
            <w:tcW w:w="6378" w:type="dxa"/>
            <w:tcBorders>
              <w:top w:val="single" w:color="000000" w:sz="4" w:space="0"/>
              <w:left w:val="single" w:color="000000" w:sz="4" w:space="0"/>
              <w:bottom w:val="single" w:color="000000" w:sz="4" w:space="0"/>
              <w:right w:val="single" w:color="000000" w:sz="4" w:space="0"/>
            </w:tcBorders>
            <w:vAlign w:val="center"/>
          </w:tcPr>
          <w:p w14:paraId="0391682C">
            <w:pPr>
              <w:spacing w:line="360" w:lineRule="auto"/>
              <w:rPr>
                <w:rFonts w:hint="eastAsia" w:ascii="宋体" w:hAnsi="宋体"/>
                <w:color w:val="auto"/>
                <w:szCs w:val="21"/>
                <w:highlight w:val="none"/>
              </w:rPr>
            </w:pPr>
            <w:r>
              <w:rPr>
                <w:rFonts w:hint="eastAsia" w:ascii="宋体" w:hAnsi="宋体"/>
                <w:color w:val="auto"/>
                <w:szCs w:val="21"/>
                <w:highlight w:val="none"/>
              </w:rPr>
              <w:t>投标截止时间：</w:t>
            </w:r>
            <w:r>
              <w:rPr>
                <w:rFonts w:hint="eastAsia" w:ascii="宋体" w:hAnsi="宋体"/>
                <w:color w:val="auto"/>
                <w:szCs w:val="21"/>
                <w:highlight w:val="none"/>
                <w:u w:val="single"/>
              </w:rPr>
              <w:t>20</w:t>
            </w:r>
            <w:r>
              <w:rPr>
                <w:rFonts w:ascii="宋体" w:hAnsi="宋体"/>
                <w:color w:val="auto"/>
                <w:szCs w:val="21"/>
                <w:highlight w:val="none"/>
                <w:u w:val="single"/>
              </w:rPr>
              <w:t>2</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0903EC73">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具体时间可以到</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szCs w:val="21"/>
                <w:highlight w:val="none"/>
                <w:u w:val="single"/>
              </w:rPr>
              <w:t>网站的项目查询(日程安排、答疑纪要)中输入本项目编号或项目名称进行查询。</w:t>
            </w:r>
          </w:p>
        </w:tc>
      </w:tr>
      <w:tr w14:paraId="0F0EDFA0">
        <w:tblPrEx>
          <w:tblCellMar>
            <w:top w:w="0" w:type="dxa"/>
            <w:left w:w="108" w:type="dxa"/>
            <w:bottom w:w="0" w:type="dxa"/>
            <w:right w:w="108" w:type="dxa"/>
          </w:tblCellMar>
        </w:tblPrEx>
        <w:trPr>
          <w:trHeight w:val="4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34A2EB0">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5.1</w:t>
            </w:r>
          </w:p>
        </w:tc>
        <w:tc>
          <w:tcPr>
            <w:tcW w:w="2330" w:type="dxa"/>
            <w:tcBorders>
              <w:top w:val="single" w:color="000000" w:sz="4" w:space="0"/>
              <w:left w:val="single" w:color="000000" w:sz="4" w:space="0"/>
              <w:bottom w:val="single" w:color="000000" w:sz="4" w:space="0"/>
              <w:right w:val="single" w:color="000000" w:sz="4" w:space="0"/>
            </w:tcBorders>
            <w:vAlign w:val="center"/>
          </w:tcPr>
          <w:p w14:paraId="11279187">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开标时间和地点</w:t>
            </w:r>
          </w:p>
        </w:tc>
        <w:tc>
          <w:tcPr>
            <w:tcW w:w="6378" w:type="dxa"/>
            <w:tcBorders>
              <w:top w:val="single" w:color="000000" w:sz="4" w:space="0"/>
              <w:left w:val="single" w:color="000000" w:sz="4" w:space="0"/>
              <w:bottom w:val="single" w:color="000000" w:sz="4" w:space="0"/>
              <w:right w:val="single" w:color="000000" w:sz="4" w:space="0"/>
            </w:tcBorders>
            <w:vAlign w:val="center"/>
          </w:tcPr>
          <w:p w14:paraId="546BDB1A">
            <w:pPr>
              <w:spacing w:line="360" w:lineRule="auto"/>
              <w:jc w:val="left"/>
              <w:rPr>
                <w:rFonts w:hint="eastAsia" w:ascii="宋体" w:hAnsi="宋体"/>
                <w:color w:val="auto"/>
                <w:szCs w:val="21"/>
                <w:highlight w:val="none"/>
              </w:rPr>
            </w:pPr>
            <w:r>
              <w:rPr>
                <w:rFonts w:hint="eastAsia" w:ascii="宋体" w:hAnsi="宋体"/>
                <w:color w:val="auto"/>
                <w:szCs w:val="21"/>
                <w:highlight w:val="none"/>
              </w:rPr>
              <w:t>招标人在本章第</w:t>
            </w:r>
            <w:r>
              <w:rPr>
                <w:rFonts w:ascii="宋体" w:hAnsi="宋体"/>
                <w:color w:val="auto"/>
                <w:szCs w:val="21"/>
                <w:highlight w:val="none"/>
              </w:rPr>
              <w:t xml:space="preserve"> 4.2.1</w:t>
            </w:r>
            <w:r>
              <w:rPr>
                <w:rFonts w:hint="eastAsia" w:ascii="宋体" w:hAnsi="宋体"/>
                <w:color w:val="auto"/>
                <w:szCs w:val="21"/>
                <w:highlight w:val="none"/>
              </w:rPr>
              <w:t>项规定的投标截止时间（开标时间）</w:t>
            </w:r>
            <w:r>
              <w:rPr>
                <w:rFonts w:ascii="宋体" w:hAnsi="宋体"/>
                <w:color w:val="auto"/>
                <w:szCs w:val="21"/>
                <w:highlight w:val="none"/>
              </w:rPr>
              <w:t>,在</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szCs w:val="21"/>
                <w:highlight w:val="none"/>
              </w:rPr>
              <w:t>增城交易部</w:t>
            </w:r>
            <w:r>
              <w:rPr>
                <w:rFonts w:ascii="宋体" w:hAnsi="宋体"/>
                <w:color w:val="auto"/>
                <w:szCs w:val="21"/>
                <w:highlight w:val="none"/>
                <w:u w:val="single"/>
              </w:rPr>
              <w:t xml:space="preserve">第   </w:t>
            </w:r>
            <w:r>
              <w:rPr>
                <w:rFonts w:hint="eastAsia" w:ascii="宋体" w:hAnsi="宋体"/>
                <w:color w:val="auto"/>
                <w:szCs w:val="21"/>
                <w:highlight w:val="none"/>
                <w:u w:val="single"/>
              </w:rPr>
              <w:t>开标室</w:t>
            </w:r>
            <w:r>
              <w:rPr>
                <w:rFonts w:hint="eastAsia" w:ascii="宋体" w:hAnsi="宋体"/>
                <w:color w:val="auto"/>
                <w:szCs w:val="21"/>
                <w:highlight w:val="none"/>
              </w:rPr>
              <w:t>公开开标。</w:t>
            </w:r>
            <w:r>
              <w:rPr>
                <w:rFonts w:hint="eastAsia" w:ascii="宋体" w:hAnsi="宋体"/>
                <w:b/>
                <w:bCs/>
                <w:color w:val="auto"/>
                <w:szCs w:val="21"/>
                <w:highlight w:val="none"/>
              </w:rPr>
              <w:t>投标人也可选择参加在线开标</w:t>
            </w:r>
            <w:r>
              <w:rPr>
                <w:rFonts w:hint="eastAsia" w:ascii="宋体" w:hAnsi="宋体"/>
                <w:bCs/>
                <w:color w:val="auto"/>
                <w:szCs w:val="21"/>
                <w:highlight w:val="none"/>
              </w:rPr>
              <w:t>，具体按照交易平台相关指南进行操作。详见：</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bCs/>
                <w:color w:val="auto"/>
                <w:szCs w:val="21"/>
                <w:highlight w:val="none"/>
                <w:u w:val="single"/>
              </w:rPr>
              <w:t>网站</w:t>
            </w:r>
            <w:r>
              <w:rPr>
                <w:rFonts w:hint="eastAsia" w:ascii="宋体" w:hAnsi="宋体"/>
                <w:bCs/>
                <w:color w:val="auto"/>
                <w:szCs w:val="21"/>
                <w:highlight w:val="none"/>
              </w:rPr>
              <w:t>。</w:t>
            </w:r>
          </w:p>
          <w:p w14:paraId="70521B4E">
            <w:pPr>
              <w:spacing w:line="360" w:lineRule="auto"/>
              <w:jc w:val="left"/>
              <w:rPr>
                <w:rFonts w:hint="eastAsia" w:ascii="宋体" w:hAnsi="宋体"/>
                <w:color w:val="auto"/>
                <w:szCs w:val="21"/>
                <w:highlight w:val="none"/>
              </w:rPr>
            </w:pPr>
            <w:r>
              <w:rPr>
                <w:rFonts w:hint="eastAsia" w:ascii="宋体" w:hAnsi="宋体"/>
                <w:color w:val="auto"/>
                <w:szCs w:val="21"/>
                <w:highlight w:val="none"/>
              </w:rPr>
              <w:t>递交备用电子投标文件时间：</w:t>
            </w:r>
            <w:r>
              <w:rPr>
                <w:rFonts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分至</w:t>
            </w:r>
            <w:r>
              <w:rPr>
                <w:rFonts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分</w:t>
            </w:r>
            <w:r>
              <w:rPr>
                <w:rFonts w:hint="eastAsia" w:ascii="宋体" w:hAnsi="宋体"/>
                <w:color w:val="auto"/>
                <w:szCs w:val="21"/>
                <w:highlight w:val="none"/>
              </w:rPr>
              <w:t>；递交地点：同开标地点。</w:t>
            </w:r>
          </w:p>
          <w:p w14:paraId="64112BBF">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具体时间、地点可以到</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szCs w:val="21"/>
                <w:highlight w:val="none"/>
              </w:rPr>
              <w:t>网站的项目查询</w:t>
            </w:r>
            <w:r>
              <w:rPr>
                <w:rFonts w:ascii="宋体" w:hAnsi="宋体"/>
                <w:color w:val="auto"/>
                <w:szCs w:val="21"/>
                <w:highlight w:val="none"/>
              </w:rPr>
              <w:t>(日程安排、答疑纪要)中输入本项目编号或项目名称进行查询。</w:t>
            </w:r>
            <w:r>
              <w:rPr>
                <w:rFonts w:hint="eastAsia" w:ascii="宋体" w:hAnsi="宋体"/>
                <w:color w:val="auto"/>
                <w:szCs w:val="21"/>
                <w:highlight w:val="none"/>
              </w:rPr>
              <w:t>上述时间及地点是否有改变，请密切留意补充公告和招标答疑纪要的相关信息。</w:t>
            </w:r>
          </w:p>
        </w:tc>
      </w:tr>
      <w:tr w14:paraId="63F15BEC">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CDFEB60">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5.2</w:t>
            </w:r>
          </w:p>
        </w:tc>
        <w:tc>
          <w:tcPr>
            <w:tcW w:w="2330" w:type="dxa"/>
            <w:tcBorders>
              <w:top w:val="single" w:color="000000" w:sz="4" w:space="0"/>
              <w:left w:val="single" w:color="000000" w:sz="4" w:space="0"/>
              <w:bottom w:val="single" w:color="000000" w:sz="4" w:space="0"/>
              <w:right w:val="single" w:color="000000" w:sz="4" w:space="0"/>
            </w:tcBorders>
            <w:vAlign w:val="center"/>
          </w:tcPr>
          <w:p w14:paraId="7A797D24">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开标程序</w:t>
            </w:r>
          </w:p>
        </w:tc>
        <w:tc>
          <w:tcPr>
            <w:tcW w:w="6378" w:type="dxa"/>
            <w:tcBorders>
              <w:top w:val="single" w:color="000000" w:sz="4" w:space="0"/>
              <w:left w:val="single" w:color="000000" w:sz="4" w:space="0"/>
              <w:bottom w:val="single" w:color="000000" w:sz="4" w:space="0"/>
              <w:right w:val="single" w:color="000000" w:sz="4" w:space="0"/>
            </w:tcBorders>
            <w:vAlign w:val="center"/>
          </w:tcPr>
          <w:p w14:paraId="3D9E1EC6">
            <w:pPr>
              <w:spacing w:line="360" w:lineRule="auto"/>
              <w:rPr>
                <w:rFonts w:hint="eastAsia"/>
                <w:color w:val="auto"/>
                <w:highlight w:val="none"/>
              </w:rPr>
            </w:pPr>
            <w:r>
              <w:rPr>
                <w:rFonts w:hint="eastAsia"/>
                <w:color w:val="auto"/>
                <w:highlight w:val="none"/>
              </w:rPr>
              <w:t>主持人按下列程序进行开标：</w:t>
            </w:r>
          </w:p>
          <w:p w14:paraId="72A84C9D">
            <w:pPr>
              <w:spacing w:line="360" w:lineRule="auto"/>
              <w:rPr>
                <w:rFonts w:hint="eastAsia"/>
                <w:color w:val="auto"/>
                <w:highlight w:val="none"/>
              </w:rPr>
            </w:pPr>
            <w:r>
              <w:rPr>
                <w:rFonts w:hint="eastAsia"/>
                <w:color w:val="auto"/>
                <w:highlight w:val="none"/>
              </w:rPr>
              <w:t>（1）宣布开标纪律；</w:t>
            </w:r>
          </w:p>
          <w:p w14:paraId="18401B6F">
            <w:pPr>
              <w:spacing w:line="360" w:lineRule="auto"/>
              <w:rPr>
                <w:rFonts w:hint="eastAsia"/>
                <w:color w:val="auto"/>
                <w:highlight w:val="none"/>
              </w:rPr>
            </w:pPr>
            <w:r>
              <w:rPr>
                <w:rFonts w:hint="eastAsia"/>
                <w:color w:val="auto"/>
                <w:highlight w:val="none"/>
              </w:rPr>
              <w:t>（2）公布在投标截止时间前递交投标文件的投标人名称；</w:t>
            </w:r>
          </w:p>
          <w:p w14:paraId="2DD50C78">
            <w:pPr>
              <w:spacing w:line="360" w:lineRule="auto"/>
              <w:rPr>
                <w:rFonts w:hint="eastAsia"/>
                <w:color w:val="auto"/>
                <w:highlight w:val="none"/>
              </w:rPr>
            </w:pPr>
            <w:r>
              <w:rPr>
                <w:rFonts w:hint="eastAsia"/>
                <w:color w:val="auto"/>
                <w:highlight w:val="none"/>
              </w:rPr>
              <w:t>（3）在投标截止时间后半小时内，投标人通过递交投标文件的交易平台对已递交的电子投标文件进行解密。投标人完成解密后，再由招标人进行解密。</w:t>
            </w:r>
          </w:p>
          <w:p w14:paraId="455A0F40">
            <w:pPr>
              <w:spacing w:line="360" w:lineRule="auto"/>
              <w:rPr>
                <w:rFonts w:hint="eastAsia"/>
                <w:color w:val="auto"/>
                <w:highlight w:val="none"/>
              </w:rPr>
            </w:pPr>
            <w:r>
              <w:rPr>
                <w:rFonts w:hint="eastAsia"/>
                <w:color w:val="auto"/>
                <w:highlight w:val="none"/>
              </w:rPr>
              <w:t>（4）解密完成后，进行唱标，公布：a投标人名称；b投标文件递交情况；c投标文件解密情况；</w:t>
            </w:r>
            <w:r>
              <w:rPr>
                <w:rFonts w:hint="eastAsia"/>
                <w:color w:val="auto"/>
                <w:highlight w:val="none"/>
                <w:lang w:val="en-US" w:eastAsia="zh-CN"/>
              </w:rPr>
              <w:t>d</w:t>
            </w:r>
            <w:r>
              <w:rPr>
                <w:rFonts w:hint="eastAsia"/>
                <w:color w:val="auto"/>
                <w:highlight w:val="none"/>
              </w:rPr>
              <w:t>项目负责人</w:t>
            </w:r>
            <w:r>
              <w:rPr>
                <w:rFonts w:hint="eastAsia"/>
                <w:color w:val="auto"/>
                <w:highlight w:val="none"/>
                <w:lang w:eastAsia="zh-CN"/>
              </w:rPr>
              <w:t>、</w:t>
            </w:r>
            <w:r>
              <w:rPr>
                <w:rFonts w:hint="eastAsia"/>
                <w:color w:val="auto"/>
                <w:highlight w:val="none"/>
              </w:rPr>
              <w:t>施工负责人、设计负责人、专职安全员；</w:t>
            </w:r>
            <w:r>
              <w:rPr>
                <w:rFonts w:hint="eastAsia"/>
                <w:color w:val="auto"/>
                <w:highlight w:val="none"/>
                <w:lang w:val="en-US" w:eastAsia="zh-CN"/>
              </w:rPr>
              <w:t>e</w:t>
            </w:r>
            <w:r>
              <w:rPr>
                <w:rFonts w:hint="eastAsia"/>
                <w:color w:val="auto"/>
                <w:highlight w:val="none"/>
              </w:rPr>
              <w:t>投标报价；</w:t>
            </w:r>
            <w:r>
              <w:rPr>
                <w:rFonts w:hint="eastAsia"/>
                <w:color w:val="auto"/>
                <w:highlight w:val="none"/>
                <w:lang w:val="en-US" w:eastAsia="zh-CN"/>
              </w:rPr>
              <w:t>f</w:t>
            </w:r>
            <w:r>
              <w:rPr>
                <w:rFonts w:hint="eastAsia"/>
                <w:color w:val="auto"/>
                <w:highlight w:val="none"/>
              </w:rPr>
              <w:t>工期；</w:t>
            </w:r>
            <w:r>
              <w:rPr>
                <w:rFonts w:hint="eastAsia"/>
                <w:color w:val="auto"/>
                <w:highlight w:val="none"/>
                <w:lang w:val="en-US" w:eastAsia="zh-CN"/>
              </w:rPr>
              <w:t>g</w:t>
            </w:r>
            <w:r>
              <w:rPr>
                <w:rFonts w:hint="eastAsia"/>
                <w:color w:val="auto"/>
                <w:highlight w:val="none"/>
              </w:rPr>
              <w:t>投标人的加密打包投标文件电脑机器特征码等主要内容，并记录在案。未在规定时间内解密的投标文件不参与开标、评标。开标时，两个（含两个）以上的投标人加密打包投标文件电脑机器特征码一致的，不参与下一程序，并由评标委员会否决其投标。</w:t>
            </w:r>
          </w:p>
          <w:p w14:paraId="11EA251B">
            <w:pPr>
              <w:spacing w:line="360" w:lineRule="auto"/>
              <w:rPr>
                <w:rFonts w:hint="eastAsia"/>
                <w:color w:val="auto"/>
                <w:highlight w:val="none"/>
              </w:rPr>
            </w:pPr>
            <w:r>
              <w:rPr>
                <w:rFonts w:hint="eastAsia"/>
                <w:color w:val="auto"/>
                <w:highlight w:val="none"/>
              </w:rPr>
              <w:t>（5）投标人代表、招标人代表、监标人、记录人等有关人员在开标记录上签字确认；若有关人员不签字的，不影响开标程序；</w:t>
            </w:r>
          </w:p>
          <w:p w14:paraId="6460717F">
            <w:pPr>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）开标结束。</w:t>
            </w:r>
          </w:p>
          <w:p w14:paraId="17DFBD07">
            <w:pPr>
              <w:spacing w:line="360" w:lineRule="auto"/>
              <w:rPr>
                <w:rFonts w:hint="eastAsia" w:eastAsia="宋体"/>
                <w:b/>
                <w:bCs/>
                <w:color w:val="auto"/>
                <w:highlight w:val="none"/>
                <w:lang w:val="en-US" w:eastAsia="zh-CN"/>
              </w:rPr>
            </w:pPr>
            <w:r>
              <w:rPr>
                <w:rFonts w:hint="eastAsia" w:eastAsia="宋体"/>
                <w:b/>
                <w:bCs/>
                <w:color w:val="auto"/>
                <w:highlight w:val="none"/>
                <w:lang w:val="en-US" w:eastAsia="zh-CN"/>
              </w:rPr>
              <w:t>注：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8D34AFB">
            <w:pPr>
              <w:spacing w:line="360" w:lineRule="auto"/>
              <w:rPr>
                <w:rFonts w:hint="eastAsia" w:eastAsia="宋体"/>
                <w:b/>
                <w:bCs/>
                <w:color w:val="auto"/>
                <w:highlight w:val="none"/>
                <w:lang w:val="en-US" w:eastAsia="zh-CN"/>
              </w:rPr>
            </w:pPr>
            <w:r>
              <w:rPr>
                <w:rFonts w:hint="eastAsia" w:eastAsia="宋体"/>
                <w:b/>
                <w:bCs/>
                <w:color w:val="auto"/>
                <w:highlight w:val="none"/>
                <w:lang w:val="en-US" w:eastAsia="zh-CN"/>
              </w:rPr>
              <w:t>1.具体操作详见“广州交易集团有限公司（广州公共资源交易中心）门户网站首页-&gt;服务指南-&gt;系统帮助-&gt;操作手册-&gt;发起及受理异议操作指引”。</w:t>
            </w:r>
          </w:p>
          <w:p w14:paraId="361BCDEE">
            <w:pPr>
              <w:spacing w:line="360" w:lineRule="auto"/>
              <w:rPr>
                <w:rFonts w:hint="eastAsia" w:eastAsia="宋体"/>
                <w:b/>
                <w:bCs/>
                <w:color w:val="auto"/>
                <w:highlight w:val="none"/>
                <w:lang w:val="en-US" w:eastAsia="zh-CN"/>
              </w:rPr>
            </w:pPr>
            <w:r>
              <w:rPr>
                <w:rFonts w:hint="eastAsia" w:eastAsia="宋体"/>
                <w:b/>
                <w:bCs/>
                <w:color w:val="auto"/>
                <w:highlight w:val="none"/>
                <w:lang w:val="en-US" w:eastAsia="zh-CN"/>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tc>
      </w:tr>
      <w:tr w14:paraId="304C8EEE">
        <w:tblPrEx>
          <w:tblCellMar>
            <w:top w:w="0" w:type="dxa"/>
            <w:left w:w="108" w:type="dxa"/>
            <w:bottom w:w="0" w:type="dxa"/>
            <w:right w:w="108" w:type="dxa"/>
          </w:tblCellMar>
        </w:tblPrEx>
        <w:trPr>
          <w:trHeight w:val="3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4FE3AC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6.1.1</w:t>
            </w:r>
          </w:p>
        </w:tc>
        <w:tc>
          <w:tcPr>
            <w:tcW w:w="2330" w:type="dxa"/>
            <w:tcBorders>
              <w:top w:val="single" w:color="000000" w:sz="4" w:space="0"/>
              <w:left w:val="single" w:color="000000" w:sz="4" w:space="0"/>
              <w:bottom w:val="single" w:color="000000" w:sz="4" w:space="0"/>
              <w:right w:val="single" w:color="000000" w:sz="4" w:space="0"/>
            </w:tcBorders>
            <w:vAlign w:val="center"/>
          </w:tcPr>
          <w:p w14:paraId="180CCB3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评标委员会的组建</w:t>
            </w:r>
          </w:p>
        </w:tc>
        <w:tc>
          <w:tcPr>
            <w:tcW w:w="6378" w:type="dxa"/>
            <w:tcBorders>
              <w:top w:val="single" w:color="000000" w:sz="4" w:space="0"/>
              <w:left w:val="single" w:color="000000" w:sz="4" w:space="0"/>
              <w:bottom w:val="single" w:color="000000" w:sz="4" w:space="0"/>
              <w:right w:val="single" w:color="000000" w:sz="4" w:space="0"/>
            </w:tcBorders>
            <w:vAlign w:val="center"/>
          </w:tcPr>
          <w:p w14:paraId="02FBD70A">
            <w:pPr>
              <w:widowControl/>
              <w:jc w:val="left"/>
              <w:rPr>
                <w:rFonts w:hint="eastAsia" w:ascii="宋体" w:hAnsi="宋体"/>
                <w:color w:val="auto"/>
                <w:szCs w:val="21"/>
                <w:highlight w:val="none"/>
              </w:rPr>
            </w:pPr>
            <w:r>
              <w:rPr>
                <w:rFonts w:hint="eastAsia" w:ascii="宋体" w:hAnsi="宋体"/>
                <w:color w:val="auto"/>
                <w:szCs w:val="21"/>
                <w:highlight w:val="none"/>
              </w:rPr>
              <w:t>评标委员会构成</w:t>
            </w:r>
            <w:r>
              <w:rPr>
                <w:rFonts w:hint="eastAsia" w:ascii="宋体" w:hAnsi="宋体" w:eastAsia="宋体"/>
                <w:color w:val="auto"/>
                <w:szCs w:val="21"/>
                <w:highlight w:val="none"/>
              </w:rPr>
              <w:t>：设计评审组</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人，其中招标人代表</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人，专家</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人</w:t>
            </w:r>
            <w:r>
              <w:rPr>
                <w:rFonts w:hint="eastAsia" w:ascii="宋体" w:hAnsi="宋体"/>
                <w:color w:val="auto"/>
                <w:szCs w:val="21"/>
                <w:highlight w:val="none"/>
                <w:lang w:eastAsia="zh-CN"/>
              </w:rPr>
              <w:t>；</w:t>
            </w:r>
            <w:r>
              <w:rPr>
                <w:rFonts w:hint="eastAsia" w:ascii="宋体" w:hAnsi="宋体" w:eastAsia="宋体"/>
                <w:color w:val="auto"/>
                <w:szCs w:val="21"/>
                <w:highlight w:val="none"/>
                <w:lang w:val="en-US" w:eastAsia="zh-CN"/>
              </w:rPr>
              <w:t>综合</w:t>
            </w:r>
            <w:r>
              <w:rPr>
                <w:rFonts w:hint="eastAsia" w:ascii="宋体" w:hAnsi="宋体" w:eastAsia="宋体"/>
                <w:color w:val="auto"/>
                <w:szCs w:val="21"/>
                <w:highlight w:val="none"/>
              </w:rPr>
              <w:t>评审组</w:t>
            </w:r>
            <w:r>
              <w:rPr>
                <w:rFonts w:hint="eastAsia" w:ascii="宋体" w:hAnsi="宋体" w:eastAsia="宋体"/>
                <w:color w:val="auto"/>
                <w:szCs w:val="21"/>
                <w:highlight w:val="none"/>
                <w:u w:val="single"/>
                <w:lang w:val="en-US" w:eastAsia="zh-CN"/>
              </w:rPr>
              <w:t>5</w:t>
            </w:r>
            <w:r>
              <w:rPr>
                <w:rFonts w:hint="eastAsia" w:ascii="宋体" w:hAnsi="宋体"/>
                <w:color w:val="auto"/>
                <w:szCs w:val="21"/>
                <w:highlight w:val="none"/>
              </w:rPr>
              <w:t>人，其中招标人代表</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人，专家</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 xml:space="preserve">人。 </w:t>
            </w:r>
          </w:p>
          <w:p w14:paraId="1A53C553">
            <w:pPr>
              <w:snapToGrid w:val="0"/>
              <w:spacing w:line="312" w:lineRule="auto"/>
              <w:ind w:firstLine="0" w:firstLineChars="0"/>
              <w:rPr>
                <w:rFonts w:hint="eastAsia" w:ascii="宋体"/>
                <w:color w:val="auto"/>
                <w:kern w:val="0"/>
                <w:szCs w:val="21"/>
                <w:highlight w:val="none"/>
              </w:rPr>
            </w:pPr>
            <w:r>
              <w:rPr>
                <w:rFonts w:hint="eastAsia" w:ascii="宋体"/>
                <w:color w:val="auto"/>
                <w:kern w:val="0"/>
                <w:szCs w:val="21"/>
                <w:highlight w:val="none"/>
              </w:rPr>
              <w:t>评标专家确定方式：评标委员会由招标人依法组建。</w:t>
            </w:r>
          </w:p>
        </w:tc>
      </w:tr>
      <w:tr w14:paraId="12E5A285">
        <w:tblPrEx>
          <w:tblCellMar>
            <w:top w:w="0" w:type="dxa"/>
            <w:left w:w="108" w:type="dxa"/>
            <w:bottom w:w="0" w:type="dxa"/>
            <w:right w:w="108" w:type="dxa"/>
          </w:tblCellMar>
        </w:tblPrEx>
        <w:trPr>
          <w:trHeight w:val="84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47D9826">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7.1</w:t>
            </w:r>
            <w:r>
              <w:rPr>
                <w:rFonts w:ascii="宋体" w:hAnsi="宋体"/>
                <w:color w:val="auto"/>
                <w:kern w:val="1"/>
                <w:szCs w:val="21"/>
                <w:highlight w:val="none"/>
              </w:rPr>
              <w:t>.1</w:t>
            </w:r>
          </w:p>
        </w:tc>
        <w:tc>
          <w:tcPr>
            <w:tcW w:w="2330" w:type="dxa"/>
            <w:tcBorders>
              <w:top w:val="single" w:color="000000" w:sz="4" w:space="0"/>
              <w:left w:val="single" w:color="000000" w:sz="4" w:space="0"/>
              <w:bottom w:val="single" w:color="000000" w:sz="4" w:space="0"/>
              <w:right w:val="single" w:color="000000" w:sz="4" w:space="0"/>
            </w:tcBorders>
            <w:vAlign w:val="center"/>
          </w:tcPr>
          <w:p w14:paraId="4E3B4F97">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是否授权评标委员会确定中标人</w:t>
            </w:r>
          </w:p>
        </w:tc>
        <w:tc>
          <w:tcPr>
            <w:tcW w:w="6378" w:type="dxa"/>
            <w:tcBorders>
              <w:top w:val="single" w:color="000000" w:sz="4" w:space="0"/>
              <w:left w:val="single" w:color="000000" w:sz="4" w:space="0"/>
              <w:bottom w:val="single" w:color="000000" w:sz="4" w:space="0"/>
              <w:right w:val="single" w:color="000000" w:sz="4" w:space="0"/>
            </w:tcBorders>
            <w:vAlign w:val="center"/>
          </w:tcPr>
          <w:p w14:paraId="6DF65156">
            <w:pPr>
              <w:widowControl/>
              <w:spacing w:line="360" w:lineRule="auto"/>
              <w:rPr>
                <w:rFonts w:hint="eastAsia" w:ascii="宋体" w:hAnsi="宋体"/>
                <w:color w:val="auto"/>
                <w:szCs w:val="21"/>
                <w:highlight w:val="none"/>
              </w:rPr>
            </w:pPr>
            <w:r>
              <w:rPr>
                <w:rFonts w:hint="eastAsia" w:ascii="宋体" w:hAnsi="宋体"/>
                <w:color w:val="auto"/>
                <w:szCs w:val="21"/>
                <w:highlight w:val="none"/>
              </w:rPr>
              <w:t>□是</w:t>
            </w:r>
          </w:p>
          <w:p w14:paraId="64192830">
            <w:pPr>
              <w:widowControl/>
              <w:spacing w:line="360" w:lineRule="auto"/>
              <w:rPr>
                <w:rFonts w:hint="eastAsia" w:ascii="宋体" w:hAnsi="宋体"/>
                <w:color w:val="auto"/>
                <w:szCs w:val="21"/>
                <w:highlight w:val="none"/>
              </w:rPr>
            </w:pPr>
            <w:r>
              <w:rPr>
                <w:rFonts w:hint="eastAsia" w:ascii="宋体" w:hAnsi="宋体"/>
                <w:color w:val="auto"/>
                <w:szCs w:val="21"/>
                <w:highlight w:val="none"/>
              </w:rPr>
              <w:t>■否，推荐的中标候选人数：</w:t>
            </w:r>
            <w:r>
              <w:rPr>
                <w:rFonts w:hint="eastAsia" w:ascii="宋体" w:hAnsi="宋体"/>
                <w:color w:val="auto"/>
                <w:szCs w:val="21"/>
                <w:highlight w:val="none"/>
                <w:u w:val="single"/>
              </w:rPr>
              <w:t>3人</w:t>
            </w:r>
          </w:p>
        </w:tc>
      </w:tr>
      <w:tr w14:paraId="1B16BD99">
        <w:tblPrEx>
          <w:tblCellMar>
            <w:top w:w="0" w:type="dxa"/>
            <w:left w:w="108" w:type="dxa"/>
            <w:bottom w:w="0" w:type="dxa"/>
            <w:right w:w="108" w:type="dxa"/>
          </w:tblCellMar>
        </w:tblPrEx>
        <w:trPr>
          <w:trHeight w:val="714" w:hRule="atLeast"/>
          <w:jc w:val="center"/>
        </w:trPr>
        <w:tc>
          <w:tcPr>
            <w:tcW w:w="884" w:type="dxa"/>
            <w:tcBorders>
              <w:top w:val="single" w:color="000000" w:sz="4" w:space="0"/>
              <w:left w:val="single" w:color="000000" w:sz="4" w:space="0"/>
              <w:right w:val="single" w:color="000000" w:sz="4" w:space="0"/>
            </w:tcBorders>
            <w:vAlign w:val="center"/>
          </w:tcPr>
          <w:p w14:paraId="6F0A51E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7.2</w:t>
            </w:r>
            <w:r>
              <w:rPr>
                <w:rFonts w:ascii="宋体" w:hAnsi="宋体"/>
                <w:color w:val="auto"/>
                <w:kern w:val="1"/>
                <w:szCs w:val="21"/>
                <w:highlight w:val="none"/>
              </w:rPr>
              <w:t>.1</w:t>
            </w:r>
          </w:p>
        </w:tc>
        <w:tc>
          <w:tcPr>
            <w:tcW w:w="2330" w:type="dxa"/>
            <w:tcBorders>
              <w:top w:val="single" w:color="000000" w:sz="4" w:space="0"/>
              <w:left w:val="single" w:color="000000" w:sz="4" w:space="0"/>
              <w:right w:val="single" w:color="000000" w:sz="4" w:space="0"/>
            </w:tcBorders>
            <w:vAlign w:val="center"/>
          </w:tcPr>
          <w:p w14:paraId="45D02A4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中标候选人公示媒介</w:t>
            </w:r>
          </w:p>
        </w:tc>
        <w:tc>
          <w:tcPr>
            <w:tcW w:w="6378" w:type="dxa"/>
            <w:tcBorders>
              <w:top w:val="single" w:color="000000" w:sz="4" w:space="0"/>
              <w:left w:val="single" w:color="000000" w:sz="4" w:space="0"/>
              <w:right w:val="single" w:color="000000" w:sz="4" w:space="0"/>
            </w:tcBorders>
            <w:vAlign w:val="center"/>
          </w:tcPr>
          <w:p w14:paraId="45A7F2FA">
            <w:pPr>
              <w:snapToGrid w:val="0"/>
              <w:spacing w:line="312" w:lineRule="auto"/>
              <w:ind w:firstLine="0" w:firstLineChars="0"/>
              <w:rPr>
                <w:rFonts w:hint="eastAsia" w:ascii="宋体" w:hAnsi="宋体"/>
                <w:color w:val="auto"/>
                <w:szCs w:val="21"/>
                <w:highlight w:val="none"/>
              </w:rPr>
            </w:pPr>
            <w:r>
              <w:rPr>
                <w:rFonts w:hint="eastAsia" w:ascii="宋体" w:hAnsi="宋体"/>
                <w:color w:val="auto"/>
                <w:szCs w:val="21"/>
                <w:highlight w:val="none"/>
              </w:rPr>
              <w:t>广州</w:t>
            </w:r>
            <w:r>
              <w:rPr>
                <w:rFonts w:hint="eastAsia" w:ascii="宋体" w:hAnsi="宋体" w:eastAsia="宋体"/>
                <w:color w:val="auto"/>
                <w:szCs w:val="21"/>
                <w:highlight w:val="none"/>
              </w:rPr>
              <w:t>交易集团有限公司（广州公共资源交易中心）网站、中国招标投标公共服务平台、广东省招标投标监管网</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广州市增城区人民政府门户网站的“首页&gt;公开&gt;公共资源配置领域&gt;工程建设项目招投标”栏目</w:t>
            </w:r>
          </w:p>
          <w:p w14:paraId="20459A4B">
            <w:pPr>
              <w:snapToGrid w:val="0"/>
              <w:spacing w:line="312" w:lineRule="auto"/>
              <w:ind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公示期限：自发布公示之日起3天（最后一天需为工作日，如非工作日则顺延至下个工作日）</w:t>
            </w:r>
          </w:p>
          <w:p w14:paraId="7BC2C77D">
            <w:pPr>
              <w:snapToGrid w:val="0"/>
              <w:spacing w:line="312" w:lineRule="auto"/>
              <w:ind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E238AAC">
            <w:pPr>
              <w:snapToGrid w:val="0"/>
              <w:spacing w:line="312" w:lineRule="auto"/>
              <w:ind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1.具体操作详见“广州交易集团有限公司（广州公共资源交易中心）门户网站首页-&gt;服务指南-&gt;系统帮助-&gt;操作手册-&gt;发起及受理异议操作指引”。</w:t>
            </w:r>
          </w:p>
          <w:p w14:paraId="55FE1A93">
            <w:pPr>
              <w:snapToGrid w:val="0"/>
              <w:spacing w:line="312" w:lineRule="auto"/>
              <w:ind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tc>
      </w:tr>
      <w:tr w14:paraId="3137D804">
        <w:tblPrEx>
          <w:tblCellMar>
            <w:top w:w="0" w:type="dxa"/>
            <w:left w:w="108" w:type="dxa"/>
            <w:bottom w:w="0" w:type="dxa"/>
            <w:right w:w="108" w:type="dxa"/>
          </w:tblCellMar>
        </w:tblPrEx>
        <w:trPr>
          <w:trHeight w:val="78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AAB658F">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7.4.1</w:t>
            </w:r>
          </w:p>
        </w:tc>
        <w:tc>
          <w:tcPr>
            <w:tcW w:w="2330" w:type="dxa"/>
            <w:tcBorders>
              <w:top w:val="single" w:color="000000" w:sz="4" w:space="0"/>
              <w:left w:val="single" w:color="000000" w:sz="4" w:space="0"/>
              <w:bottom w:val="single" w:color="000000" w:sz="4" w:space="0"/>
              <w:right w:val="single" w:color="000000" w:sz="4" w:space="0"/>
            </w:tcBorders>
            <w:vAlign w:val="center"/>
          </w:tcPr>
          <w:p w14:paraId="4F78FEE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履约担保</w:t>
            </w:r>
          </w:p>
        </w:tc>
        <w:tc>
          <w:tcPr>
            <w:tcW w:w="6378" w:type="dxa"/>
            <w:tcBorders>
              <w:top w:val="single" w:color="000000" w:sz="4" w:space="0"/>
              <w:left w:val="single" w:color="000000" w:sz="4" w:space="0"/>
              <w:bottom w:val="single" w:color="000000" w:sz="4" w:space="0"/>
              <w:right w:val="single" w:color="000000" w:sz="4" w:space="0"/>
            </w:tcBorders>
            <w:vAlign w:val="center"/>
          </w:tcPr>
          <w:p w14:paraId="1A36FC4E">
            <w:pPr>
              <w:spacing w:line="360" w:lineRule="auto"/>
              <w:rPr>
                <w:rFonts w:hint="eastAsia" w:ascii="宋体" w:hAnsi="宋体"/>
                <w:color w:val="auto"/>
                <w:szCs w:val="21"/>
                <w:highlight w:val="none"/>
              </w:rPr>
            </w:pPr>
            <w:r>
              <w:rPr>
                <w:rFonts w:hint="eastAsia" w:ascii="宋体" w:hAnsi="宋体"/>
                <w:color w:val="auto"/>
                <w:szCs w:val="21"/>
                <w:highlight w:val="none"/>
              </w:rPr>
              <w:t>履约担保的形式：以合同约定为准。</w:t>
            </w:r>
          </w:p>
          <w:p w14:paraId="4FB6B5A0">
            <w:pPr>
              <w:widowControl/>
              <w:spacing w:line="360" w:lineRule="auto"/>
              <w:rPr>
                <w:rFonts w:hint="eastAsia" w:ascii="宋体" w:hAnsi="宋体"/>
                <w:color w:val="auto"/>
                <w:szCs w:val="21"/>
                <w:highlight w:val="none"/>
              </w:rPr>
            </w:pPr>
            <w:r>
              <w:rPr>
                <w:rFonts w:hint="eastAsia" w:ascii="宋体" w:hAnsi="宋体"/>
                <w:color w:val="auto"/>
                <w:szCs w:val="21"/>
                <w:highlight w:val="none"/>
              </w:rPr>
              <w:t>履约担保的金额：以合同约定为准。</w:t>
            </w:r>
          </w:p>
        </w:tc>
      </w:tr>
      <w:tr w14:paraId="5999D5C4">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6EF9C4B">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30F4B7E">
            <w:pPr>
              <w:spacing w:line="360" w:lineRule="auto"/>
              <w:rPr>
                <w:rFonts w:hint="eastAsia" w:ascii="宋体" w:hAnsi="宋体"/>
                <w:b/>
                <w:color w:val="auto"/>
                <w:kern w:val="1"/>
                <w:szCs w:val="21"/>
                <w:highlight w:val="none"/>
              </w:rPr>
            </w:pPr>
            <w:r>
              <w:rPr>
                <w:rFonts w:hint="eastAsia" w:ascii="宋体" w:hAnsi="宋体"/>
                <w:b/>
                <w:color w:val="auto"/>
                <w:kern w:val="1"/>
                <w:szCs w:val="21"/>
                <w:highlight w:val="none"/>
              </w:rPr>
              <w:t>需要补充的其他内容</w:t>
            </w:r>
          </w:p>
        </w:tc>
      </w:tr>
      <w:tr w14:paraId="1E2E5454">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E978C5C">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D9C541F">
            <w:pPr>
              <w:widowControl/>
              <w:spacing w:line="360" w:lineRule="auto"/>
              <w:rPr>
                <w:rFonts w:hint="eastAsia" w:ascii="宋体" w:hAnsi="宋体" w:eastAsia="宋体"/>
                <w:b w:val="0"/>
                <w:bCs w:val="0"/>
                <w:color w:val="auto"/>
                <w:kern w:val="0"/>
                <w:sz w:val="21"/>
                <w:highlight w:val="none"/>
              </w:rPr>
            </w:pPr>
            <w:r>
              <w:rPr>
                <w:rFonts w:hint="eastAsia" w:ascii="宋体" w:hAnsi="宋体" w:eastAsia="宋体"/>
                <w:b w:val="0"/>
                <w:bCs w:val="0"/>
                <w:color w:val="auto"/>
                <w:kern w:val="0"/>
                <w:sz w:val="21"/>
                <w:highlight w:val="none"/>
              </w:rPr>
              <w:t>建设工程质量检测单位</w:t>
            </w:r>
            <w:r>
              <w:rPr>
                <w:rFonts w:hint="eastAsia" w:ascii="宋体" w:hAnsi="宋体" w:eastAsia="宋体"/>
                <w:color w:val="auto"/>
                <w:szCs w:val="22"/>
                <w:highlight w:val="none"/>
              </w:rPr>
              <w:t>：</w:t>
            </w:r>
          </w:p>
          <w:p w14:paraId="252E5794">
            <w:pPr>
              <w:spacing w:line="360" w:lineRule="auto"/>
              <w:rPr>
                <w:rFonts w:hint="eastAsia" w:ascii="宋体" w:hAnsi="宋体" w:eastAsia="宋体"/>
                <w:bCs w:val="0"/>
                <w:color w:val="auto"/>
                <w:kern w:val="0"/>
                <w:sz w:val="21"/>
                <w:highlight w:val="none"/>
              </w:rPr>
            </w:pPr>
            <w:r>
              <w:rPr>
                <w:rFonts w:hint="eastAsia" w:ascii="宋体" w:hAnsi="宋体" w:eastAsia="宋体"/>
                <w:bCs w:val="0"/>
                <w:color w:val="auto"/>
                <w:kern w:val="0"/>
                <w:sz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25660D4">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7C388C0">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1A85E7F">
            <w:pPr>
              <w:snapToGrid w:val="0"/>
              <w:spacing w:line="312" w:lineRule="auto"/>
              <w:ind w:firstLine="0" w:firstLineChars="0"/>
              <w:rPr>
                <w:rFonts w:hint="eastAsia" w:ascii="宋体" w:hAnsi="宋体"/>
                <w:color w:val="auto"/>
                <w:highlight w:val="none"/>
              </w:rPr>
            </w:pPr>
            <w:r>
              <w:rPr>
                <w:rFonts w:hint="eastAsia" w:ascii="宋体" w:hAnsi="宋体"/>
                <w:color w:val="auto"/>
                <w:highlight w:val="none"/>
              </w:rPr>
              <w:t>施工</w:t>
            </w:r>
            <w:r>
              <w:rPr>
                <w:rFonts w:hint="eastAsia" w:ascii="宋体" w:hAnsi="宋体" w:eastAsia="宋体"/>
                <w:color w:val="auto"/>
                <w:szCs w:val="21"/>
                <w:highlight w:val="none"/>
              </w:rPr>
              <w:t>保修</w:t>
            </w:r>
            <w:r>
              <w:rPr>
                <w:rFonts w:hint="eastAsia" w:ascii="宋体" w:hAnsi="宋体"/>
                <w:color w:val="auto"/>
                <w:highlight w:val="none"/>
              </w:rPr>
              <w:t>期限：按照《建设工程质量管理条例》规定。</w:t>
            </w:r>
          </w:p>
        </w:tc>
      </w:tr>
      <w:tr w14:paraId="7F896825">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C0C9295">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871125E">
            <w:pPr>
              <w:spacing w:line="360" w:lineRule="auto"/>
              <w:rPr>
                <w:rFonts w:hint="eastAsia" w:ascii="宋体" w:hAnsi="宋体"/>
                <w:color w:val="auto"/>
                <w:highlight w:val="none"/>
              </w:rPr>
            </w:pPr>
            <w:r>
              <w:rPr>
                <w:rFonts w:hint="eastAsia" w:ascii="宋体" w:hAnsi="宋体"/>
                <w:color w:val="auto"/>
                <w:highlight w:val="none"/>
              </w:rPr>
              <w:t>承包方式：包</w:t>
            </w:r>
            <w:r>
              <w:rPr>
                <w:rFonts w:hint="eastAsia" w:ascii="宋体" w:hAnsi="宋体" w:eastAsia="宋体"/>
                <w:color w:val="auto"/>
                <w:highlight w:val="none"/>
              </w:rPr>
              <w:t>设计、</w:t>
            </w:r>
            <w:r>
              <w:rPr>
                <w:rFonts w:hint="eastAsia" w:ascii="宋体" w:hAnsi="宋体" w:eastAsia="宋体"/>
                <w:color w:val="auto"/>
                <w:sz w:val="21"/>
                <w:szCs w:val="22"/>
                <w:highlight w:val="none"/>
                <w:u w:val="none"/>
              </w:rPr>
              <w:t>包工、包料、包设备、包报建、包深化设计、包质量、包安全生产、包文明施工、包工期、包承包范围内工程验收通过、包移交、包结算、包资料整理、包施工总承包管理和现场整体组织、包专业协调及配合、包保修、包竣工图编制</w:t>
            </w:r>
            <w:r>
              <w:rPr>
                <w:rFonts w:hint="eastAsia" w:ascii="宋体" w:hAnsi="宋体" w:eastAsia="宋体"/>
                <w:color w:val="auto"/>
                <w:highlight w:val="none"/>
              </w:rPr>
              <w:t>。</w:t>
            </w:r>
          </w:p>
          <w:p w14:paraId="3DF858F7">
            <w:pPr>
              <w:spacing w:line="360" w:lineRule="auto"/>
              <w:rPr>
                <w:rFonts w:hint="eastAsia" w:ascii="宋体" w:hAnsi="宋体"/>
                <w:color w:val="auto"/>
                <w:highlight w:val="none"/>
              </w:rPr>
            </w:pPr>
            <w:r>
              <w:rPr>
                <w:rFonts w:hint="eastAsia" w:ascii="宋体" w:hAnsi="宋体"/>
                <w:color w:val="auto"/>
                <w:highlight w:val="none"/>
              </w:rPr>
              <w:t>结算方式具体按合同条款规定。</w:t>
            </w:r>
          </w:p>
          <w:p w14:paraId="570B34D3">
            <w:pPr>
              <w:spacing w:line="360" w:lineRule="auto"/>
              <w:rPr>
                <w:rFonts w:hint="eastAsia" w:ascii="宋体" w:hAnsi="宋体"/>
                <w:color w:val="auto"/>
                <w:highlight w:val="none"/>
              </w:rPr>
            </w:pPr>
            <w:r>
              <w:rPr>
                <w:rFonts w:hint="eastAsia" w:ascii="宋体" w:hAnsi="宋体"/>
                <w:color w:val="auto"/>
                <w:highlight w:val="none"/>
              </w:rPr>
              <w:t>本工程实行全过程限额设计施工，限额投资。工程变更需经过建设单位审定后方可实施。</w:t>
            </w:r>
          </w:p>
        </w:tc>
      </w:tr>
      <w:tr w14:paraId="1BAF7134">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555C289">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4B0C3F8">
            <w:pPr>
              <w:spacing w:line="360" w:lineRule="auto"/>
              <w:rPr>
                <w:rFonts w:hint="eastAsia" w:ascii="宋体" w:hAnsi="宋体"/>
                <w:color w:val="auto"/>
                <w:highlight w:val="none"/>
              </w:rPr>
            </w:pPr>
            <w:r>
              <w:rPr>
                <w:rFonts w:hint="eastAsia" w:ascii="宋体" w:hAnsi="宋体"/>
                <w:color w:val="auto"/>
                <w:highlight w:val="none"/>
              </w:rPr>
              <w:t>项目的监理、施工图审查、</w:t>
            </w:r>
            <w:r>
              <w:rPr>
                <w:rFonts w:hint="eastAsia" w:ascii="宋体" w:hAnsi="宋体"/>
                <w:color w:val="auto"/>
                <w:highlight w:val="none"/>
                <w:lang w:val="en-US" w:eastAsia="zh-CN"/>
              </w:rPr>
              <w:t>效果评估</w:t>
            </w:r>
            <w:r>
              <w:rPr>
                <w:rFonts w:hint="eastAsia" w:ascii="宋体" w:hAnsi="宋体"/>
                <w:color w:val="auto"/>
                <w:highlight w:val="none"/>
              </w:rPr>
              <w:t>工作、可行性研究报告的编制工作不列入本次招标范围。</w:t>
            </w:r>
          </w:p>
        </w:tc>
      </w:tr>
      <w:tr w14:paraId="289AA718">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C3A7F4B">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82587E6">
            <w:pPr>
              <w:spacing w:line="360" w:lineRule="auto"/>
              <w:rPr>
                <w:rFonts w:hint="eastAsia" w:ascii="宋体" w:hAnsi="宋体"/>
                <w:color w:val="auto"/>
                <w:highlight w:val="none"/>
              </w:rPr>
            </w:pPr>
            <w:r>
              <w:rPr>
                <w:rFonts w:hint="eastAsia" w:ascii="宋体" w:hAnsi="宋体"/>
                <w:color w:val="auto"/>
                <w:highlight w:val="none"/>
              </w:rPr>
              <w:t>除中标下浮率外，招标人</w:t>
            </w:r>
            <w:r>
              <w:rPr>
                <w:rFonts w:hint="eastAsia" w:ascii="宋体" w:hAnsi="宋体"/>
                <w:color w:val="auto"/>
                <w:highlight w:val="none"/>
                <w:lang w:val="en-US" w:eastAsia="zh-CN"/>
              </w:rPr>
              <w:t>如有</w:t>
            </w:r>
            <w:r>
              <w:rPr>
                <w:rFonts w:hint="eastAsia" w:ascii="宋体" w:hAnsi="宋体"/>
                <w:color w:val="auto"/>
                <w:highlight w:val="none"/>
              </w:rPr>
              <w:t>设置的“合同约定下浮率”用于后续补充合同价款、结算价款的计算，将在合同中予以明确。</w:t>
            </w:r>
          </w:p>
        </w:tc>
      </w:tr>
      <w:tr w14:paraId="34DB2F36">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82BC00A">
            <w:pPr>
              <w:widowControl/>
              <w:spacing w:line="360" w:lineRule="auto"/>
              <w:jc w:val="center"/>
              <w:rPr>
                <w:rFonts w:hint="eastAsia" w:ascii="宋体" w:hAnsi="宋体"/>
                <w:color w:val="auto"/>
                <w:szCs w:val="21"/>
                <w:highlight w:val="none"/>
              </w:rPr>
            </w:pPr>
            <w:r>
              <w:rPr>
                <w:rFonts w:hint="eastAsia" w:ascii="宋体" w:hAnsi="宋体"/>
                <w:color w:val="auto"/>
                <w:szCs w:val="21"/>
                <w:highlight w:val="none"/>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74278441">
            <w:pPr>
              <w:spacing w:line="360" w:lineRule="auto"/>
              <w:rPr>
                <w:rFonts w:hint="eastAsia" w:ascii="宋体" w:hAnsi="宋体"/>
                <w:color w:val="auto"/>
                <w:highlight w:val="none"/>
              </w:rPr>
            </w:pPr>
            <w:r>
              <w:rPr>
                <w:rFonts w:hint="eastAsia" w:ascii="宋体" w:hAnsi="宋体"/>
                <w:color w:val="auto"/>
                <w:highlight w:val="none"/>
              </w:rPr>
              <w:t>在招标和合同实施期间，业主要求投标人和承包人遵守最高的道德标准。</w:t>
            </w:r>
          </w:p>
          <w:p w14:paraId="5CF3266A">
            <w:pPr>
              <w:spacing w:line="360" w:lineRule="auto"/>
              <w:rPr>
                <w:rFonts w:hint="eastAsia" w:ascii="宋体" w:hAnsi="宋体"/>
                <w:color w:val="auto"/>
                <w:highlight w:val="none"/>
              </w:rPr>
            </w:pPr>
            <w:r>
              <w:rPr>
                <w:rFonts w:hint="eastAsia" w:ascii="宋体" w:hAnsi="宋体"/>
                <w:color w:val="auto"/>
                <w:highlight w:val="none"/>
              </w:rPr>
              <w:t>1、对本条款的规定，特定义如下词汇：</w:t>
            </w:r>
          </w:p>
          <w:p w14:paraId="790F8B12">
            <w:pPr>
              <w:spacing w:line="360" w:lineRule="auto"/>
              <w:rPr>
                <w:rFonts w:hint="eastAsia" w:ascii="宋体" w:hAnsi="宋体"/>
                <w:color w:val="auto"/>
                <w:highlight w:val="none"/>
              </w:rPr>
            </w:pPr>
            <w:r>
              <w:rPr>
                <w:rFonts w:hint="eastAsia" w:ascii="宋体" w:hAnsi="宋体"/>
                <w:color w:val="auto"/>
                <w:highlight w:val="none"/>
              </w:rPr>
              <w:t>1）“腐败行为”是指在招标或合同执行期间，通过提供、给予、接受或索要任何有价值的东西，从而影响招标人有关人员工作的行为；</w:t>
            </w:r>
          </w:p>
          <w:p w14:paraId="66CC9CCA">
            <w:pPr>
              <w:spacing w:line="360" w:lineRule="auto"/>
              <w:rPr>
                <w:rFonts w:hint="eastAsia" w:ascii="宋体" w:hAnsi="宋体"/>
                <w:color w:val="auto"/>
                <w:highlight w:val="none"/>
              </w:rPr>
            </w:pPr>
            <w:r>
              <w:rPr>
                <w:rFonts w:hint="eastAsia" w:ascii="宋体" w:hAnsi="宋体"/>
                <w:color w:val="auto"/>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5F476E11">
            <w:pPr>
              <w:spacing w:line="360" w:lineRule="auto"/>
              <w:rPr>
                <w:rFonts w:hint="eastAsia" w:ascii="宋体" w:hAnsi="宋体"/>
                <w:color w:val="auto"/>
                <w:highlight w:val="none"/>
              </w:rPr>
            </w:pPr>
            <w:r>
              <w:rPr>
                <w:rFonts w:hint="eastAsia" w:ascii="宋体" w:hAnsi="宋体"/>
                <w:color w:val="auto"/>
                <w:highlight w:val="none"/>
              </w:rPr>
              <w:t>2、如果投标人被认定在本招标的竞争中有腐败或欺诈行为，则会被取消投标资格。</w:t>
            </w:r>
          </w:p>
        </w:tc>
      </w:tr>
      <w:tr w14:paraId="4F5705E1">
        <w:tblPrEx>
          <w:tblCellMar>
            <w:top w:w="0" w:type="dxa"/>
            <w:left w:w="108" w:type="dxa"/>
            <w:bottom w:w="0" w:type="dxa"/>
            <w:right w:w="108" w:type="dxa"/>
          </w:tblCellMar>
        </w:tblPrEx>
        <w:trPr>
          <w:trHeight w:val="9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128EE5F">
            <w:pPr>
              <w:widowControl/>
              <w:spacing w:line="360"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9.</w:t>
            </w:r>
            <w:r>
              <w:rPr>
                <w:rFonts w:hint="eastAsia" w:ascii="宋体" w:hAnsi="宋体"/>
                <w:color w:val="auto"/>
                <w:szCs w:val="21"/>
                <w:highlight w:val="none"/>
                <w:lang w:val="en-US" w:eastAsia="zh-CN"/>
              </w:rPr>
              <w:t>7</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F8ED9FB">
            <w:pPr>
              <w:spacing w:line="360" w:lineRule="auto"/>
              <w:rPr>
                <w:rFonts w:hint="eastAsia" w:ascii="宋体" w:hAnsi="宋体"/>
                <w:color w:val="auto"/>
                <w:highlight w:val="none"/>
              </w:rPr>
            </w:pPr>
            <w:r>
              <w:rPr>
                <w:rFonts w:hint="eastAsia" w:ascii="宋体" w:hAnsi="宋体"/>
                <w:color w:val="auto"/>
                <w:highlight w:val="none"/>
              </w:rPr>
              <w:t>本项目施工图审查通过后，根据最终确认的施工图纸，由中标人采用清单模式编制施工图预算，经</w:t>
            </w:r>
            <w:r>
              <w:rPr>
                <w:rFonts w:hint="eastAsia" w:ascii="宋体" w:hAnsi="宋体"/>
                <w:color w:val="auto"/>
                <w:highlight w:val="none"/>
                <w:lang w:val="en-US" w:eastAsia="zh-CN"/>
              </w:rPr>
              <w:t>监理单位</w:t>
            </w:r>
            <w:r>
              <w:rPr>
                <w:rFonts w:hint="eastAsia" w:ascii="宋体" w:hAnsi="宋体"/>
                <w:color w:val="auto"/>
                <w:highlight w:val="none"/>
              </w:rPr>
              <w:t>审</w:t>
            </w:r>
            <w:r>
              <w:rPr>
                <w:rFonts w:hint="eastAsia" w:ascii="宋体" w:hAnsi="宋体"/>
                <w:color w:val="auto"/>
                <w:highlight w:val="none"/>
                <w:lang w:eastAsia="zh-CN"/>
              </w:rPr>
              <w:t>核</w:t>
            </w:r>
            <w:r>
              <w:rPr>
                <w:rFonts w:hint="eastAsia" w:ascii="宋体" w:hAnsi="宋体"/>
                <w:color w:val="auto"/>
                <w:highlight w:val="none"/>
              </w:rPr>
              <w:t>并经</w:t>
            </w:r>
            <w:r>
              <w:rPr>
                <w:rFonts w:hint="eastAsia" w:ascii="宋体" w:hAnsi="宋体"/>
                <w:color w:val="auto"/>
                <w:highlight w:val="none"/>
                <w:lang w:eastAsia="zh-CN"/>
              </w:rPr>
              <w:t>发包人审批</w:t>
            </w:r>
            <w:r>
              <w:rPr>
                <w:rFonts w:hint="eastAsia" w:ascii="宋体" w:hAnsi="宋体"/>
                <w:color w:val="auto"/>
                <w:highlight w:val="none"/>
              </w:rPr>
              <w:t>通过后，按合同约定的方法执行，得出合同价格清单，以此合同价格清单作为进度款支付和结算的依据。施工费结算原则以合同约定为准。施工图审查备案完成后，原则上不允许中标人提出设计变更。因中标人原因（包括错、漏、碰等设计失误）产生的设计变更,所增加的费用，由中标人承担。施工图即使通过审查备案，但如未达到国家、地方的行业标准、规范等及招标人需求任务书规定标准和深度，招标人要求完善的，属于设计失误（由招标人牵头认定是否设计失误），招标人不承担任何费用。</w:t>
            </w:r>
          </w:p>
        </w:tc>
      </w:tr>
      <w:tr w14:paraId="7AF8CEEA">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D5EA898">
            <w:pPr>
              <w:widowControl/>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10</w:t>
            </w:r>
          </w:p>
        </w:tc>
        <w:tc>
          <w:tcPr>
            <w:tcW w:w="2330" w:type="dxa"/>
            <w:tcBorders>
              <w:top w:val="single" w:color="000000" w:sz="4" w:space="0"/>
              <w:left w:val="single" w:color="000000" w:sz="4" w:space="0"/>
              <w:bottom w:val="single" w:color="000000" w:sz="4" w:space="0"/>
              <w:right w:val="single" w:color="000000" w:sz="4" w:space="0"/>
            </w:tcBorders>
            <w:vAlign w:val="center"/>
          </w:tcPr>
          <w:p w14:paraId="5322CAC5">
            <w:pPr>
              <w:pStyle w:val="32"/>
              <w:tabs>
                <w:tab w:val="left" w:pos="0"/>
              </w:tabs>
              <w:spacing w:line="360" w:lineRule="auto"/>
              <w:ind w:firstLine="0" w:firstLineChars="0"/>
              <w:jc w:val="left"/>
              <w:rPr>
                <w:rFonts w:hint="eastAsia" w:ascii="宋体" w:hAnsi="宋体"/>
                <w:color w:val="auto"/>
                <w:kern w:val="1"/>
                <w:szCs w:val="21"/>
                <w:highlight w:val="none"/>
                <w:lang w:val="en-US" w:eastAsia="zh-CN"/>
              </w:rPr>
            </w:pPr>
            <w:r>
              <w:rPr>
                <w:rFonts w:hint="eastAsia" w:ascii="宋体" w:hAnsi="宋体"/>
                <w:color w:val="auto"/>
                <w:kern w:val="1"/>
                <w:szCs w:val="21"/>
                <w:highlight w:val="none"/>
                <w:lang w:val="en-US" w:eastAsia="zh-CN"/>
              </w:rPr>
              <w:t>电子招标投标</w:t>
            </w:r>
          </w:p>
        </w:tc>
        <w:tc>
          <w:tcPr>
            <w:tcW w:w="6378" w:type="dxa"/>
            <w:tcBorders>
              <w:top w:val="single" w:color="000000" w:sz="4" w:space="0"/>
              <w:left w:val="single" w:color="000000" w:sz="4" w:space="0"/>
              <w:bottom w:val="single" w:color="000000" w:sz="4" w:space="0"/>
              <w:right w:val="single" w:color="000000" w:sz="4" w:space="0"/>
            </w:tcBorders>
            <w:vAlign w:val="center"/>
          </w:tcPr>
          <w:p w14:paraId="7C420CC3">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□否</w:t>
            </w:r>
          </w:p>
          <w:p w14:paraId="0443A6F7">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kern w:val="1"/>
                <w:szCs w:val="21"/>
                <w:highlight w:val="none"/>
              </w:rPr>
              <w:t>是，具体要求：</w:t>
            </w:r>
          </w:p>
          <w:p w14:paraId="4D701E0A">
            <w:pPr>
              <w:pStyle w:val="20"/>
              <w:spacing w:line="360" w:lineRule="auto"/>
              <w:rPr>
                <w:color w:val="auto"/>
                <w:kern w:val="1"/>
                <w:sz w:val="21"/>
                <w:szCs w:val="21"/>
                <w:highlight w:val="none"/>
                <w:lang w:val="en-US" w:eastAsia="zh-CN"/>
              </w:rPr>
            </w:pPr>
            <w:r>
              <w:rPr>
                <w:color w:val="auto"/>
                <w:kern w:val="1"/>
                <w:sz w:val="21"/>
                <w:szCs w:val="21"/>
                <w:highlight w:val="none"/>
                <w:lang w:val="en-US" w:eastAsia="zh-CN"/>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w:t>
            </w:r>
            <w:r>
              <w:rPr>
                <w:b/>
                <w:color w:val="auto"/>
                <w:kern w:val="1"/>
                <w:sz w:val="21"/>
                <w:szCs w:val="21"/>
                <w:highlight w:val="none"/>
                <w:lang w:val="en-US" w:eastAsia="zh-CN"/>
              </w:rPr>
              <w:t>投标文</w:t>
            </w:r>
            <w:r>
              <w:rPr>
                <w:rFonts w:hint="eastAsia"/>
                <w:b/>
                <w:color w:val="auto"/>
                <w:kern w:val="1"/>
                <w:sz w:val="21"/>
                <w:szCs w:val="21"/>
                <w:highlight w:val="none"/>
                <w:lang w:val="en-US" w:eastAsia="zh-CN"/>
              </w:rPr>
              <w:t>件中需个人签字或盖章的，应在线下完成后扫描上传</w:t>
            </w:r>
            <w:r>
              <w:rPr>
                <w:rFonts w:hint="eastAsia"/>
                <w:color w:val="auto"/>
                <w:kern w:val="1"/>
                <w:sz w:val="21"/>
                <w:szCs w:val="21"/>
                <w:highlight w:val="none"/>
                <w:lang w:val="en-US" w:eastAsia="zh-CN"/>
              </w:rPr>
              <w:t>。具体操作详见交易平台相关操作指南</w:t>
            </w:r>
            <w:r>
              <w:rPr>
                <w:rFonts w:hint="eastAsia"/>
                <w:color w:val="auto"/>
                <w:sz w:val="21"/>
                <w:szCs w:val="21"/>
                <w:highlight w:val="none"/>
                <w:lang w:val="en-US" w:eastAsia="zh-CN"/>
              </w:rPr>
              <w:t>。</w:t>
            </w:r>
          </w:p>
          <w:p w14:paraId="438F659B">
            <w:pPr>
              <w:pStyle w:val="20"/>
              <w:spacing w:line="360" w:lineRule="auto"/>
              <w:rPr>
                <w:color w:val="auto"/>
                <w:kern w:val="1"/>
                <w:sz w:val="21"/>
                <w:szCs w:val="21"/>
                <w:highlight w:val="none"/>
                <w:lang w:val="en-US" w:eastAsia="zh-CN"/>
              </w:rPr>
            </w:pPr>
            <w:r>
              <w:rPr>
                <w:color w:val="auto"/>
                <w:kern w:val="1"/>
                <w:sz w:val="21"/>
                <w:szCs w:val="21"/>
                <w:highlight w:val="none"/>
                <w:lang w:val="en-US" w:eastAsia="zh-CN"/>
              </w:rPr>
              <w:t>2、现场提交备用</w:t>
            </w:r>
            <w:r>
              <w:rPr>
                <w:rFonts w:hint="eastAsia"/>
                <w:color w:val="auto"/>
                <w:kern w:val="1"/>
                <w:sz w:val="21"/>
                <w:szCs w:val="21"/>
                <w:highlight w:val="none"/>
                <w:lang w:val="en-US" w:eastAsia="zh-CN"/>
              </w:rPr>
              <w:t>资料</w:t>
            </w:r>
          </w:p>
          <w:p w14:paraId="5177D321">
            <w:pPr>
              <w:pStyle w:val="20"/>
              <w:spacing w:line="360" w:lineRule="auto"/>
              <w:rPr>
                <w:rFonts w:hint="eastAsia"/>
                <w:color w:val="auto"/>
                <w:kern w:val="1"/>
                <w:sz w:val="21"/>
                <w:szCs w:val="21"/>
                <w:highlight w:val="none"/>
                <w:lang w:val="en-US" w:eastAsia="zh-CN"/>
              </w:rPr>
            </w:pPr>
            <w:r>
              <w:rPr>
                <w:rFonts w:hint="eastAsia"/>
                <w:color w:val="auto"/>
                <w:kern w:val="1"/>
                <w:sz w:val="21"/>
                <w:szCs w:val="21"/>
                <w:highlight w:val="none"/>
                <w:lang w:val="en-US" w:eastAsia="zh-CN"/>
              </w:rPr>
              <w:t>（</w:t>
            </w:r>
            <w:r>
              <w:rPr>
                <w:color w:val="auto"/>
                <w:kern w:val="1"/>
                <w:sz w:val="21"/>
                <w:szCs w:val="21"/>
                <w:highlight w:val="none"/>
                <w:lang w:val="en-US" w:eastAsia="zh-CN"/>
              </w:rPr>
              <w:t>1）投标人可</w:t>
            </w:r>
            <w:r>
              <w:rPr>
                <w:rFonts w:hint="eastAsia"/>
                <w:color w:val="auto"/>
                <w:kern w:val="1"/>
                <w:sz w:val="21"/>
                <w:szCs w:val="21"/>
                <w:highlight w:val="none"/>
                <w:lang w:val="en-US" w:eastAsia="zh-CN"/>
              </w:rPr>
              <w:t>制作非加密的电子投标文件，以光盘或</w:t>
            </w:r>
            <w:r>
              <w:rPr>
                <w:color w:val="auto"/>
                <w:kern w:val="1"/>
                <w:sz w:val="21"/>
                <w:szCs w:val="21"/>
                <w:highlight w:val="none"/>
                <w:lang w:val="en-US" w:eastAsia="zh-CN"/>
              </w:rPr>
              <w:t>U盘为储存介质在投标须知前附表第5.1项规定的时间、地点提交备用。备用</w:t>
            </w:r>
            <w:r>
              <w:rPr>
                <w:rFonts w:hint="eastAsia"/>
                <w:color w:val="auto"/>
                <w:kern w:val="1"/>
                <w:sz w:val="21"/>
                <w:szCs w:val="21"/>
                <w:highlight w:val="none"/>
                <w:lang w:val="en-US" w:eastAsia="zh-CN"/>
              </w:rPr>
              <w:t>光盘或U盘</w:t>
            </w:r>
            <w:r>
              <w:rPr>
                <w:color w:val="auto"/>
                <w:kern w:val="1"/>
                <w:sz w:val="21"/>
                <w:szCs w:val="21"/>
                <w:highlight w:val="none"/>
                <w:lang w:val="en-US" w:eastAsia="zh-CN"/>
              </w:rPr>
              <w:t>应密封在密封袋中，密封袋上应写明的内容</w:t>
            </w:r>
            <w:r>
              <w:rPr>
                <w:rFonts w:hint="eastAsia"/>
                <w:color w:val="auto"/>
                <w:kern w:val="1"/>
                <w:sz w:val="21"/>
                <w:szCs w:val="21"/>
                <w:highlight w:val="none"/>
                <w:lang w:val="en-US" w:eastAsia="zh-CN"/>
              </w:rPr>
              <w:t>及盖章要求</w:t>
            </w:r>
            <w:r>
              <w:rPr>
                <w:color w:val="auto"/>
                <w:kern w:val="1"/>
                <w:sz w:val="21"/>
                <w:szCs w:val="21"/>
                <w:highlight w:val="none"/>
                <w:lang w:val="en-US" w:eastAsia="zh-CN"/>
              </w:rPr>
              <w:t>见投标人须知前附表要求4.1.2。</w:t>
            </w:r>
          </w:p>
          <w:p w14:paraId="2B39D85B">
            <w:pPr>
              <w:pStyle w:val="20"/>
              <w:spacing w:line="360" w:lineRule="auto"/>
              <w:rPr>
                <w:rFonts w:hint="eastAsia"/>
                <w:color w:val="auto"/>
                <w:kern w:val="1"/>
                <w:sz w:val="21"/>
                <w:szCs w:val="21"/>
                <w:highlight w:val="none"/>
                <w:lang w:val="en-US" w:eastAsia="zh-CN"/>
              </w:rPr>
            </w:pPr>
            <w:r>
              <w:rPr>
                <w:rFonts w:hint="eastAsia"/>
                <w:color w:val="auto"/>
                <w:kern w:val="1"/>
                <w:sz w:val="21"/>
                <w:szCs w:val="21"/>
                <w:highlight w:val="none"/>
                <w:lang w:val="en-US" w:eastAsia="zh-CN"/>
              </w:rPr>
              <w:t>（</w:t>
            </w:r>
            <w:r>
              <w:rPr>
                <w:color w:val="auto"/>
                <w:kern w:val="1"/>
                <w:sz w:val="21"/>
                <w:szCs w:val="21"/>
                <w:highlight w:val="none"/>
                <w:lang w:val="en-US" w:eastAsia="zh-CN"/>
              </w:rPr>
              <w:t>2）现场递交的备用</w:t>
            </w:r>
            <w:r>
              <w:rPr>
                <w:rFonts w:hint="eastAsia"/>
                <w:color w:val="auto"/>
                <w:kern w:val="1"/>
                <w:sz w:val="21"/>
                <w:szCs w:val="21"/>
                <w:highlight w:val="none"/>
                <w:lang w:val="en-US" w:eastAsia="zh-CN"/>
              </w:rPr>
              <w:t>光盘或U盘</w:t>
            </w:r>
            <w:r>
              <w:rPr>
                <w:color w:val="auto"/>
                <w:kern w:val="1"/>
                <w:sz w:val="21"/>
                <w:szCs w:val="21"/>
                <w:highlight w:val="none"/>
                <w:lang w:val="en-US" w:eastAsia="zh-CN"/>
              </w:rPr>
              <w:t>投标文件不得加密。</w:t>
            </w:r>
            <w:r>
              <w:rPr>
                <w:rFonts w:hint="eastAsia"/>
                <w:color w:val="auto"/>
                <w:kern w:val="1"/>
                <w:sz w:val="21"/>
                <w:szCs w:val="21"/>
                <w:highlight w:val="none"/>
                <w:lang w:val="en-US" w:eastAsia="zh-CN"/>
              </w:rPr>
              <w:t>光盘或U盘</w:t>
            </w:r>
            <w:r>
              <w:rPr>
                <w:color w:val="auto"/>
                <w:kern w:val="1"/>
                <w:sz w:val="21"/>
                <w:szCs w:val="21"/>
                <w:highlight w:val="none"/>
                <w:lang w:val="en-US" w:eastAsia="zh-CN"/>
              </w:rPr>
              <w:t>无法读取或导入的，则视为未提交备用</w:t>
            </w:r>
            <w:r>
              <w:rPr>
                <w:rFonts w:hint="eastAsia"/>
                <w:color w:val="auto"/>
                <w:kern w:val="1"/>
                <w:sz w:val="21"/>
                <w:szCs w:val="21"/>
                <w:highlight w:val="none"/>
                <w:lang w:val="en-US" w:eastAsia="zh-CN"/>
              </w:rPr>
              <w:t>光盘或U盘</w:t>
            </w:r>
            <w:r>
              <w:rPr>
                <w:color w:val="auto"/>
                <w:kern w:val="1"/>
                <w:sz w:val="21"/>
                <w:szCs w:val="21"/>
                <w:highlight w:val="none"/>
                <w:lang w:val="en-US" w:eastAsia="zh-CN"/>
              </w:rPr>
              <w:t>。如果投标人没有按规定通过交易平台网上递交电子投标文件的，不再接受现场提交的备用</w:t>
            </w:r>
            <w:r>
              <w:rPr>
                <w:rFonts w:hint="eastAsia"/>
                <w:color w:val="auto"/>
                <w:kern w:val="1"/>
                <w:sz w:val="21"/>
                <w:szCs w:val="21"/>
                <w:highlight w:val="none"/>
                <w:lang w:val="en-US" w:eastAsia="zh-CN"/>
              </w:rPr>
              <w:t>光盘或U盘</w:t>
            </w:r>
            <w:r>
              <w:rPr>
                <w:color w:val="auto"/>
                <w:kern w:val="1"/>
                <w:sz w:val="21"/>
                <w:szCs w:val="21"/>
                <w:highlight w:val="none"/>
                <w:lang w:val="en-US" w:eastAsia="zh-CN"/>
              </w:rPr>
              <w:t>。</w:t>
            </w:r>
          </w:p>
          <w:p w14:paraId="16754351">
            <w:pPr>
              <w:pStyle w:val="20"/>
              <w:spacing w:line="360" w:lineRule="auto"/>
              <w:rPr>
                <w:color w:val="auto"/>
                <w:kern w:val="1"/>
                <w:sz w:val="21"/>
                <w:szCs w:val="21"/>
                <w:highlight w:val="none"/>
                <w:lang w:val="en-US" w:eastAsia="zh-CN"/>
              </w:rPr>
            </w:pPr>
            <w:r>
              <w:rPr>
                <w:color w:val="auto"/>
                <w:kern w:val="1"/>
                <w:sz w:val="21"/>
                <w:szCs w:val="21"/>
                <w:highlight w:val="none"/>
                <w:lang w:val="en-US" w:eastAsia="zh-CN"/>
              </w:rPr>
              <w:t>3、补救方案</w:t>
            </w:r>
          </w:p>
          <w:p w14:paraId="3B31E73D">
            <w:pPr>
              <w:pStyle w:val="20"/>
              <w:spacing w:line="360" w:lineRule="auto"/>
              <w:rPr>
                <w:rFonts w:hint="eastAsia"/>
                <w:color w:val="auto"/>
                <w:kern w:val="1"/>
                <w:sz w:val="21"/>
                <w:szCs w:val="21"/>
                <w:highlight w:val="none"/>
                <w:lang w:val="en-US" w:eastAsia="zh-CN"/>
              </w:rPr>
            </w:pPr>
            <w:r>
              <w:rPr>
                <w:rFonts w:hint="eastAsia"/>
                <w:color w:val="auto"/>
                <w:kern w:val="1"/>
                <w:sz w:val="21"/>
                <w:szCs w:val="21"/>
                <w:highlight w:val="none"/>
                <w:lang w:val="en-US" w:eastAsia="zh-CN"/>
              </w:rPr>
              <w:t>（</w:t>
            </w:r>
            <w:r>
              <w:rPr>
                <w:color w:val="auto"/>
                <w:kern w:val="1"/>
                <w:sz w:val="21"/>
                <w:szCs w:val="21"/>
                <w:highlight w:val="none"/>
                <w:lang w:val="en-US" w:eastAsia="zh-CN"/>
              </w:rPr>
              <w:t>1）投标文件解密失败的补救方案：</w:t>
            </w:r>
          </w:p>
          <w:p w14:paraId="2EB07971">
            <w:pPr>
              <w:pStyle w:val="20"/>
              <w:spacing w:line="360" w:lineRule="auto"/>
              <w:rPr>
                <w:rFonts w:hint="eastAsia"/>
                <w:color w:val="auto"/>
                <w:kern w:val="1"/>
                <w:sz w:val="21"/>
                <w:szCs w:val="21"/>
                <w:highlight w:val="none"/>
                <w:lang w:val="en-US" w:eastAsia="zh-CN"/>
              </w:rPr>
            </w:pPr>
            <w:r>
              <w:rPr>
                <w:rFonts w:hint="eastAsia"/>
                <w:color w:val="auto"/>
                <w:kern w:val="1"/>
                <w:sz w:val="21"/>
                <w:szCs w:val="21"/>
                <w:highlight w:val="none"/>
                <w:lang w:val="en-US" w:eastAsia="zh-CN"/>
              </w:rPr>
              <w:t>在规定时间内，因投标人之外原因导致的电子投标文件解密失败，在开标现场读取备用光盘或U盘内容，继续开标程序。评标委员会对其投标文件的评审以递交的备用光盘或U盘内容为准。</w:t>
            </w:r>
          </w:p>
          <w:p w14:paraId="652A57A9">
            <w:pPr>
              <w:pStyle w:val="20"/>
              <w:spacing w:line="360" w:lineRule="auto"/>
              <w:rPr>
                <w:rFonts w:hint="eastAsia"/>
                <w:color w:val="auto"/>
                <w:kern w:val="1"/>
                <w:sz w:val="21"/>
                <w:szCs w:val="21"/>
                <w:highlight w:val="none"/>
                <w:lang w:val="en-US" w:eastAsia="zh-CN"/>
              </w:rPr>
            </w:pPr>
            <w:r>
              <w:rPr>
                <w:rFonts w:hint="eastAsia"/>
                <w:color w:val="auto"/>
                <w:kern w:val="1"/>
                <w:sz w:val="21"/>
                <w:szCs w:val="21"/>
                <w:highlight w:val="none"/>
                <w:lang w:val="en-US" w:eastAsia="zh-CN"/>
              </w:rPr>
              <w:t>（</w:t>
            </w:r>
            <w:r>
              <w:rPr>
                <w:color w:val="auto"/>
                <w:kern w:val="1"/>
                <w:sz w:val="21"/>
                <w:szCs w:val="21"/>
                <w:highlight w:val="none"/>
                <w:lang w:val="en-US" w:eastAsia="zh-CN"/>
              </w:rPr>
              <w:t>2）评标时突发情况的补救方案</w:t>
            </w:r>
          </w:p>
          <w:p w14:paraId="74CAB381">
            <w:pPr>
              <w:pStyle w:val="20"/>
              <w:spacing w:line="360" w:lineRule="auto"/>
              <w:rPr>
                <w:rFonts w:hint="eastAsia"/>
                <w:color w:val="auto"/>
                <w:kern w:val="1"/>
                <w:sz w:val="21"/>
                <w:szCs w:val="21"/>
                <w:highlight w:val="none"/>
                <w:lang w:val="en-US" w:eastAsia="zh-CN"/>
              </w:rPr>
            </w:pPr>
            <w:r>
              <w:rPr>
                <w:rFonts w:hint="eastAsia"/>
                <w:color w:val="auto"/>
                <w:kern w:val="1"/>
                <w:sz w:val="21"/>
                <w:szCs w:val="21"/>
                <w:highlight w:val="none"/>
                <w:lang w:val="en-US" w:eastAsia="zh-CN"/>
              </w:rPr>
              <w:t>若遇不可抗力发生（如：网络瘫痪、服务器损坏、交易系统故障短期无法恢复等因素），由评标委员会开启现场递交的全部备用光盘或U盘，并按递交的备用光盘或U盘内容进行评审。</w:t>
            </w:r>
          </w:p>
          <w:p w14:paraId="57986BF6">
            <w:pPr>
              <w:pStyle w:val="32"/>
              <w:tabs>
                <w:tab w:val="left" w:pos="0"/>
              </w:tabs>
              <w:spacing w:line="360" w:lineRule="auto"/>
              <w:ind w:firstLine="0" w:firstLineChars="0"/>
              <w:rPr>
                <w:rFonts w:hint="eastAsia"/>
                <w:color w:val="auto"/>
                <w:kern w:val="1"/>
                <w:szCs w:val="21"/>
                <w:highlight w:val="none"/>
                <w:lang w:val="en-US" w:eastAsia="zh-CN"/>
              </w:rPr>
            </w:pPr>
            <w:r>
              <w:rPr>
                <w:rFonts w:hint="eastAsia"/>
                <w:color w:val="auto"/>
                <w:kern w:val="1"/>
                <w:szCs w:val="21"/>
                <w:highlight w:val="none"/>
                <w:lang w:val="en-US" w:eastAsia="zh-CN"/>
              </w:rPr>
              <w:t>（</w:t>
            </w:r>
            <w:r>
              <w:rPr>
                <w:color w:val="auto"/>
                <w:kern w:val="1"/>
                <w:szCs w:val="21"/>
                <w:highlight w:val="none"/>
                <w:lang w:val="en-US" w:eastAsia="zh-CN"/>
              </w:rPr>
              <w:t>3）除发生上述情况外，开标评标均以投标人通过交易平台网上递交的电子投标文件为准。</w:t>
            </w:r>
          </w:p>
        </w:tc>
      </w:tr>
      <w:tr w14:paraId="7C31C3D0">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B16C9CF">
            <w:pPr>
              <w:spacing w:line="440" w:lineRule="exact"/>
              <w:jc w:val="center"/>
              <w:rPr>
                <w:rFonts w:hint="eastAsia" w:ascii="宋体"/>
                <w:color w:val="auto"/>
                <w:szCs w:val="21"/>
                <w:highlight w:val="none"/>
              </w:rPr>
            </w:pPr>
            <w:r>
              <w:rPr>
                <w:rFonts w:hint="eastAsia" w:ascii="宋体"/>
                <w:color w:val="auto"/>
                <w:szCs w:val="21"/>
                <w:highlight w:val="none"/>
              </w:rPr>
              <w:t>11</w:t>
            </w:r>
          </w:p>
        </w:tc>
        <w:tc>
          <w:tcPr>
            <w:tcW w:w="2330" w:type="dxa"/>
            <w:tcBorders>
              <w:top w:val="single" w:color="000000" w:sz="4" w:space="0"/>
              <w:left w:val="single" w:color="000000" w:sz="4" w:space="0"/>
              <w:bottom w:val="single" w:color="000000" w:sz="4" w:space="0"/>
              <w:right w:val="single" w:color="000000" w:sz="4" w:space="0"/>
            </w:tcBorders>
            <w:vAlign w:val="center"/>
          </w:tcPr>
          <w:p w14:paraId="6031A143">
            <w:pPr>
              <w:spacing w:line="440" w:lineRule="exact"/>
              <w:jc w:val="center"/>
              <w:rPr>
                <w:rFonts w:hint="eastAsia" w:ascii="宋体"/>
                <w:color w:val="auto"/>
                <w:szCs w:val="21"/>
                <w:highlight w:val="none"/>
                <w:u w:val="single"/>
              </w:rPr>
            </w:pPr>
            <w:r>
              <w:rPr>
                <w:rFonts w:hint="eastAsia" w:ascii="宋体"/>
                <w:color w:val="auto"/>
                <w:szCs w:val="21"/>
                <w:highlight w:val="none"/>
                <w:u w:val="single"/>
              </w:rPr>
              <w:t>中标公示后中标单位提交投标文件要求</w:t>
            </w:r>
          </w:p>
        </w:tc>
        <w:tc>
          <w:tcPr>
            <w:tcW w:w="6378" w:type="dxa"/>
            <w:tcBorders>
              <w:top w:val="single" w:color="000000" w:sz="4" w:space="0"/>
              <w:left w:val="single" w:color="000000" w:sz="4" w:space="0"/>
              <w:bottom w:val="single" w:color="000000" w:sz="4" w:space="0"/>
              <w:right w:val="single" w:color="000000" w:sz="4" w:space="0"/>
            </w:tcBorders>
            <w:vAlign w:val="center"/>
          </w:tcPr>
          <w:p w14:paraId="6B531D2E">
            <w:pPr>
              <w:rPr>
                <w:rFonts w:hint="eastAsia" w:ascii="宋体"/>
                <w:color w:val="auto"/>
                <w:szCs w:val="21"/>
                <w:highlight w:val="none"/>
              </w:rPr>
            </w:pPr>
            <w:r>
              <w:rPr>
                <w:rFonts w:hint="eastAsia" w:ascii="宋体"/>
                <w:color w:val="auto"/>
                <w:szCs w:val="21"/>
                <w:highlight w:val="none"/>
              </w:rPr>
              <w:t>中标候选人公示后3天内中标人需将在广州公共资源交易中心网站下载的投标文件打印，投标文件需与中标人在广州公共资源交易中心网站提交的投标文件一致，中标人加盖公章，一正4副（加盖公章），合共5套投标文件提供给招标人，相关费用由投标人支付。</w:t>
            </w:r>
          </w:p>
        </w:tc>
      </w:tr>
      <w:tr w14:paraId="03E8C088">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0CCA03B">
            <w:pPr>
              <w:spacing w:line="440" w:lineRule="exact"/>
              <w:jc w:val="center"/>
              <w:rPr>
                <w:rFonts w:hint="eastAsia" w:ascii="宋体"/>
                <w:color w:val="auto"/>
                <w:szCs w:val="21"/>
                <w:highlight w:val="none"/>
                <w:lang w:val="en-US" w:eastAsia="zh-CN"/>
              </w:rPr>
            </w:pPr>
            <w:r>
              <w:rPr>
                <w:rFonts w:hint="eastAsia" w:ascii="宋体"/>
                <w:color w:val="auto"/>
                <w:szCs w:val="21"/>
                <w:highlight w:val="none"/>
                <w:lang w:val="en-US" w:eastAsia="zh-CN"/>
              </w:rPr>
              <w:t>12</w:t>
            </w:r>
          </w:p>
        </w:tc>
        <w:tc>
          <w:tcPr>
            <w:tcW w:w="2330" w:type="dxa"/>
            <w:tcBorders>
              <w:top w:val="single" w:color="000000" w:sz="4" w:space="0"/>
              <w:left w:val="single" w:color="000000" w:sz="4" w:space="0"/>
              <w:bottom w:val="single" w:color="000000" w:sz="4" w:space="0"/>
              <w:right w:val="single" w:color="000000" w:sz="4" w:space="0"/>
            </w:tcBorders>
            <w:vAlign w:val="center"/>
          </w:tcPr>
          <w:p w14:paraId="4E8B5115">
            <w:pPr>
              <w:spacing w:line="440" w:lineRule="exact"/>
              <w:jc w:val="center"/>
              <w:rPr>
                <w:rFonts w:hint="eastAsia" w:ascii="宋体"/>
                <w:color w:val="auto"/>
                <w:szCs w:val="21"/>
                <w:highlight w:val="none"/>
                <w:u w:val="single"/>
              </w:rPr>
            </w:pPr>
            <w:r>
              <w:rPr>
                <w:rFonts w:hint="eastAsia" w:ascii="宋体"/>
                <w:color w:val="auto"/>
                <w:szCs w:val="21"/>
                <w:highlight w:val="none"/>
                <w:u w:val="single"/>
              </w:rPr>
              <w:t>危险性较大的分部分项</w:t>
            </w:r>
            <w:r>
              <w:rPr>
                <w:rFonts w:hint="eastAsia" w:ascii="宋体"/>
                <w:color w:val="auto"/>
                <w:szCs w:val="21"/>
                <w:highlight w:val="none"/>
                <w:u w:val="single"/>
                <w:lang w:val="en-US" w:eastAsia="zh-CN"/>
              </w:rPr>
              <w:t>工</w:t>
            </w:r>
            <w:r>
              <w:rPr>
                <w:rFonts w:hint="eastAsia" w:ascii="宋体"/>
                <w:color w:val="auto"/>
                <w:szCs w:val="21"/>
                <w:highlight w:val="none"/>
                <w:u w:val="single"/>
              </w:rPr>
              <w:t>程清单及超过一定规模的危险性较大的分部分项清</w:t>
            </w:r>
            <w:r>
              <w:rPr>
                <w:rFonts w:hint="eastAsia" w:ascii="宋体"/>
                <w:color w:val="auto"/>
                <w:szCs w:val="21"/>
                <w:highlight w:val="none"/>
                <w:u w:val="single"/>
                <w:lang w:val="en-US" w:eastAsia="zh-CN"/>
              </w:rPr>
              <w:t>单</w:t>
            </w:r>
          </w:p>
        </w:tc>
        <w:tc>
          <w:tcPr>
            <w:tcW w:w="6378" w:type="dxa"/>
            <w:tcBorders>
              <w:top w:val="single" w:color="000000" w:sz="4" w:space="0"/>
              <w:left w:val="single" w:color="000000" w:sz="4" w:space="0"/>
              <w:bottom w:val="single" w:color="000000" w:sz="4" w:space="0"/>
              <w:right w:val="single" w:color="000000" w:sz="4" w:space="0"/>
            </w:tcBorders>
            <w:vAlign w:val="center"/>
          </w:tcPr>
          <w:p w14:paraId="4063C444">
            <w:pPr>
              <w:rPr>
                <w:rFonts w:hint="eastAsia" w:ascii="宋体"/>
                <w:color w:val="auto"/>
                <w:szCs w:val="21"/>
                <w:highlight w:val="none"/>
              </w:rPr>
            </w:pPr>
            <w:r>
              <w:rPr>
                <w:rFonts w:hint="eastAsia" w:ascii="宋体"/>
                <w:color w:val="auto"/>
                <w:szCs w:val="21"/>
                <w:highlight w:val="none"/>
              </w:rPr>
              <w:t>本项目目前处于设计施工总承包招标阶段，现阶段无法明确危险性较大的分部分项工程清单及超过一定规模的危险性较大的分部分项清单，投标单位中标后，在施工图设计批复后</w:t>
            </w:r>
            <w:r>
              <w:rPr>
                <w:rFonts w:hint="eastAsia" w:ascii="宋体"/>
                <w:color w:val="auto"/>
                <w:szCs w:val="21"/>
                <w:highlight w:val="none"/>
                <w:lang w:eastAsia="zh-CN"/>
              </w:rPr>
              <w:t>，</w:t>
            </w:r>
            <w:r>
              <w:rPr>
                <w:rFonts w:hint="eastAsia" w:ascii="宋体"/>
                <w:color w:val="auto"/>
                <w:szCs w:val="21"/>
                <w:highlight w:val="none"/>
                <w:lang w:val="en-US" w:eastAsia="zh-CN"/>
              </w:rPr>
              <w:t>须</w:t>
            </w:r>
            <w:r>
              <w:rPr>
                <w:rFonts w:hint="eastAsia" w:ascii="宋体"/>
                <w:color w:val="auto"/>
                <w:szCs w:val="21"/>
                <w:highlight w:val="none"/>
              </w:rPr>
              <w:t>根据项目实际情况，对危险性较大的分部分项工程清单及超过一定规模的危险性较大的分部分项清单部分工程内容明确相应的安全管理措施。投标</w:t>
            </w:r>
            <w:r>
              <w:rPr>
                <w:rFonts w:hint="eastAsia" w:ascii="宋体"/>
                <w:color w:val="auto"/>
                <w:szCs w:val="21"/>
                <w:highlight w:val="none"/>
                <w:lang w:val="en-US" w:eastAsia="zh-CN"/>
              </w:rPr>
              <w:t>人</w:t>
            </w:r>
            <w:r>
              <w:rPr>
                <w:rFonts w:hint="eastAsia" w:ascii="宋体"/>
                <w:color w:val="auto"/>
                <w:szCs w:val="21"/>
                <w:highlight w:val="none"/>
              </w:rPr>
              <w:t>应充分考虑该部分工作内容及相关</w:t>
            </w:r>
            <w:r>
              <w:rPr>
                <w:rFonts w:hint="eastAsia" w:ascii="宋体"/>
                <w:color w:val="auto"/>
                <w:szCs w:val="21"/>
                <w:highlight w:val="none"/>
                <w:lang w:val="en-US" w:eastAsia="zh-CN"/>
              </w:rPr>
              <w:t>措施费</w:t>
            </w:r>
            <w:r>
              <w:rPr>
                <w:rFonts w:hint="eastAsia" w:ascii="宋体"/>
                <w:color w:val="auto"/>
                <w:szCs w:val="21"/>
                <w:highlight w:val="none"/>
              </w:rPr>
              <w:t>。</w:t>
            </w:r>
          </w:p>
        </w:tc>
      </w:tr>
    </w:tbl>
    <w:p w14:paraId="286EAFB2">
      <w:pPr>
        <w:pStyle w:val="9"/>
        <w:spacing w:line="360" w:lineRule="auto"/>
        <w:rPr>
          <w:rFonts w:hint="eastAsia" w:ascii="宋体" w:hAnsi="宋体" w:eastAsia="宋体"/>
          <w:color w:val="auto"/>
          <w:highlight w:val="none"/>
          <w:lang w:val="zh-CN"/>
        </w:rPr>
      </w:pPr>
      <w:bookmarkStart w:id="44" w:name="_Toc362816480"/>
      <w:bookmarkEnd w:id="44"/>
      <w:bookmarkStart w:id="45" w:name="_Toc5620296"/>
      <w:bookmarkEnd w:id="45"/>
      <w:bookmarkStart w:id="46" w:name="_Toc300834949"/>
      <w:bookmarkEnd w:id="46"/>
      <w:bookmarkStart w:id="47" w:name="_Toc357089511"/>
      <w:bookmarkEnd w:id="47"/>
      <w:bookmarkStart w:id="48" w:name="_Toc21834"/>
      <w:bookmarkEnd w:id="48"/>
      <w:bookmarkStart w:id="49" w:name="_Toc247527553"/>
      <w:bookmarkEnd w:id="49"/>
      <w:bookmarkStart w:id="50" w:name="_Toc2039"/>
      <w:bookmarkEnd w:id="50"/>
      <w:bookmarkStart w:id="51" w:name="_Toc32412"/>
      <w:bookmarkEnd w:id="51"/>
      <w:bookmarkStart w:id="52" w:name="_Toc152045529"/>
      <w:bookmarkEnd w:id="52"/>
      <w:bookmarkStart w:id="53" w:name="_Toc224"/>
      <w:bookmarkEnd w:id="53"/>
      <w:bookmarkStart w:id="54" w:name="_Toc13193"/>
      <w:bookmarkEnd w:id="54"/>
      <w:bookmarkStart w:id="55" w:name="_Toc152042305"/>
      <w:bookmarkEnd w:id="55"/>
      <w:bookmarkStart w:id="56" w:name="_Toc443505822"/>
      <w:bookmarkEnd w:id="56"/>
      <w:bookmarkStart w:id="57" w:name="_Toc247513952"/>
      <w:bookmarkEnd w:id="57"/>
      <w:bookmarkStart w:id="58" w:name="_Toc15796"/>
      <w:bookmarkEnd w:id="58"/>
      <w:bookmarkStart w:id="59" w:name="_Toc144974497"/>
      <w:bookmarkEnd w:id="59"/>
      <w:r>
        <w:rPr>
          <w:rFonts w:hint="eastAsia" w:ascii="宋体" w:hAnsi="宋体" w:eastAsia="宋体"/>
          <w:color w:val="auto"/>
          <w:highlight w:val="none"/>
          <w:lang w:val="zh-CN"/>
        </w:rPr>
        <w:br w:type="page"/>
      </w:r>
      <w:r>
        <w:rPr>
          <w:rFonts w:hint="eastAsia" w:ascii="宋体" w:hAnsi="宋体" w:eastAsia="宋体"/>
          <w:color w:val="auto"/>
          <w:highlight w:val="none"/>
          <w:lang w:val="zh-CN"/>
        </w:rPr>
        <w:t>1. 总则</w:t>
      </w:r>
    </w:p>
    <w:p w14:paraId="4DDB9DD6">
      <w:pPr>
        <w:pStyle w:val="10"/>
        <w:spacing w:line="360" w:lineRule="auto"/>
        <w:ind w:firstLine="118"/>
        <w:rPr>
          <w:rFonts w:hint="eastAsia" w:ascii="宋体" w:hAnsi="宋体" w:eastAsia="宋体"/>
          <w:b/>
          <w:color w:val="auto"/>
          <w:sz w:val="24"/>
          <w:szCs w:val="24"/>
          <w:highlight w:val="none"/>
        </w:rPr>
      </w:pPr>
      <w:bookmarkStart w:id="60" w:name="_Toc247527554"/>
      <w:bookmarkEnd w:id="60"/>
      <w:bookmarkStart w:id="61" w:name="_Toc152045530"/>
      <w:bookmarkEnd w:id="61"/>
      <w:bookmarkStart w:id="62" w:name="_Toc27988"/>
      <w:bookmarkEnd w:id="62"/>
      <w:bookmarkStart w:id="63" w:name="_Toc144974498"/>
      <w:bookmarkEnd w:id="63"/>
      <w:bookmarkStart w:id="64" w:name="_Toc356469178"/>
      <w:bookmarkEnd w:id="64"/>
      <w:bookmarkStart w:id="65" w:name="_Toc362816481"/>
      <w:bookmarkEnd w:id="65"/>
      <w:bookmarkStart w:id="66" w:name="_Toc5620297"/>
      <w:bookmarkEnd w:id="66"/>
      <w:bookmarkStart w:id="67" w:name="_Toc14593"/>
      <w:bookmarkEnd w:id="67"/>
      <w:bookmarkStart w:id="68" w:name="_Toc10053"/>
      <w:bookmarkEnd w:id="68"/>
      <w:bookmarkStart w:id="69" w:name="_Toc357089512"/>
      <w:bookmarkEnd w:id="69"/>
      <w:bookmarkStart w:id="70" w:name="_Toc300834950"/>
      <w:bookmarkEnd w:id="70"/>
      <w:bookmarkStart w:id="71" w:name="_Toc152042306"/>
      <w:bookmarkEnd w:id="71"/>
      <w:bookmarkStart w:id="72" w:name="_Toc247513953"/>
      <w:bookmarkEnd w:id="72"/>
      <w:bookmarkStart w:id="73" w:name="_Toc22936"/>
      <w:bookmarkEnd w:id="73"/>
      <w:r>
        <w:rPr>
          <w:rFonts w:hint="eastAsia" w:ascii="宋体" w:hAnsi="宋体" w:eastAsia="宋体"/>
          <w:b/>
          <w:color w:val="auto"/>
          <w:sz w:val="24"/>
          <w:szCs w:val="24"/>
          <w:highlight w:val="none"/>
        </w:rPr>
        <w:t>1.1 项目概况</w:t>
      </w:r>
    </w:p>
    <w:p w14:paraId="1D4C7A92">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1.1.1 根据《中华人民共和国招标投标法》等有关法律、法规和规章的规定，本招标项目已具备招标条件，现对该项目设计施工进行总承包招标。</w:t>
      </w:r>
    </w:p>
    <w:p w14:paraId="4DFFF578">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1.1.2 招标人：见投标人须知前附表。</w:t>
      </w:r>
    </w:p>
    <w:p w14:paraId="7B2F2E5A">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1.1.3 招标代理机构：见投标人须知前附表。</w:t>
      </w:r>
    </w:p>
    <w:p w14:paraId="166ED219">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1.1.4 招标项目名称：见投标人须知前附表。</w:t>
      </w:r>
    </w:p>
    <w:p w14:paraId="25D9703A">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1.1.5 项目建设地点：见投标人须知前附表。</w:t>
      </w:r>
    </w:p>
    <w:p w14:paraId="319A0EB1">
      <w:pPr>
        <w:pStyle w:val="10"/>
        <w:spacing w:line="360" w:lineRule="auto"/>
        <w:ind w:firstLine="118"/>
        <w:rPr>
          <w:rFonts w:hint="eastAsia" w:ascii="宋体" w:hAnsi="宋体" w:eastAsia="宋体"/>
          <w:b/>
          <w:color w:val="auto"/>
          <w:sz w:val="24"/>
          <w:szCs w:val="24"/>
          <w:highlight w:val="none"/>
        </w:rPr>
      </w:pPr>
      <w:bookmarkStart w:id="74" w:name="_Toc357089513"/>
      <w:bookmarkEnd w:id="74"/>
      <w:bookmarkStart w:id="75" w:name="_Toc152042307"/>
      <w:bookmarkEnd w:id="75"/>
      <w:bookmarkStart w:id="76" w:name="_Toc247527555"/>
      <w:bookmarkEnd w:id="76"/>
      <w:bookmarkStart w:id="77" w:name="_Toc356469179"/>
      <w:bookmarkEnd w:id="77"/>
      <w:bookmarkStart w:id="78" w:name="_Toc29677"/>
      <w:bookmarkEnd w:id="78"/>
      <w:bookmarkStart w:id="79" w:name="_Toc362816482"/>
      <w:bookmarkEnd w:id="79"/>
      <w:bookmarkStart w:id="80" w:name="_Toc152045531"/>
      <w:bookmarkEnd w:id="80"/>
      <w:bookmarkStart w:id="81" w:name="_Toc144974499"/>
      <w:bookmarkEnd w:id="81"/>
      <w:bookmarkStart w:id="82" w:name="_Toc5620298"/>
      <w:bookmarkEnd w:id="82"/>
      <w:bookmarkStart w:id="83" w:name="_Toc300834951"/>
      <w:bookmarkEnd w:id="83"/>
      <w:bookmarkStart w:id="84" w:name="_Toc7424"/>
      <w:bookmarkEnd w:id="84"/>
      <w:bookmarkStart w:id="85" w:name="_Toc6891"/>
      <w:bookmarkEnd w:id="85"/>
      <w:bookmarkStart w:id="86" w:name="_Toc28844"/>
      <w:bookmarkEnd w:id="86"/>
      <w:bookmarkStart w:id="87" w:name="_Toc247513954"/>
      <w:bookmarkEnd w:id="87"/>
      <w:r>
        <w:rPr>
          <w:rFonts w:hint="eastAsia" w:ascii="宋体" w:hAnsi="宋体" w:eastAsia="宋体"/>
          <w:b/>
          <w:color w:val="auto"/>
          <w:sz w:val="24"/>
          <w:szCs w:val="24"/>
          <w:highlight w:val="none"/>
        </w:rPr>
        <w:t>1.2 项目的资金来源和落实情况</w:t>
      </w:r>
    </w:p>
    <w:p w14:paraId="58C0714E">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1.2.1 资金来源及比例：见投标人须知前附表。</w:t>
      </w:r>
    </w:p>
    <w:p w14:paraId="6BC3A6CC">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1.2.2 资金落实情况：见投标人须知前附表。</w:t>
      </w:r>
    </w:p>
    <w:p w14:paraId="572EE050">
      <w:pPr>
        <w:pStyle w:val="10"/>
        <w:spacing w:line="360" w:lineRule="auto"/>
        <w:ind w:firstLine="118"/>
        <w:rPr>
          <w:rFonts w:hint="eastAsia" w:ascii="宋体" w:hAnsi="宋体" w:eastAsia="宋体"/>
          <w:b/>
          <w:color w:val="auto"/>
          <w:sz w:val="24"/>
          <w:szCs w:val="24"/>
          <w:highlight w:val="none"/>
        </w:rPr>
      </w:pPr>
      <w:bookmarkStart w:id="88" w:name="_Toc152042308"/>
      <w:bookmarkEnd w:id="88"/>
      <w:bookmarkStart w:id="89" w:name="_Toc2292"/>
      <w:bookmarkEnd w:id="89"/>
      <w:bookmarkStart w:id="90" w:name="_Toc362816483"/>
      <w:bookmarkEnd w:id="90"/>
      <w:bookmarkStart w:id="91" w:name="_Toc8864"/>
      <w:bookmarkEnd w:id="91"/>
      <w:bookmarkStart w:id="92" w:name="_Toc357089514"/>
      <w:bookmarkEnd w:id="92"/>
      <w:bookmarkStart w:id="93" w:name="_Toc152045532"/>
      <w:bookmarkEnd w:id="93"/>
      <w:bookmarkStart w:id="94" w:name="_Toc11640"/>
      <w:bookmarkEnd w:id="94"/>
      <w:bookmarkStart w:id="95" w:name="_Toc27428"/>
      <w:bookmarkEnd w:id="95"/>
      <w:bookmarkStart w:id="96" w:name="_Toc247527556"/>
      <w:bookmarkEnd w:id="96"/>
      <w:bookmarkStart w:id="97" w:name="_Toc356469180"/>
      <w:bookmarkEnd w:id="97"/>
      <w:bookmarkStart w:id="98" w:name="_Toc5620299"/>
      <w:bookmarkEnd w:id="98"/>
      <w:bookmarkStart w:id="99" w:name="_Toc247513955"/>
      <w:bookmarkEnd w:id="99"/>
      <w:bookmarkStart w:id="100" w:name="_Toc144974500"/>
      <w:bookmarkEnd w:id="100"/>
      <w:bookmarkStart w:id="101" w:name="_Toc300834952"/>
      <w:bookmarkEnd w:id="101"/>
      <w:r>
        <w:rPr>
          <w:rFonts w:hint="eastAsia" w:ascii="宋体" w:hAnsi="宋体" w:eastAsia="宋体"/>
          <w:b/>
          <w:color w:val="auto"/>
          <w:sz w:val="24"/>
          <w:szCs w:val="24"/>
          <w:highlight w:val="none"/>
        </w:rPr>
        <w:t>1.3 招标范围、计划工期和质量标准</w:t>
      </w:r>
    </w:p>
    <w:p w14:paraId="07F4B059">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1.3.1 招标范围：见投标人须知前附表。</w:t>
      </w:r>
    </w:p>
    <w:p w14:paraId="3950CAD3">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1.3.2 计划工期：见投标人须知前附表。</w:t>
      </w:r>
    </w:p>
    <w:p w14:paraId="76711C4D">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1.3.3 质量标准：见投标人须知前附表。</w:t>
      </w:r>
    </w:p>
    <w:p w14:paraId="2D6594E1">
      <w:pPr>
        <w:pStyle w:val="10"/>
        <w:spacing w:line="360" w:lineRule="auto"/>
        <w:ind w:firstLine="118"/>
        <w:rPr>
          <w:rFonts w:hint="eastAsia" w:ascii="宋体" w:hAnsi="宋体" w:eastAsia="宋体"/>
          <w:b/>
          <w:color w:val="auto"/>
          <w:sz w:val="24"/>
          <w:szCs w:val="24"/>
          <w:highlight w:val="none"/>
        </w:rPr>
      </w:pPr>
      <w:bookmarkStart w:id="102" w:name="_Toc152045534"/>
      <w:bookmarkEnd w:id="102"/>
      <w:bookmarkStart w:id="103" w:name="_Toc28294"/>
      <w:bookmarkEnd w:id="103"/>
      <w:bookmarkStart w:id="104" w:name="_Toc247513957"/>
      <w:bookmarkEnd w:id="104"/>
      <w:bookmarkStart w:id="105" w:name="_Toc31609"/>
      <w:bookmarkEnd w:id="105"/>
      <w:bookmarkStart w:id="106" w:name="_Toc31933"/>
      <w:bookmarkEnd w:id="106"/>
      <w:bookmarkStart w:id="107" w:name="_Toc10429"/>
      <w:bookmarkEnd w:id="107"/>
      <w:bookmarkStart w:id="108" w:name="_Toc152042310"/>
      <w:bookmarkEnd w:id="108"/>
      <w:bookmarkStart w:id="109" w:name="_Toc144974502"/>
      <w:bookmarkEnd w:id="109"/>
      <w:bookmarkStart w:id="110" w:name="_Toc247527558"/>
      <w:bookmarkEnd w:id="110"/>
      <w:bookmarkStart w:id="111" w:name="_Toc5620300"/>
      <w:bookmarkEnd w:id="111"/>
      <w:bookmarkStart w:id="112" w:name="_Toc300834954"/>
      <w:bookmarkEnd w:id="112"/>
      <w:r>
        <w:rPr>
          <w:rFonts w:hint="eastAsia" w:ascii="宋体" w:hAnsi="宋体" w:eastAsia="宋体"/>
          <w:b/>
          <w:color w:val="auto"/>
          <w:sz w:val="24"/>
          <w:szCs w:val="24"/>
          <w:highlight w:val="none"/>
        </w:rPr>
        <w:t>1.4投标人资格要求</w:t>
      </w:r>
    </w:p>
    <w:p w14:paraId="776FB042">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1.4.1投标人应具备承担本招标项目资质条件、能力和信誉。</w:t>
      </w:r>
      <w:r>
        <w:rPr>
          <w:rFonts w:hint="eastAsia" w:ascii="宋体" w:hAnsi="宋体"/>
          <w:color w:val="auto"/>
          <w:kern w:val="1"/>
          <w:highlight w:val="none"/>
          <w:u w:val="single"/>
        </w:rPr>
        <w:t>详见招标公告要求。</w:t>
      </w:r>
    </w:p>
    <w:p w14:paraId="01B17735">
      <w:pPr>
        <w:spacing w:line="360" w:lineRule="auto"/>
        <w:ind w:firstLine="420"/>
        <w:rPr>
          <w:rFonts w:hint="eastAsia" w:ascii="宋体" w:hAnsi="宋体"/>
          <w:color w:val="auto"/>
          <w:kern w:val="1"/>
          <w:highlight w:val="none"/>
        </w:rPr>
      </w:pPr>
      <w:r>
        <w:rPr>
          <w:rFonts w:hint="eastAsia" w:ascii="宋体" w:hAnsi="宋体"/>
          <w:color w:val="auto"/>
          <w:kern w:val="1"/>
          <w:highlight w:val="none"/>
        </w:rPr>
        <w:t xml:space="preserve">1.4.2 投标人须知前附表规定接受联合体投标的，除应符合本章第1.4.1项和投标人须知前附表的要求外，还应遵守以下规定： </w:t>
      </w:r>
    </w:p>
    <w:p w14:paraId="6429B8E1">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（1）联合体各方</w:t>
      </w:r>
      <w:r>
        <w:rPr>
          <w:rFonts w:hint="eastAsia" w:ascii="宋体" w:hAnsi="宋体" w:eastAsia="宋体"/>
          <w:color w:val="auto"/>
          <w:kern w:val="1"/>
          <w:highlight w:val="none"/>
        </w:rPr>
        <w:t>应按招标文件提供的格式签订联合体共同投标协议书，明确联合体牵头</w:t>
      </w:r>
      <w:r>
        <w:rPr>
          <w:rFonts w:hint="eastAsia" w:ascii="宋体" w:hAnsi="宋体" w:eastAsia="宋体"/>
          <w:color w:val="auto"/>
          <w:kern w:val="1"/>
          <w:highlight w:val="none"/>
          <w:lang w:val="en-US" w:eastAsia="zh-CN"/>
        </w:rPr>
        <w:t>方</w:t>
      </w:r>
      <w:r>
        <w:rPr>
          <w:rFonts w:hint="eastAsia" w:ascii="宋体" w:hAnsi="宋体" w:eastAsia="宋体"/>
          <w:color w:val="auto"/>
          <w:kern w:val="1"/>
          <w:highlight w:val="none"/>
        </w:rPr>
        <w:t>和各方权利义务；</w:t>
      </w:r>
    </w:p>
    <w:p w14:paraId="3C09DCE7">
      <w:pPr>
        <w:spacing w:line="360" w:lineRule="auto"/>
        <w:ind w:firstLine="420"/>
        <w:rPr>
          <w:rFonts w:hint="eastAsia" w:ascii="宋体" w:hAnsi="宋体"/>
          <w:color w:val="auto"/>
          <w:kern w:val="1"/>
          <w:highlight w:val="none"/>
        </w:rPr>
      </w:pPr>
      <w:r>
        <w:rPr>
          <w:rFonts w:hint="eastAsia" w:ascii="宋体" w:hAnsi="宋体"/>
          <w:color w:val="auto"/>
          <w:kern w:val="1"/>
          <w:highlight w:val="none"/>
        </w:rPr>
        <w:t>（2）由同一专业的单位组成的联合体，按照资质等级较低的单位确定资质等级；</w:t>
      </w:r>
    </w:p>
    <w:p w14:paraId="16F0C18F">
      <w:pPr>
        <w:spacing w:line="360" w:lineRule="auto"/>
        <w:ind w:firstLine="420"/>
        <w:rPr>
          <w:rFonts w:hint="eastAsia" w:ascii="宋体" w:hAnsi="宋体"/>
          <w:color w:val="auto"/>
          <w:kern w:val="1"/>
          <w:highlight w:val="none"/>
        </w:rPr>
      </w:pPr>
      <w:r>
        <w:rPr>
          <w:rFonts w:hint="eastAsia" w:ascii="宋体" w:hAnsi="宋体"/>
          <w:color w:val="auto"/>
          <w:kern w:val="1"/>
          <w:highlight w:val="none"/>
        </w:rPr>
        <w:t>（3）联合体各方不得再以自己名义单独或参加其他联合体在本招标项目中投标。</w:t>
      </w:r>
    </w:p>
    <w:p w14:paraId="6AF7D259">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1.4.3 投标人不得存在下列情形之一：</w:t>
      </w:r>
    </w:p>
    <w:p w14:paraId="7B67CD8E">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（1）为招标人不具有独立法人资格的附属机构（单位）；</w:t>
      </w:r>
    </w:p>
    <w:p w14:paraId="66882B09">
      <w:pPr>
        <w:spacing w:line="360" w:lineRule="auto"/>
        <w:ind w:firstLine="420"/>
        <w:rPr>
          <w:rFonts w:hint="eastAsia" w:ascii="宋体" w:hAnsi="宋体"/>
          <w:color w:val="auto"/>
          <w:kern w:val="1"/>
          <w:highlight w:val="none"/>
        </w:rPr>
      </w:pPr>
      <w:r>
        <w:rPr>
          <w:rFonts w:hint="eastAsia" w:ascii="宋体" w:hAnsi="宋体"/>
          <w:color w:val="auto"/>
          <w:kern w:val="1"/>
          <w:highlight w:val="none"/>
        </w:rPr>
        <w:t>（2）为本标段前期准备提供设计或咨询服务或者与本项目设计人或提供咨询服务的机构存在附属关系的；</w:t>
      </w:r>
    </w:p>
    <w:p w14:paraId="23960BD6">
      <w:pPr>
        <w:spacing w:line="360" w:lineRule="auto"/>
        <w:ind w:firstLine="420"/>
        <w:rPr>
          <w:rFonts w:hint="eastAsia" w:ascii="宋体" w:hAnsi="宋体"/>
          <w:color w:val="auto"/>
          <w:kern w:val="1"/>
          <w:highlight w:val="none"/>
        </w:rPr>
      </w:pPr>
      <w:r>
        <w:rPr>
          <w:rFonts w:hint="eastAsia" w:ascii="宋体" w:hAnsi="宋体"/>
          <w:color w:val="auto"/>
          <w:kern w:val="1"/>
          <w:highlight w:val="none"/>
        </w:rPr>
        <w:t>（3）为本标段监理人或者与本标段监理人存在隶属关系或者其他利害关系；</w:t>
      </w:r>
    </w:p>
    <w:p w14:paraId="3F17F481">
      <w:pPr>
        <w:spacing w:line="360" w:lineRule="auto"/>
        <w:ind w:firstLine="420"/>
        <w:rPr>
          <w:rFonts w:hint="eastAsia" w:ascii="宋体" w:hAnsi="宋体"/>
          <w:color w:val="auto"/>
          <w:kern w:val="1"/>
          <w:highlight w:val="none"/>
        </w:rPr>
      </w:pPr>
      <w:r>
        <w:rPr>
          <w:rFonts w:hint="eastAsia" w:ascii="宋体" w:hAnsi="宋体"/>
          <w:color w:val="auto"/>
          <w:kern w:val="1"/>
          <w:highlight w:val="none"/>
        </w:rPr>
        <w:t>（4）为本标段的代建人；</w:t>
      </w:r>
    </w:p>
    <w:p w14:paraId="7DA1F49D">
      <w:pPr>
        <w:spacing w:line="360" w:lineRule="auto"/>
        <w:ind w:firstLine="420"/>
        <w:rPr>
          <w:rFonts w:hint="eastAsia" w:ascii="宋体" w:hAnsi="宋体"/>
          <w:color w:val="auto"/>
          <w:kern w:val="1"/>
          <w:highlight w:val="none"/>
        </w:rPr>
      </w:pPr>
      <w:r>
        <w:rPr>
          <w:rFonts w:hint="eastAsia" w:ascii="宋体" w:hAnsi="宋体"/>
          <w:color w:val="auto"/>
          <w:kern w:val="1"/>
          <w:highlight w:val="none"/>
        </w:rPr>
        <w:t>（5）为本标段提供招标代理服务的；</w:t>
      </w:r>
    </w:p>
    <w:p w14:paraId="5A040C72">
      <w:pPr>
        <w:spacing w:line="360" w:lineRule="auto"/>
        <w:ind w:firstLine="420"/>
        <w:rPr>
          <w:rFonts w:hint="eastAsia" w:ascii="宋体" w:hAnsi="宋体"/>
          <w:color w:val="auto"/>
          <w:kern w:val="1"/>
          <w:highlight w:val="none"/>
        </w:rPr>
      </w:pPr>
      <w:r>
        <w:rPr>
          <w:rFonts w:hint="eastAsia" w:ascii="宋体" w:hAnsi="宋体"/>
          <w:color w:val="auto"/>
          <w:kern w:val="1"/>
          <w:highlight w:val="none"/>
        </w:rPr>
        <w:t>（6）与本标段的监理人或代建人或招标代理机构同为一个法定代表人的；</w:t>
      </w:r>
    </w:p>
    <w:p w14:paraId="0DA734CC">
      <w:pPr>
        <w:spacing w:line="360" w:lineRule="auto"/>
        <w:ind w:firstLine="420"/>
        <w:rPr>
          <w:rFonts w:hint="eastAsia" w:ascii="宋体" w:hAnsi="宋体"/>
          <w:color w:val="auto"/>
          <w:kern w:val="1"/>
          <w:highlight w:val="none"/>
        </w:rPr>
      </w:pPr>
      <w:r>
        <w:rPr>
          <w:rFonts w:hint="eastAsia" w:ascii="宋体" w:hAnsi="宋体"/>
          <w:color w:val="auto"/>
          <w:kern w:val="1"/>
          <w:highlight w:val="none"/>
        </w:rPr>
        <w:t>（7）与本标段的监理人或代建人或招标代理机构互相控股或参股的；</w:t>
      </w:r>
    </w:p>
    <w:p w14:paraId="121BBA01">
      <w:pPr>
        <w:spacing w:line="360" w:lineRule="auto"/>
        <w:ind w:firstLine="420"/>
        <w:rPr>
          <w:rFonts w:hint="eastAsia" w:ascii="宋体" w:hAnsi="宋体"/>
          <w:color w:val="auto"/>
          <w:kern w:val="1"/>
          <w:highlight w:val="none"/>
        </w:rPr>
      </w:pPr>
      <w:r>
        <w:rPr>
          <w:rFonts w:hint="eastAsia" w:ascii="宋体" w:hAnsi="宋体"/>
          <w:color w:val="auto"/>
          <w:kern w:val="1"/>
          <w:highlight w:val="none"/>
        </w:rPr>
        <w:t>（8）与本标段的监理人或代建人或招标代理机构相互任职或工作的；</w:t>
      </w:r>
    </w:p>
    <w:p w14:paraId="2F91C340">
      <w:pPr>
        <w:spacing w:line="360" w:lineRule="auto"/>
        <w:ind w:firstLine="420"/>
        <w:rPr>
          <w:rFonts w:hint="eastAsia" w:ascii="宋体" w:hAnsi="宋体"/>
          <w:color w:val="auto"/>
          <w:kern w:val="1"/>
          <w:highlight w:val="none"/>
        </w:rPr>
      </w:pPr>
      <w:r>
        <w:rPr>
          <w:rFonts w:hint="eastAsia" w:ascii="宋体" w:hAnsi="宋体"/>
          <w:color w:val="auto"/>
          <w:kern w:val="1"/>
          <w:highlight w:val="none"/>
        </w:rPr>
        <w:t>（9）与本标段的检测机构有隶属关系或者其他利害关系；</w:t>
      </w:r>
    </w:p>
    <w:p w14:paraId="14E6F0FE">
      <w:pPr>
        <w:spacing w:line="360" w:lineRule="auto"/>
        <w:ind w:firstLine="420"/>
        <w:rPr>
          <w:rFonts w:hint="eastAsia" w:ascii="宋体" w:hAnsi="宋体"/>
          <w:color w:val="auto"/>
          <w:kern w:val="1"/>
          <w:highlight w:val="none"/>
        </w:rPr>
      </w:pPr>
      <w:r>
        <w:rPr>
          <w:rFonts w:hint="eastAsia" w:ascii="宋体" w:hAnsi="宋体"/>
          <w:color w:val="auto"/>
          <w:kern w:val="1"/>
          <w:highlight w:val="none"/>
        </w:rPr>
        <w:t xml:space="preserve">（10）与招标人存在利害关系且可能影响招标公正性； </w:t>
      </w:r>
    </w:p>
    <w:p w14:paraId="1C6A6F92">
      <w:pPr>
        <w:spacing w:line="360" w:lineRule="auto"/>
        <w:ind w:firstLine="420"/>
        <w:rPr>
          <w:rFonts w:hint="eastAsia" w:ascii="宋体" w:hAnsi="宋体"/>
          <w:color w:val="auto"/>
          <w:kern w:val="1"/>
          <w:highlight w:val="none"/>
        </w:rPr>
      </w:pPr>
      <w:r>
        <w:rPr>
          <w:rFonts w:hint="eastAsia" w:ascii="宋体" w:hAnsi="宋体"/>
          <w:color w:val="auto"/>
          <w:kern w:val="1"/>
          <w:highlight w:val="none"/>
        </w:rPr>
        <w:t xml:space="preserve">（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BA66FA3">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（12）被责令停产停业、暂扣或者吊销许可证、暂扣或者吊销执照的（本项事实应当以根据《中华人民共和国行政处罚法》依法作出并已经生效的行政处罚决定为认定依据。）；</w:t>
      </w:r>
    </w:p>
    <w:p w14:paraId="60201244">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（13）进入清算程序，或被宣布破产，或其他丧失履约能力的情形；</w:t>
      </w:r>
    </w:p>
    <w:p w14:paraId="10216922">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19AF716">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（15）法律法规规定的其他情形。</w:t>
      </w:r>
    </w:p>
    <w:p w14:paraId="7EA089B9">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1.4.4 单位负责人为同一人或者存在控股、管理关系的不同单位，不得同时参加本招标项目投标。</w:t>
      </w:r>
    </w:p>
    <w:p w14:paraId="6F4BA1CC">
      <w:pPr>
        <w:pStyle w:val="10"/>
        <w:spacing w:line="360" w:lineRule="auto"/>
        <w:ind w:firstLine="118"/>
        <w:rPr>
          <w:rFonts w:hint="eastAsia" w:ascii="宋体" w:hAnsi="宋体" w:eastAsia="宋体"/>
          <w:b/>
          <w:color w:val="auto"/>
          <w:sz w:val="24"/>
          <w:szCs w:val="24"/>
          <w:highlight w:val="none"/>
        </w:rPr>
      </w:pPr>
      <w:bookmarkStart w:id="113" w:name="_Toc356469182"/>
      <w:bookmarkEnd w:id="113"/>
      <w:bookmarkStart w:id="114" w:name="_Toc144974503"/>
      <w:bookmarkEnd w:id="114"/>
      <w:bookmarkStart w:id="115" w:name="_Toc8488"/>
      <w:bookmarkEnd w:id="115"/>
      <w:bookmarkStart w:id="116" w:name="_Toc6447"/>
      <w:bookmarkEnd w:id="116"/>
      <w:bookmarkStart w:id="117" w:name="_Toc357089516"/>
      <w:bookmarkEnd w:id="117"/>
      <w:bookmarkStart w:id="118" w:name="_Toc152045535"/>
      <w:bookmarkEnd w:id="118"/>
      <w:bookmarkStart w:id="119" w:name="_Toc300834955"/>
      <w:bookmarkEnd w:id="119"/>
      <w:bookmarkStart w:id="120" w:name="_Toc247513958"/>
      <w:bookmarkEnd w:id="120"/>
      <w:bookmarkStart w:id="121" w:name="_Toc362816485"/>
      <w:bookmarkEnd w:id="121"/>
      <w:bookmarkStart w:id="122" w:name="_Toc247527559"/>
      <w:bookmarkEnd w:id="122"/>
      <w:bookmarkStart w:id="123" w:name="_Toc19449"/>
      <w:bookmarkEnd w:id="123"/>
      <w:bookmarkStart w:id="124" w:name="_Toc21668"/>
      <w:bookmarkEnd w:id="124"/>
      <w:bookmarkStart w:id="125" w:name="_Toc152042311"/>
      <w:bookmarkEnd w:id="125"/>
      <w:bookmarkStart w:id="126" w:name="_Toc5620301"/>
      <w:bookmarkEnd w:id="126"/>
      <w:r>
        <w:rPr>
          <w:rFonts w:hint="eastAsia" w:ascii="宋体" w:hAnsi="宋体" w:eastAsia="宋体"/>
          <w:b/>
          <w:color w:val="auto"/>
          <w:sz w:val="24"/>
          <w:szCs w:val="24"/>
          <w:highlight w:val="none"/>
        </w:rPr>
        <w:t>1.5 费用承担和设计成果补偿</w:t>
      </w:r>
    </w:p>
    <w:p w14:paraId="334F8CD2">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1.5.1 投标人准备和参加投标活动发生的费用自理。</w:t>
      </w:r>
    </w:p>
    <w:p w14:paraId="708FE14A">
      <w:pPr>
        <w:spacing w:line="360" w:lineRule="auto"/>
        <w:ind w:firstLine="420"/>
        <w:rPr>
          <w:rFonts w:hint="eastAsia" w:ascii="宋体" w:hAnsi="宋体"/>
          <w:color w:val="auto"/>
          <w:kern w:val="1"/>
          <w:highlight w:val="none"/>
        </w:rPr>
      </w:pPr>
      <w:r>
        <w:rPr>
          <w:rFonts w:hint="eastAsia" w:ascii="宋体" w:hAnsi="宋体"/>
          <w:color w:val="auto"/>
          <w:kern w:val="1"/>
          <w:highlight w:val="none"/>
        </w:rPr>
        <w:t xml:space="preserve">1.5.2 </w:t>
      </w:r>
      <w:r>
        <w:rPr>
          <w:rFonts w:hint="eastAsia" w:ascii="宋体" w:hAnsi="宋体"/>
          <w:color w:val="auto"/>
          <w:kern w:val="1"/>
          <w:highlight w:val="none"/>
          <w:u w:val="single"/>
        </w:rPr>
        <w:t>招标人在征得未中标人的同意后有权免费使用未中标人设计成果。</w:t>
      </w:r>
    </w:p>
    <w:p w14:paraId="37DC2A89">
      <w:pPr>
        <w:pStyle w:val="10"/>
        <w:spacing w:line="360" w:lineRule="auto"/>
        <w:ind w:firstLine="118"/>
        <w:rPr>
          <w:rFonts w:hint="eastAsia" w:ascii="宋体" w:hAnsi="宋体" w:eastAsia="宋体"/>
          <w:b/>
          <w:color w:val="auto"/>
          <w:sz w:val="24"/>
          <w:szCs w:val="24"/>
          <w:highlight w:val="none"/>
        </w:rPr>
      </w:pPr>
      <w:bookmarkStart w:id="127" w:name="_Toc300834956"/>
      <w:bookmarkEnd w:id="127"/>
      <w:bookmarkStart w:id="128" w:name="_Toc15603"/>
      <w:bookmarkEnd w:id="128"/>
      <w:bookmarkStart w:id="129" w:name="_Toc152045536"/>
      <w:bookmarkEnd w:id="129"/>
      <w:bookmarkStart w:id="130" w:name="_Toc247527560"/>
      <w:bookmarkEnd w:id="130"/>
      <w:bookmarkStart w:id="131" w:name="_Toc362816486"/>
      <w:bookmarkEnd w:id="131"/>
      <w:bookmarkStart w:id="132" w:name="_Toc356469183"/>
      <w:bookmarkEnd w:id="132"/>
      <w:bookmarkStart w:id="133" w:name="_Toc247513959"/>
      <w:bookmarkEnd w:id="133"/>
      <w:bookmarkStart w:id="134" w:name="_Toc14287"/>
      <w:bookmarkEnd w:id="134"/>
      <w:bookmarkStart w:id="135" w:name="_Toc144974504"/>
      <w:bookmarkEnd w:id="135"/>
      <w:bookmarkStart w:id="136" w:name="_Toc22269"/>
      <w:bookmarkEnd w:id="136"/>
      <w:bookmarkStart w:id="137" w:name="_Toc357089517"/>
      <w:bookmarkEnd w:id="137"/>
      <w:bookmarkStart w:id="138" w:name="_Toc5620302"/>
      <w:bookmarkEnd w:id="138"/>
      <w:bookmarkStart w:id="139" w:name="_Toc18451"/>
      <w:bookmarkEnd w:id="139"/>
      <w:bookmarkStart w:id="140" w:name="_Toc152042312"/>
      <w:bookmarkEnd w:id="140"/>
      <w:r>
        <w:rPr>
          <w:rFonts w:hint="eastAsia" w:ascii="宋体" w:hAnsi="宋体" w:eastAsia="宋体"/>
          <w:b/>
          <w:color w:val="auto"/>
          <w:sz w:val="24"/>
          <w:szCs w:val="24"/>
          <w:highlight w:val="none"/>
        </w:rPr>
        <w:t>1.6 保密</w:t>
      </w:r>
    </w:p>
    <w:p w14:paraId="45612DF9">
      <w:pPr>
        <w:spacing w:line="360" w:lineRule="auto"/>
        <w:ind w:firstLine="420"/>
        <w:rPr>
          <w:rFonts w:hint="eastAsia" w:ascii="宋体" w:hAnsi="宋体"/>
          <w:color w:val="auto"/>
          <w:kern w:val="1"/>
          <w:highlight w:val="none"/>
        </w:rPr>
      </w:pPr>
      <w:r>
        <w:rPr>
          <w:rFonts w:hint="eastAsia" w:ascii="宋体" w:hAnsi="宋体"/>
          <w:color w:val="auto"/>
          <w:kern w:val="1"/>
          <w:highlight w:val="none"/>
        </w:rPr>
        <w:t>参与招标投标活动的各方应对招标文件和投标文件中的商业和技术等秘密保密，否则应承担相应的法律责任。</w:t>
      </w:r>
    </w:p>
    <w:p w14:paraId="1085AC9F">
      <w:pPr>
        <w:pStyle w:val="10"/>
        <w:spacing w:line="360" w:lineRule="auto"/>
        <w:ind w:firstLine="118"/>
        <w:rPr>
          <w:rFonts w:hint="eastAsia" w:ascii="宋体" w:hAnsi="宋体" w:eastAsia="宋体"/>
          <w:b/>
          <w:color w:val="auto"/>
          <w:sz w:val="24"/>
          <w:szCs w:val="24"/>
          <w:highlight w:val="none"/>
        </w:rPr>
      </w:pPr>
      <w:bookmarkStart w:id="141" w:name="_Toc362816487"/>
      <w:bookmarkEnd w:id="141"/>
      <w:bookmarkStart w:id="142" w:name="_Toc23256"/>
      <w:bookmarkEnd w:id="142"/>
      <w:bookmarkStart w:id="143" w:name="_Toc144974505"/>
      <w:bookmarkEnd w:id="143"/>
      <w:bookmarkStart w:id="144" w:name="_Toc152042313"/>
      <w:bookmarkEnd w:id="144"/>
      <w:bookmarkStart w:id="145" w:name="_Toc27059"/>
      <w:bookmarkEnd w:id="145"/>
      <w:bookmarkStart w:id="146" w:name="_Toc247527561"/>
      <w:bookmarkEnd w:id="146"/>
      <w:bookmarkStart w:id="147" w:name="_Toc30286"/>
      <w:bookmarkEnd w:id="147"/>
      <w:bookmarkStart w:id="148" w:name="_Toc356469184"/>
      <w:bookmarkEnd w:id="148"/>
      <w:bookmarkStart w:id="149" w:name="_Toc300834957"/>
      <w:bookmarkEnd w:id="149"/>
      <w:bookmarkStart w:id="150" w:name="_Toc29353"/>
      <w:bookmarkEnd w:id="150"/>
      <w:bookmarkStart w:id="151" w:name="_Toc357089518"/>
      <w:bookmarkEnd w:id="151"/>
      <w:bookmarkStart w:id="152" w:name="_Toc247513960"/>
      <w:bookmarkEnd w:id="152"/>
      <w:bookmarkStart w:id="153" w:name="_Toc5620303"/>
      <w:bookmarkEnd w:id="153"/>
      <w:bookmarkStart w:id="154" w:name="_Toc152045537"/>
      <w:bookmarkEnd w:id="154"/>
      <w:r>
        <w:rPr>
          <w:rFonts w:hint="eastAsia" w:ascii="宋体" w:hAnsi="宋体" w:eastAsia="宋体"/>
          <w:b/>
          <w:color w:val="auto"/>
          <w:sz w:val="24"/>
          <w:szCs w:val="24"/>
          <w:highlight w:val="none"/>
        </w:rPr>
        <w:t>1.7 语言文字</w:t>
      </w:r>
    </w:p>
    <w:p w14:paraId="0B0DAE43">
      <w:pPr>
        <w:spacing w:line="360" w:lineRule="auto"/>
        <w:ind w:firstLine="420"/>
        <w:rPr>
          <w:rFonts w:hint="eastAsia" w:ascii="宋体" w:hAnsi="宋体"/>
          <w:color w:val="auto"/>
          <w:kern w:val="1"/>
          <w:highlight w:val="none"/>
        </w:rPr>
      </w:pPr>
      <w:r>
        <w:rPr>
          <w:rFonts w:hint="eastAsia" w:ascii="宋体" w:hAnsi="宋体"/>
          <w:color w:val="auto"/>
          <w:kern w:val="1"/>
          <w:highlight w:val="none"/>
        </w:rPr>
        <w:t>招标投标文件使用的语言文字为中文。专用术语使用外文的，应附有中文注释。</w:t>
      </w:r>
    </w:p>
    <w:p w14:paraId="2B363C87">
      <w:pPr>
        <w:pStyle w:val="10"/>
        <w:spacing w:line="360" w:lineRule="auto"/>
        <w:ind w:firstLine="118"/>
        <w:rPr>
          <w:rFonts w:hint="eastAsia" w:ascii="宋体" w:hAnsi="宋体" w:eastAsia="宋体"/>
          <w:b/>
          <w:color w:val="auto"/>
          <w:sz w:val="24"/>
          <w:szCs w:val="24"/>
          <w:highlight w:val="none"/>
        </w:rPr>
      </w:pPr>
      <w:bookmarkStart w:id="155" w:name="_Toc357089519"/>
      <w:bookmarkEnd w:id="155"/>
      <w:bookmarkStart w:id="156" w:name="_Toc362816488"/>
      <w:bookmarkEnd w:id="156"/>
      <w:bookmarkStart w:id="157" w:name="_Toc5620304"/>
      <w:bookmarkEnd w:id="157"/>
      <w:bookmarkStart w:id="158" w:name="_Toc9356"/>
      <w:bookmarkEnd w:id="158"/>
      <w:bookmarkStart w:id="159" w:name="_Toc247513961"/>
      <w:bookmarkEnd w:id="159"/>
      <w:bookmarkStart w:id="160" w:name="_Toc152042314"/>
      <w:bookmarkEnd w:id="160"/>
      <w:bookmarkStart w:id="161" w:name="_Toc9304"/>
      <w:bookmarkEnd w:id="161"/>
      <w:bookmarkStart w:id="162" w:name="_Toc152045538"/>
      <w:bookmarkEnd w:id="162"/>
      <w:bookmarkStart w:id="163" w:name="_Toc247527562"/>
      <w:bookmarkEnd w:id="163"/>
      <w:bookmarkStart w:id="164" w:name="_Toc144974506"/>
      <w:bookmarkEnd w:id="164"/>
      <w:bookmarkStart w:id="165" w:name="_Toc300834958"/>
      <w:bookmarkEnd w:id="165"/>
      <w:bookmarkStart w:id="166" w:name="_Toc356469185"/>
      <w:bookmarkEnd w:id="166"/>
      <w:bookmarkStart w:id="167" w:name="_Toc11655"/>
      <w:bookmarkEnd w:id="167"/>
      <w:bookmarkStart w:id="168" w:name="_Toc23133"/>
      <w:bookmarkEnd w:id="168"/>
      <w:r>
        <w:rPr>
          <w:rFonts w:hint="eastAsia" w:ascii="宋体" w:hAnsi="宋体" w:eastAsia="宋体"/>
          <w:b/>
          <w:color w:val="auto"/>
          <w:sz w:val="24"/>
          <w:szCs w:val="24"/>
          <w:highlight w:val="none"/>
        </w:rPr>
        <w:t>1.8 计量单位</w:t>
      </w:r>
    </w:p>
    <w:p w14:paraId="42DF4B30">
      <w:pPr>
        <w:spacing w:line="360" w:lineRule="auto"/>
        <w:ind w:firstLine="420"/>
        <w:rPr>
          <w:rFonts w:hint="eastAsia" w:ascii="宋体" w:hAnsi="宋体"/>
          <w:color w:val="auto"/>
          <w:kern w:val="1"/>
          <w:highlight w:val="none"/>
        </w:rPr>
      </w:pPr>
      <w:r>
        <w:rPr>
          <w:rFonts w:hint="eastAsia" w:ascii="宋体" w:hAnsi="宋体"/>
          <w:color w:val="auto"/>
          <w:kern w:val="1"/>
          <w:highlight w:val="none"/>
        </w:rPr>
        <w:t>所有计量均采用中华人民共和国法定计量单位。</w:t>
      </w:r>
    </w:p>
    <w:p w14:paraId="0304D483">
      <w:pPr>
        <w:pStyle w:val="10"/>
        <w:spacing w:line="360" w:lineRule="auto"/>
        <w:ind w:firstLine="118"/>
        <w:rPr>
          <w:rFonts w:hint="eastAsia" w:ascii="宋体" w:hAnsi="宋体" w:eastAsia="宋体"/>
          <w:b/>
          <w:color w:val="auto"/>
          <w:sz w:val="24"/>
          <w:szCs w:val="24"/>
          <w:highlight w:val="none"/>
        </w:rPr>
      </w:pPr>
      <w:bookmarkStart w:id="169" w:name="_Toc247527563"/>
      <w:bookmarkEnd w:id="169"/>
      <w:bookmarkStart w:id="170" w:name="_Toc247513962"/>
      <w:bookmarkEnd w:id="170"/>
      <w:bookmarkStart w:id="171" w:name="_Toc18200"/>
      <w:bookmarkEnd w:id="171"/>
      <w:bookmarkStart w:id="172" w:name="_Toc300834959"/>
      <w:bookmarkEnd w:id="172"/>
      <w:bookmarkStart w:id="173" w:name="_Toc362816489"/>
      <w:bookmarkEnd w:id="173"/>
      <w:bookmarkStart w:id="174" w:name="_Toc9654"/>
      <w:bookmarkEnd w:id="174"/>
      <w:bookmarkStart w:id="175" w:name="_Toc357089520"/>
      <w:bookmarkEnd w:id="175"/>
      <w:bookmarkStart w:id="176" w:name="_Toc144974507"/>
      <w:bookmarkEnd w:id="176"/>
      <w:bookmarkStart w:id="177" w:name="_Toc152042315"/>
      <w:bookmarkEnd w:id="177"/>
      <w:bookmarkStart w:id="178" w:name="_Toc19195"/>
      <w:bookmarkEnd w:id="178"/>
      <w:bookmarkStart w:id="179" w:name="_Toc9836"/>
      <w:bookmarkEnd w:id="179"/>
      <w:bookmarkStart w:id="180" w:name="_Toc5620305"/>
      <w:bookmarkEnd w:id="180"/>
      <w:bookmarkStart w:id="181" w:name="_Toc152045539"/>
      <w:bookmarkEnd w:id="181"/>
      <w:bookmarkStart w:id="182" w:name="_Toc356469186"/>
      <w:bookmarkEnd w:id="182"/>
      <w:r>
        <w:rPr>
          <w:rFonts w:hint="eastAsia" w:ascii="宋体" w:hAnsi="宋体" w:eastAsia="宋体"/>
          <w:b/>
          <w:color w:val="auto"/>
          <w:sz w:val="24"/>
          <w:szCs w:val="24"/>
          <w:highlight w:val="none"/>
        </w:rPr>
        <w:t>1.9 踏勘现场</w:t>
      </w:r>
    </w:p>
    <w:p w14:paraId="6E7FA8DA">
      <w:pPr>
        <w:spacing w:line="360" w:lineRule="auto"/>
        <w:ind w:firstLine="420"/>
        <w:rPr>
          <w:rFonts w:hint="eastAsia" w:ascii="宋体" w:hAnsi="宋体"/>
          <w:color w:val="auto"/>
          <w:kern w:val="1"/>
          <w:highlight w:val="none"/>
        </w:rPr>
      </w:pPr>
      <w:r>
        <w:rPr>
          <w:rFonts w:hint="eastAsia" w:ascii="宋体" w:hAnsi="宋体"/>
          <w:color w:val="auto"/>
          <w:kern w:val="1"/>
          <w:highlight w:val="none"/>
        </w:rPr>
        <w:t xml:space="preserve">1.9.1 投标人须知前附表规定组织踏勘现场的，招标人按投标人须知前附表规定的时间、地点组织投标人踏勘项目现场。 </w:t>
      </w:r>
    </w:p>
    <w:p w14:paraId="7FD8B9B4">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1.9.2 投标人踏勘现场发生的费用自理。</w:t>
      </w:r>
    </w:p>
    <w:p w14:paraId="39B5DCB3">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1.9.3 除招标人的原因外，投标人自行负责在踏勘现场中所发生的人员伤亡和财产损失。</w:t>
      </w:r>
    </w:p>
    <w:p w14:paraId="26FD9E32">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1.9.4</w:t>
      </w:r>
      <w:r>
        <w:rPr>
          <w:rFonts w:hint="eastAsia" w:ascii="宋体" w:hAnsi="宋体"/>
          <w:color w:val="auto"/>
          <w:kern w:val="1"/>
          <w:highlight w:val="none"/>
          <w:u w:val="single"/>
        </w:rPr>
        <w:t>招标人不组织统一踏勘现场，由投标人自行踏勘，投标人不进行踏勘的，视为已熟知现场条件，自行承担相关风险。招标人不对投标人自行踏勘现场作出的判断和决策负责。</w:t>
      </w:r>
    </w:p>
    <w:p w14:paraId="189427B7">
      <w:pPr>
        <w:pStyle w:val="10"/>
        <w:spacing w:line="360" w:lineRule="auto"/>
        <w:ind w:firstLine="118"/>
        <w:rPr>
          <w:rFonts w:hint="eastAsia" w:ascii="宋体" w:hAnsi="宋体" w:eastAsia="宋体"/>
          <w:b/>
          <w:color w:val="auto"/>
          <w:sz w:val="24"/>
          <w:szCs w:val="24"/>
          <w:highlight w:val="none"/>
        </w:rPr>
      </w:pPr>
      <w:bookmarkStart w:id="183" w:name="_Toc362816490"/>
      <w:bookmarkEnd w:id="183"/>
      <w:bookmarkStart w:id="184" w:name="_Toc356469187"/>
      <w:bookmarkEnd w:id="184"/>
      <w:bookmarkStart w:id="185" w:name="_Toc300834960"/>
      <w:bookmarkEnd w:id="185"/>
      <w:bookmarkStart w:id="186" w:name="_Toc5620306"/>
      <w:bookmarkEnd w:id="186"/>
      <w:bookmarkStart w:id="187" w:name="_Toc247513963"/>
      <w:bookmarkEnd w:id="187"/>
      <w:bookmarkStart w:id="188" w:name="_Toc24262"/>
      <w:bookmarkEnd w:id="188"/>
      <w:bookmarkStart w:id="189" w:name="_Toc152042316"/>
      <w:bookmarkEnd w:id="189"/>
      <w:bookmarkStart w:id="190" w:name="_Toc25429"/>
      <w:bookmarkEnd w:id="190"/>
      <w:bookmarkStart w:id="191" w:name="_Toc152045540"/>
      <w:bookmarkEnd w:id="191"/>
      <w:bookmarkStart w:id="192" w:name="_Toc357089521"/>
      <w:bookmarkEnd w:id="192"/>
      <w:bookmarkStart w:id="193" w:name="_Toc29692"/>
      <w:bookmarkEnd w:id="193"/>
      <w:bookmarkStart w:id="194" w:name="_Toc16726"/>
      <w:bookmarkEnd w:id="194"/>
      <w:bookmarkStart w:id="195" w:name="_Toc144974508"/>
      <w:bookmarkEnd w:id="195"/>
      <w:bookmarkStart w:id="196" w:name="_Toc247527564"/>
      <w:bookmarkEnd w:id="196"/>
      <w:r>
        <w:rPr>
          <w:rFonts w:hint="eastAsia" w:ascii="宋体" w:hAnsi="宋体" w:eastAsia="宋体"/>
          <w:b/>
          <w:color w:val="auto"/>
          <w:sz w:val="24"/>
          <w:szCs w:val="24"/>
          <w:highlight w:val="none"/>
        </w:rPr>
        <w:t>1.10 投标预备会</w:t>
      </w:r>
    </w:p>
    <w:p w14:paraId="26553299">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1.10.</w:t>
      </w:r>
      <w:r>
        <w:rPr>
          <w:rFonts w:hint="eastAsia" w:ascii="宋体" w:hAnsi="宋体" w:eastAsia="宋体"/>
          <w:color w:val="auto"/>
          <w:kern w:val="1"/>
          <w:highlight w:val="none"/>
          <w:u w:val="single"/>
        </w:rPr>
        <w:t>1本项目不召开投标预备会。投标人对本项目有疑问，应在投标人须知前附表1.10.2规定的时间内，通过登录广州交易集团有限公司（广州公共资源交易中心）交易系统将问题提交给招标人或招标代理人。</w:t>
      </w:r>
    </w:p>
    <w:p w14:paraId="3B5C62C6">
      <w:pPr>
        <w:spacing w:line="360" w:lineRule="auto"/>
        <w:ind w:firstLine="420"/>
        <w:rPr>
          <w:rFonts w:hint="eastAsia" w:ascii="宋体" w:hAnsi="宋体"/>
          <w:color w:val="auto"/>
          <w:kern w:val="1"/>
          <w:highlight w:val="none"/>
        </w:rPr>
      </w:pPr>
      <w:r>
        <w:rPr>
          <w:rFonts w:hint="eastAsia" w:ascii="宋体" w:hAnsi="宋体"/>
          <w:color w:val="auto"/>
          <w:kern w:val="1"/>
          <w:highlight w:val="none"/>
        </w:rPr>
        <w:t>1</w:t>
      </w:r>
      <w:r>
        <w:rPr>
          <w:rFonts w:ascii="宋体" w:hAnsi="宋体"/>
          <w:color w:val="auto"/>
          <w:kern w:val="1"/>
          <w:highlight w:val="none"/>
        </w:rPr>
        <w:t xml:space="preserve">.10.2 </w:t>
      </w:r>
      <w:r>
        <w:rPr>
          <w:rFonts w:hint="eastAsia" w:ascii="宋体" w:hAnsi="宋体"/>
          <w:color w:val="auto"/>
          <w:kern w:val="1"/>
          <w:highlight w:val="none"/>
        </w:rPr>
        <w:t>招标答疑方式按投标人须知前附表规定。</w:t>
      </w:r>
    </w:p>
    <w:p w14:paraId="5C56411B">
      <w:pPr>
        <w:pStyle w:val="10"/>
        <w:spacing w:line="360" w:lineRule="auto"/>
        <w:ind w:firstLine="118"/>
        <w:rPr>
          <w:rFonts w:hint="eastAsia" w:ascii="宋体" w:hAnsi="宋体" w:eastAsia="宋体"/>
          <w:b/>
          <w:color w:val="auto"/>
          <w:sz w:val="24"/>
          <w:szCs w:val="24"/>
          <w:highlight w:val="none"/>
        </w:rPr>
      </w:pPr>
      <w:bookmarkStart w:id="197" w:name="_Toc300834961"/>
      <w:bookmarkEnd w:id="197"/>
      <w:bookmarkStart w:id="198" w:name="_Toc144974509"/>
      <w:bookmarkEnd w:id="198"/>
      <w:bookmarkStart w:id="199" w:name="_Toc357089522"/>
      <w:bookmarkEnd w:id="199"/>
      <w:bookmarkStart w:id="200" w:name="_Toc152042317"/>
      <w:bookmarkEnd w:id="200"/>
      <w:bookmarkStart w:id="201" w:name="_Toc247513964"/>
      <w:bookmarkEnd w:id="201"/>
      <w:bookmarkStart w:id="202" w:name="_Toc247527565"/>
      <w:bookmarkEnd w:id="202"/>
      <w:bookmarkStart w:id="203" w:name="_Toc362816491"/>
      <w:bookmarkEnd w:id="203"/>
      <w:bookmarkStart w:id="204" w:name="_Toc152045541"/>
      <w:bookmarkEnd w:id="204"/>
      <w:bookmarkStart w:id="205" w:name="_Toc356469188"/>
      <w:bookmarkEnd w:id="205"/>
      <w:bookmarkStart w:id="206" w:name="_Toc19836"/>
      <w:bookmarkEnd w:id="206"/>
      <w:bookmarkStart w:id="207" w:name="_Toc5620307"/>
      <w:bookmarkEnd w:id="207"/>
      <w:bookmarkStart w:id="208" w:name="_Toc15380"/>
      <w:bookmarkEnd w:id="208"/>
      <w:bookmarkStart w:id="209" w:name="_Toc4945"/>
      <w:bookmarkEnd w:id="209"/>
      <w:bookmarkStart w:id="210" w:name="_Toc21676"/>
      <w:bookmarkEnd w:id="210"/>
      <w:r>
        <w:rPr>
          <w:rFonts w:hint="eastAsia" w:ascii="宋体" w:hAnsi="宋体" w:eastAsia="宋体"/>
          <w:b/>
          <w:color w:val="auto"/>
          <w:sz w:val="24"/>
          <w:szCs w:val="24"/>
          <w:highlight w:val="none"/>
        </w:rPr>
        <w:t>1.11 分包</w:t>
      </w:r>
    </w:p>
    <w:p w14:paraId="65DCAE4E">
      <w:pPr>
        <w:spacing w:line="360" w:lineRule="auto"/>
        <w:ind w:firstLine="420" w:firstLineChars="200"/>
        <w:rPr>
          <w:rFonts w:hint="eastAsia" w:ascii="宋体" w:hAnsi="宋体"/>
          <w:color w:val="auto"/>
          <w:kern w:val="1"/>
          <w:highlight w:val="none"/>
        </w:rPr>
      </w:pPr>
      <w:r>
        <w:rPr>
          <w:rFonts w:hint="eastAsia" w:ascii="宋体" w:hAnsi="宋体"/>
          <w:color w:val="auto"/>
          <w:kern w:val="1"/>
          <w:highlight w:val="none"/>
        </w:rPr>
        <w:t>1.11.1 投标人须知前附表规定应当由分包人实施的非主体、非关键性工作，投标人应当按照第五章“发包人要求”的规定提供分包人侯选名单及其相应资料。</w:t>
      </w:r>
    </w:p>
    <w:p w14:paraId="631D7BC0">
      <w:pPr>
        <w:spacing w:line="360" w:lineRule="auto"/>
        <w:ind w:firstLine="420" w:firstLineChars="200"/>
        <w:rPr>
          <w:rFonts w:hint="eastAsia" w:ascii="宋体" w:hAnsi="宋体"/>
          <w:color w:val="auto"/>
          <w:kern w:val="1"/>
          <w:highlight w:val="none"/>
        </w:rPr>
      </w:pPr>
      <w:r>
        <w:rPr>
          <w:rFonts w:hint="eastAsia" w:ascii="宋体" w:hAnsi="宋体"/>
          <w:color w:val="auto"/>
          <w:kern w:val="1"/>
          <w:highlight w:val="none"/>
        </w:rPr>
        <w:t>1.11.2 招标人允许投标人在中标后将中标项目的部分非主体、非关键性工作进行分包的，应符合投标人须知前附表规定的分包内容、资质要求等限制性条件。</w:t>
      </w:r>
    </w:p>
    <w:p w14:paraId="35E84B4A">
      <w:pPr>
        <w:pStyle w:val="10"/>
        <w:spacing w:line="360" w:lineRule="auto"/>
        <w:ind w:firstLine="118"/>
        <w:rPr>
          <w:rFonts w:hint="eastAsia" w:ascii="宋体" w:hAnsi="宋体" w:eastAsia="宋体"/>
          <w:b/>
          <w:color w:val="auto"/>
          <w:sz w:val="24"/>
          <w:szCs w:val="24"/>
          <w:highlight w:val="none"/>
        </w:rPr>
      </w:pPr>
      <w:bookmarkStart w:id="211" w:name="_Toc2396"/>
      <w:bookmarkEnd w:id="211"/>
      <w:bookmarkStart w:id="212" w:name="_Toc357089523"/>
      <w:bookmarkEnd w:id="212"/>
      <w:bookmarkStart w:id="213" w:name="_Toc1093"/>
      <w:bookmarkEnd w:id="213"/>
      <w:bookmarkStart w:id="214" w:name="_Toc300834962"/>
      <w:bookmarkEnd w:id="214"/>
      <w:bookmarkStart w:id="215" w:name="_Toc18483"/>
      <w:bookmarkEnd w:id="215"/>
      <w:bookmarkStart w:id="216" w:name="_Toc356469189"/>
      <w:bookmarkEnd w:id="216"/>
      <w:bookmarkStart w:id="217" w:name="_Toc247527566"/>
      <w:bookmarkEnd w:id="217"/>
      <w:bookmarkStart w:id="218" w:name="_Toc15683"/>
      <w:bookmarkEnd w:id="218"/>
      <w:bookmarkStart w:id="219" w:name="_Toc247513965"/>
      <w:bookmarkEnd w:id="219"/>
      <w:bookmarkStart w:id="220" w:name="_Toc362816492"/>
      <w:bookmarkEnd w:id="220"/>
      <w:bookmarkStart w:id="221" w:name="_Toc5620308"/>
      <w:bookmarkEnd w:id="221"/>
      <w:r>
        <w:rPr>
          <w:rFonts w:hint="eastAsia" w:ascii="宋体" w:hAnsi="宋体" w:eastAsia="宋体"/>
          <w:b/>
          <w:color w:val="auto"/>
          <w:sz w:val="24"/>
          <w:szCs w:val="24"/>
          <w:highlight w:val="none"/>
        </w:rPr>
        <w:t>1.12 偏离</w:t>
      </w:r>
    </w:p>
    <w:p w14:paraId="285FA361">
      <w:pPr>
        <w:spacing w:line="360" w:lineRule="auto"/>
        <w:ind w:firstLine="420" w:firstLineChars="200"/>
        <w:rPr>
          <w:rFonts w:hint="eastAsia" w:ascii="宋体" w:hAnsi="宋体"/>
          <w:color w:val="auto"/>
          <w:kern w:val="1"/>
          <w:highlight w:val="none"/>
        </w:rPr>
      </w:pPr>
      <w:r>
        <w:rPr>
          <w:rFonts w:hint="eastAsia" w:ascii="宋体" w:hAnsi="宋体"/>
          <w:color w:val="auto"/>
          <w:kern w:val="1"/>
          <w:highlight w:val="none"/>
        </w:rPr>
        <w:t>投标人须知前附表允许投标文件偏离招标文件某些要求的，偏离应当符合招标文件规定的偏离范围和幅度。</w:t>
      </w:r>
    </w:p>
    <w:p w14:paraId="4ECF07DE">
      <w:pPr>
        <w:pStyle w:val="9"/>
        <w:spacing w:line="360" w:lineRule="auto"/>
        <w:rPr>
          <w:rFonts w:hint="eastAsia" w:ascii="宋体" w:hAnsi="宋体" w:eastAsia="宋体"/>
          <w:color w:val="auto"/>
          <w:highlight w:val="none"/>
          <w:lang w:val="zh-CN"/>
        </w:rPr>
      </w:pPr>
      <w:bookmarkStart w:id="222" w:name="_Toc504"/>
      <w:bookmarkEnd w:id="222"/>
      <w:bookmarkStart w:id="223" w:name="_Toc152042318"/>
      <w:bookmarkEnd w:id="223"/>
      <w:bookmarkStart w:id="224" w:name="_Toc247527567"/>
      <w:bookmarkEnd w:id="224"/>
      <w:bookmarkStart w:id="225" w:name="_Toc300834963"/>
      <w:bookmarkEnd w:id="225"/>
      <w:bookmarkStart w:id="226" w:name="_Toc29381"/>
      <w:bookmarkEnd w:id="226"/>
      <w:bookmarkStart w:id="227" w:name="_Toc23951"/>
      <w:bookmarkEnd w:id="227"/>
      <w:bookmarkStart w:id="228" w:name="_Toc15458"/>
      <w:bookmarkEnd w:id="228"/>
      <w:bookmarkStart w:id="229" w:name="_Toc10719"/>
      <w:bookmarkEnd w:id="229"/>
      <w:bookmarkStart w:id="230" w:name="_Toc5620309"/>
      <w:bookmarkEnd w:id="230"/>
      <w:bookmarkStart w:id="231" w:name="_Toc443505823"/>
      <w:bookmarkEnd w:id="231"/>
      <w:bookmarkStart w:id="232" w:name="_Toc25799"/>
      <w:bookmarkEnd w:id="232"/>
      <w:bookmarkStart w:id="233" w:name="_Toc247513966"/>
      <w:bookmarkEnd w:id="233"/>
      <w:bookmarkStart w:id="234" w:name="_Toc362816493"/>
      <w:bookmarkEnd w:id="234"/>
      <w:bookmarkStart w:id="235" w:name="_Toc144974510"/>
      <w:bookmarkEnd w:id="235"/>
      <w:bookmarkStart w:id="236" w:name="_Toc357089524"/>
      <w:bookmarkEnd w:id="236"/>
      <w:bookmarkStart w:id="237" w:name="_Toc152045542"/>
      <w:bookmarkEnd w:id="237"/>
      <w:r>
        <w:rPr>
          <w:rFonts w:hint="eastAsia" w:ascii="宋体" w:hAnsi="宋体" w:eastAsia="宋体"/>
          <w:color w:val="auto"/>
          <w:highlight w:val="none"/>
          <w:lang w:val="zh-CN"/>
        </w:rPr>
        <w:t>2. 招标文件</w:t>
      </w:r>
    </w:p>
    <w:p w14:paraId="0105F4CB">
      <w:pPr>
        <w:pStyle w:val="10"/>
        <w:spacing w:line="360" w:lineRule="auto"/>
        <w:ind w:firstLine="118"/>
        <w:rPr>
          <w:rFonts w:hint="eastAsia" w:ascii="宋体" w:hAnsi="宋体" w:eastAsia="宋体"/>
          <w:b/>
          <w:color w:val="auto"/>
          <w:sz w:val="24"/>
          <w:szCs w:val="24"/>
          <w:highlight w:val="none"/>
        </w:rPr>
      </w:pPr>
      <w:bookmarkStart w:id="238" w:name="_Toc357089525"/>
      <w:bookmarkEnd w:id="238"/>
      <w:bookmarkStart w:id="239" w:name="_Toc247527568"/>
      <w:bookmarkEnd w:id="239"/>
      <w:bookmarkStart w:id="240" w:name="_Toc247513967"/>
      <w:bookmarkEnd w:id="240"/>
      <w:bookmarkStart w:id="241" w:name="_Toc152042319"/>
      <w:bookmarkEnd w:id="241"/>
      <w:bookmarkStart w:id="242" w:name="_Toc362816494"/>
      <w:bookmarkEnd w:id="242"/>
      <w:bookmarkStart w:id="243" w:name="_Toc8517"/>
      <w:bookmarkEnd w:id="243"/>
      <w:bookmarkStart w:id="244" w:name="_Toc2576"/>
      <w:bookmarkEnd w:id="244"/>
      <w:bookmarkStart w:id="245" w:name="_Toc152045543"/>
      <w:bookmarkEnd w:id="245"/>
      <w:bookmarkStart w:id="246" w:name="_Toc5620310"/>
      <w:bookmarkEnd w:id="246"/>
      <w:bookmarkStart w:id="247" w:name="_Toc20942"/>
      <w:bookmarkEnd w:id="247"/>
      <w:bookmarkStart w:id="248" w:name="_Toc144974511"/>
      <w:bookmarkEnd w:id="248"/>
      <w:bookmarkStart w:id="249" w:name="_Toc356469191"/>
      <w:bookmarkEnd w:id="249"/>
      <w:bookmarkStart w:id="250" w:name="_Toc300834964"/>
      <w:bookmarkEnd w:id="250"/>
      <w:bookmarkStart w:id="251" w:name="_Toc27617"/>
      <w:bookmarkEnd w:id="251"/>
      <w:r>
        <w:rPr>
          <w:rFonts w:hint="eastAsia" w:ascii="宋体" w:hAnsi="宋体" w:eastAsia="宋体"/>
          <w:b/>
          <w:color w:val="auto"/>
          <w:sz w:val="24"/>
          <w:szCs w:val="24"/>
          <w:highlight w:val="none"/>
        </w:rPr>
        <w:t>2.1 招标文件的组成</w:t>
      </w:r>
    </w:p>
    <w:p w14:paraId="6FB407B6">
      <w:pPr>
        <w:spacing w:line="360" w:lineRule="auto"/>
        <w:ind w:firstLine="359"/>
        <w:rPr>
          <w:rFonts w:hint="eastAsia" w:ascii="宋体" w:hAnsi="宋体"/>
          <w:color w:val="auto"/>
          <w:kern w:val="1"/>
          <w:highlight w:val="none"/>
        </w:rPr>
      </w:pPr>
      <w:r>
        <w:rPr>
          <w:rFonts w:hint="eastAsia" w:ascii="宋体" w:hAnsi="宋体"/>
          <w:color w:val="auto"/>
          <w:kern w:val="1"/>
          <w:highlight w:val="none"/>
        </w:rPr>
        <w:t>2.1.1本招标文件包括：</w:t>
      </w:r>
    </w:p>
    <w:p w14:paraId="50185B42">
      <w:pPr>
        <w:spacing w:line="360" w:lineRule="auto"/>
        <w:ind w:firstLine="359"/>
        <w:rPr>
          <w:rFonts w:hint="eastAsia" w:ascii="宋体" w:hAnsi="宋体"/>
          <w:color w:val="auto"/>
          <w:kern w:val="1"/>
          <w:highlight w:val="none"/>
        </w:rPr>
      </w:pPr>
      <w:r>
        <w:rPr>
          <w:rFonts w:hint="eastAsia" w:ascii="宋体" w:hAnsi="宋体"/>
          <w:color w:val="auto"/>
          <w:kern w:val="1"/>
          <w:highlight w:val="none"/>
        </w:rPr>
        <w:t>（1）招标公告；</w:t>
      </w:r>
    </w:p>
    <w:p w14:paraId="527CD2EF">
      <w:pPr>
        <w:spacing w:line="360" w:lineRule="auto"/>
        <w:ind w:firstLine="359"/>
        <w:rPr>
          <w:rFonts w:hint="eastAsia" w:ascii="宋体" w:hAnsi="宋体"/>
          <w:color w:val="auto"/>
          <w:kern w:val="1"/>
          <w:highlight w:val="none"/>
        </w:rPr>
      </w:pPr>
      <w:r>
        <w:rPr>
          <w:rFonts w:hint="eastAsia" w:ascii="宋体" w:hAnsi="宋体"/>
          <w:color w:val="auto"/>
          <w:kern w:val="1"/>
          <w:highlight w:val="none"/>
        </w:rPr>
        <w:t>（2）投标人须知；</w:t>
      </w:r>
    </w:p>
    <w:p w14:paraId="28FC19F0">
      <w:pPr>
        <w:spacing w:line="360" w:lineRule="auto"/>
        <w:ind w:firstLine="359"/>
        <w:rPr>
          <w:rFonts w:hint="eastAsia" w:ascii="宋体" w:hAnsi="宋体"/>
          <w:color w:val="auto"/>
          <w:kern w:val="1"/>
          <w:highlight w:val="none"/>
        </w:rPr>
      </w:pPr>
      <w:r>
        <w:rPr>
          <w:rFonts w:hint="eastAsia" w:ascii="宋体" w:hAnsi="宋体"/>
          <w:color w:val="auto"/>
          <w:kern w:val="1"/>
          <w:highlight w:val="none"/>
        </w:rPr>
        <w:t>（3）评标办法；</w:t>
      </w:r>
    </w:p>
    <w:p w14:paraId="57B828EA">
      <w:pPr>
        <w:spacing w:line="360" w:lineRule="auto"/>
        <w:ind w:firstLine="359"/>
        <w:rPr>
          <w:rFonts w:hint="eastAsia" w:ascii="宋体" w:hAnsi="宋体"/>
          <w:color w:val="auto"/>
          <w:kern w:val="1"/>
          <w:highlight w:val="none"/>
        </w:rPr>
      </w:pPr>
      <w:r>
        <w:rPr>
          <w:rFonts w:hint="eastAsia" w:ascii="宋体" w:hAnsi="宋体"/>
          <w:color w:val="auto"/>
          <w:kern w:val="1"/>
          <w:highlight w:val="none"/>
        </w:rPr>
        <w:t>（4）合同条款及格式；</w:t>
      </w:r>
    </w:p>
    <w:p w14:paraId="6E53A2C2">
      <w:pPr>
        <w:spacing w:line="360" w:lineRule="auto"/>
        <w:ind w:firstLine="359"/>
        <w:rPr>
          <w:rFonts w:hint="eastAsia" w:ascii="宋体" w:hAnsi="宋体"/>
          <w:color w:val="auto"/>
          <w:kern w:val="1"/>
          <w:highlight w:val="none"/>
        </w:rPr>
      </w:pPr>
      <w:r>
        <w:rPr>
          <w:rFonts w:hint="eastAsia" w:ascii="宋体" w:hAnsi="宋体"/>
          <w:color w:val="auto"/>
          <w:kern w:val="1"/>
          <w:highlight w:val="none"/>
        </w:rPr>
        <w:t>（5）发包人要求；</w:t>
      </w:r>
    </w:p>
    <w:p w14:paraId="60E3C9D2">
      <w:pPr>
        <w:spacing w:line="360" w:lineRule="auto"/>
        <w:ind w:firstLine="359"/>
        <w:rPr>
          <w:rFonts w:hint="eastAsia" w:ascii="宋体" w:hAnsi="宋体"/>
          <w:color w:val="auto"/>
          <w:kern w:val="1"/>
          <w:highlight w:val="none"/>
        </w:rPr>
      </w:pPr>
      <w:r>
        <w:rPr>
          <w:rFonts w:hint="eastAsia" w:ascii="宋体" w:hAnsi="宋体"/>
          <w:color w:val="auto"/>
          <w:kern w:val="1"/>
          <w:highlight w:val="none"/>
        </w:rPr>
        <w:t>（6）发包人提供的资料；</w:t>
      </w:r>
    </w:p>
    <w:p w14:paraId="43AEB1EA">
      <w:pPr>
        <w:spacing w:line="360" w:lineRule="auto"/>
        <w:ind w:firstLine="359"/>
        <w:rPr>
          <w:rFonts w:hint="eastAsia" w:ascii="宋体" w:hAnsi="宋体"/>
          <w:color w:val="auto"/>
          <w:kern w:val="1"/>
          <w:highlight w:val="none"/>
        </w:rPr>
      </w:pPr>
      <w:r>
        <w:rPr>
          <w:rFonts w:hint="eastAsia" w:ascii="宋体" w:hAnsi="宋体"/>
          <w:color w:val="auto"/>
          <w:kern w:val="1"/>
          <w:highlight w:val="none"/>
        </w:rPr>
        <w:t>（7）投标文件格式；</w:t>
      </w:r>
    </w:p>
    <w:p w14:paraId="68016C5E">
      <w:pPr>
        <w:spacing w:line="360" w:lineRule="auto"/>
        <w:ind w:firstLine="359"/>
        <w:rPr>
          <w:rFonts w:hint="eastAsia" w:ascii="宋体" w:hAnsi="宋体"/>
          <w:color w:val="auto"/>
          <w:kern w:val="1"/>
          <w:highlight w:val="none"/>
        </w:rPr>
      </w:pPr>
      <w:r>
        <w:rPr>
          <w:rFonts w:hint="eastAsia" w:ascii="宋体" w:hAnsi="宋体"/>
          <w:color w:val="auto"/>
          <w:kern w:val="1"/>
          <w:highlight w:val="none"/>
        </w:rPr>
        <w:t>（8）</w:t>
      </w:r>
      <w:r>
        <w:rPr>
          <w:rFonts w:hint="eastAsia"/>
          <w:color w:val="auto"/>
          <w:highlight w:val="none"/>
        </w:rPr>
        <w:t>投标人须知前附表规定的其他资料</w:t>
      </w:r>
      <w:r>
        <w:rPr>
          <w:rFonts w:hint="eastAsia" w:ascii="宋体" w:hAnsi="宋体"/>
          <w:color w:val="auto"/>
          <w:kern w:val="1"/>
          <w:highlight w:val="none"/>
        </w:rPr>
        <w:t>。</w:t>
      </w:r>
    </w:p>
    <w:p w14:paraId="0F1C5B60">
      <w:pPr>
        <w:spacing w:line="360" w:lineRule="auto"/>
        <w:ind w:firstLine="359"/>
        <w:rPr>
          <w:rFonts w:hint="eastAsia" w:ascii="宋体" w:hAnsi="宋体"/>
          <w:color w:val="auto"/>
          <w:kern w:val="1"/>
          <w:highlight w:val="none"/>
        </w:rPr>
      </w:pPr>
      <w:r>
        <w:rPr>
          <w:rFonts w:hint="eastAsia" w:ascii="宋体" w:hAnsi="宋体"/>
          <w:color w:val="auto"/>
          <w:kern w:val="1"/>
          <w:highlight w:val="none"/>
        </w:rPr>
        <w:t>2.1.2根据本章第1.10款、第2.2款和第2.3款对招标文件所作的澄清、修改，构成招标文件的组成部分。</w:t>
      </w:r>
    </w:p>
    <w:p w14:paraId="33F9E6A7">
      <w:pPr>
        <w:pStyle w:val="10"/>
        <w:spacing w:line="360" w:lineRule="auto"/>
        <w:ind w:firstLine="118"/>
        <w:rPr>
          <w:rFonts w:hint="eastAsia" w:ascii="宋体" w:hAnsi="宋体" w:eastAsia="宋体"/>
          <w:b/>
          <w:color w:val="auto"/>
          <w:sz w:val="24"/>
          <w:szCs w:val="24"/>
          <w:highlight w:val="none"/>
        </w:rPr>
      </w:pPr>
      <w:bookmarkStart w:id="252" w:name="_Toc357089526"/>
      <w:bookmarkEnd w:id="252"/>
      <w:bookmarkStart w:id="253" w:name="_Toc6743"/>
      <w:bookmarkEnd w:id="253"/>
      <w:bookmarkStart w:id="254" w:name="_Toc14885"/>
      <w:bookmarkEnd w:id="254"/>
      <w:bookmarkStart w:id="255" w:name="_Toc362816495"/>
      <w:bookmarkEnd w:id="255"/>
      <w:bookmarkStart w:id="256" w:name="_Toc5620311"/>
      <w:bookmarkEnd w:id="256"/>
      <w:bookmarkStart w:id="257" w:name="_Toc144974512"/>
      <w:bookmarkEnd w:id="257"/>
      <w:bookmarkStart w:id="258" w:name="_Toc247513968"/>
      <w:bookmarkEnd w:id="258"/>
      <w:bookmarkStart w:id="259" w:name="_Toc300834965"/>
      <w:bookmarkEnd w:id="259"/>
      <w:bookmarkStart w:id="260" w:name="_Toc356469192"/>
      <w:bookmarkEnd w:id="260"/>
      <w:bookmarkStart w:id="261" w:name="_Toc27035"/>
      <w:bookmarkEnd w:id="261"/>
      <w:bookmarkStart w:id="262" w:name="_Toc152045544"/>
      <w:bookmarkEnd w:id="262"/>
      <w:bookmarkStart w:id="263" w:name="_Toc3560"/>
      <w:bookmarkEnd w:id="263"/>
      <w:bookmarkStart w:id="264" w:name="_Toc152042320"/>
      <w:bookmarkEnd w:id="264"/>
      <w:bookmarkStart w:id="265" w:name="_Toc247527569"/>
      <w:bookmarkEnd w:id="265"/>
      <w:r>
        <w:rPr>
          <w:rFonts w:hint="eastAsia" w:ascii="宋体" w:hAnsi="宋体" w:eastAsia="宋体"/>
          <w:b/>
          <w:color w:val="auto"/>
          <w:sz w:val="24"/>
          <w:szCs w:val="24"/>
          <w:highlight w:val="none"/>
        </w:rPr>
        <w:t>2.2 招标文件的澄清</w:t>
      </w:r>
    </w:p>
    <w:p w14:paraId="5826CE29">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2.2.1</w:t>
      </w:r>
      <w:r>
        <w:rPr>
          <w:rFonts w:hint="eastAsia" w:ascii="宋体" w:hAnsi="宋体" w:eastAsia="宋体"/>
          <w:color w:val="auto"/>
          <w:kern w:val="1"/>
          <w:szCs w:val="21"/>
          <w:highlight w:val="none"/>
          <w:u w:val="single"/>
        </w:rPr>
        <w:t xml:space="preserve"> 投标人应仔细阅读和检查招标文件的全部内容。如发现缺页或附件不全，应及时向招标人提出，以便补齐。如有疑问，可在投标人须知前附表规定的时间内通过广州交易集团有限公司（广州公共资源交易中心）网站交易系统将问题提交给招标人或招标代理人。</w:t>
      </w:r>
    </w:p>
    <w:p w14:paraId="40672818">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14:paraId="19C8637E">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2.2.2</w:t>
      </w:r>
      <w:r>
        <w:rPr>
          <w:rFonts w:hint="eastAsia" w:ascii="宋体" w:hAnsi="宋体" w:eastAsia="宋体"/>
          <w:color w:val="auto"/>
          <w:kern w:val="1"/>
          <w:szCs w:val="21"/>
          <w:highlight w:val="none"/>
          <w:u w:val="single"/>
        </w:rPr>
        <w:t>招标人应在投标截止时间15日前解答投标人对招标文件提出的疑问，形成答疑纪要，并在广州交易集团有限公司（广州公共资源交易中心）网站“项目查询（日程安排、答疑纪要）”专区发布，但不指明问题的来源。澄清发出的时间距本章第 4.2.1 项规定的投标截止时间不足 15 日的，并且澄清内容可能影响投标文件编制的，将相应延长投标截止时间。</w:t>
      </w:r>
    </w:p>
    <w:p w14:paraId="0CCCA2EF">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2.2.3</w:t>
      </w:r>
      <w:r>
        <w:rPr>
          <w:rFonts w:hint="eastAsia" w:ascii="宋体" w:hAnsi="宋体" w:eastAsia="宋体"/>
          <w:color w:val="auto"/>
          <w:kern w:val="1"/>
          <w:szCs w:val="21"/>
          <w:highlight w:val="none"/>
          <w:u w:val="single"/>
        </w:rPr>
        <w:t>招标答疑纪要一经在广州交易集团有限公司（广州公共资源交易中心）网站发布，视作已发放给所有投标人。</w:t>
      </w:r>
    </w:p>
    <w:p w14:paraId="4B393DF5">
      <w:pPr>
        <w:spacing w:line="360" w:lineRule="auto"/>
        <w:ind w:firstLine="420"/>
        <w:rPr>
          <w:rFonts w:hint="eastAsia" w:ascii="宋体" w:hAnsi="宋体"/>
          <w:color w:val="auto"/>
          <w:kern w:val="1"/>
          <w:szCs w:val="21"/>
          <w:highlight w:val="none"/>
          <w:u w:val="none"/>
        </w:rPr>
      </w:pPr>
      <w:r>
        <w:rPr>
          <w:rFonts w:hint="eastAsia" w:ascii="宋体" w:hAnsi="宋体"/>
          <w:color w:val="auto"/>
          <w:kern w:val="1"/>
          <w:szCs w:val="21"/>
          <w:highlight w:val="none"/>
          <w:u w:val="none"/>
        </w:rPr>
        <w:t>2.2.4</w:t>
      </w:r>
      <w:r>
        <w:rPr>
          <w:rFonts w:hint="eastAsia" w:ascii="宋体" w:hAnsi="宋体" w:eastAsia="宋体"/>
          <w:color w:val="auto"/>
          <w:kern w:val="1"/>
          <w:szCs w:val="21"/>
          <w:highlight w:val="none"/>
          <w:u w:val="single"/>
        </w:rPr>
        <w:t>招标答疑纪要为招标文件的一部分。投标人可在广州交易集团有限公司（广州公共资源交易中心）网站浏览、下载招标答疑纪要。</w:t>
      </w:r>
    </w:p>
    <w:p w14:paraId="00DA42F8">
      <w:pPr>
        <w:spacing w:line="360" w:lineRule="auto"/>
        <w:ind w:firstLine="420"/>
        <w:rPr>
          <w:rFonts w:hint="eastAsia" w:ascii="宋体" w:hAnsi="宋体"/>
          <w:color w:val="auto"/>
          <w:kern w:val="1"/>
          <w:szCs w:val="21"/>
          <w:highlight w:val="none"/>
          <w:u w:val="none"/>
        </w:rPr>
      </w:pPr>
      <w:r>
        <w:rPr>
          <w:rFonts w:hint="eastAsia" w:ascii="宋体" w:hAnsi="宋体"/>
          <w:color w:val="auto"/>
          <w:kern w:val="1"/>
          <w:szCs w:val="21"/>
          <w:highlight w:val="none"/>
          <w:u w:val="none"/>
        </w:rPr>
        <w:t>2.2.5</w:t>
      </w:r>
      <w:r>
        <w:rPr>
          <w:rFonts w:hint="eastAsia" w:ascii="宋体" w:hAnsi="宋体" w:eastAsia="宋体"/>
          <w:color w:val="auto"/>
          <w:kern w:val="1"/>
          <w:szCs w:val="21"/>
          <w:highlight w:val="none"/>
          <w:u w:val="single"/>
        </w:rPr>
        <w:t>若招标答疑纪要与招标文件有矛盾时，以广州交易集团有限公司（广州公共资源交易中心）网站最后发布的答疑纪要为准。</w:t>
      </w:r>
    </w:p>
    <w:p w14:paraId="36543C05">
      <w:pPr>
        <w:pStyle w:val="10"/>
        <w:spacing w:line="360" w:lineRule="auto"/>
        <w:ind w:firstLine="118"/>
        <w:rPr>
          <w:rFonts w:hint="eastAsia" w:ascii="宋体" w:hAnsi="宋体" w:eastAsia="宋体"/>
          <w:b/>
          <w:color w:val="auto"/>
          <w:sz w:val="24"/>
          <w:szCs w:val="24"/>
          <w:highlight w:val="none"/>
        </w:rPr>
      </w:pPr>
      <w:bookmarkStart w:id="266" w:name="_Toc356469193"/>
      <w:bookmarkEnd w:id="266"/>
      <w:bookmarkStart w:id="267" w:name="_Toc247527570"/>
      <w:bookmarkEnd w:id="267"/>
      <w:bookmarkStart w:id="268" w:name="_Toc357089527"/>
      <w:bookmarkEnd w:id="268"/>
      <w:bookmarkStart w:id="269" w:name="_Toc144974513"/>
      <w:bookmarkEnd w:id="269"/>
      <w:bookmarkStart w:id="270" w:name="_Toc152045545"/>
      <w:bookmarkEnd w:id="270"/>
      <w:bookmarkStart w:id="271" w:name="_Toc300834966"/>
      <w:bookmarkEnd w:id="271"/>
      <w:bookmarkStart w:id="272" w:name="_Toc23035"/>
      <w:bookmarkEnd w:id="272"/>
      <w:bookmarkStart w:id="273" w:name="_Toc247513969"/>
      <w:bookmarkEnd w:id="273"/>
      <w:bookmarkStart w:id="274" w:name="_Toc11692"/>
      <w:bookmarkEnd w:id="274"/>
      <w:bookmarkStart w:id="275" w:name="_Toc152042321"/>
      <w:bookmarkEnd w:id="275"/>
      <w:bookmarkStart w:id="276" w:name="_Toc11509"/>
      <w:bookmarkEnd w:id="276"/>
      <w:bookmarkStart w:id="277" w:name="_Toc5620312"/>
      <w:bookmarkEnd w:id="277"/>
      <w:bookmarkStart w:id="278" w:name="_Toc3200"/>
      <w:bookmarkEnd w:id="278"/>
      <w:bookmarkStart w:id="279" w:name="_Toc362816496"/>
      <w:bookmarkEnd w:id="279"/>
      <w:r>
        <w:rPr>
          <w:rFonts w:hint="eastAsia" w:ascii="宋体" w:hAnsi="宋体" w:eastAsia="宋体"/>
          <w:b/>
          <w:color w:val="auto"/>
          <w:sz w:val="24"/>
          <w:szCs w:val="24"/>
          <w:highlight w:val="none"/>
        </w:rPr>
        <w:t>2.3 招标文件的修改</w:t>
      </w:r>
    </w:p>
    <w:p w14:paraId="270F4F0D">
      <w:pPr>
        <w:pStyle w:val="26"/>
        <w:spacing w:line="360" w:lineRule="auto"/>
        <w:rPr>
          <w:rFonts w:hint="eastAsia" w:ascii="宋体" w:hAnsi="宋体"/>
          <w:color w:val="auto"/>
          <w:szCs w:val="21"/>
          <w:highlight w:val="none"/>
        </w:rPr>
      </w:pPr>
      <w:r>
        <w:rPr>
          <w:rFonts w:hint="eastAsia" w:ascii="宋体" w:hAnsi="宋体"/>
          <w:color w:val="auto"/>
          <w:szCs w:val="21"/>
          <w:highlight w:val="none"/>
        </w:rPr>
        <w:t>2.3.1招标文件发出后,在提交投标文件截止时间15日前，招标人可对招标文件进行必要的澄清或修改。</w:t>
      </w:r>
    </w:p>
    <w:p w14:paraId="4DB46007">
      <w:pPr>
        <w:pStyle w:val="26"/>
        <w:spacing w:line="360" w:lineRule="auto"/>
        <w:ind w:left="-1"/>
        <w:rPr>
          <w:rFonts w:hint="eastAsia" w:ascii="宋体" w:hAnsi="宋体"/>
          <w:color w:val="auto"/>
          <w:szCs w:val="21"/>
          <w:highlight w:val="none"/>
        </w:rPr>
      </w:pPr>
      <w:r>
        <w:rPr>
          <w:rFonts w:hint="eastAsia" w:ascii="宋体" w:hAnsi="宋体"/>
          <w:color w:val="auto"/>
          <w:szCs w:val="21"/>
          <w:highlight w:val="none"/>
        </w:rPr>
        <w:t>2.3.2</w:t>
      </w:r>
      <w:r>
        <w:rPr>
          <w:rFonts w:hint="eastAsia" w:ascii="宋体" w:hAnsi="宋体"/>
          <w:color w:val="auto"/>
          <w:szCs w:val="21"/>
          <w:highlight w:val="none"/>
          <w:u w:val="single"/>
        </w:rPr>
        <w:t>招标文件的澄</w:t>
      </w:r>
      <w:r>
        <w:rPr>
          <w:rFonts w:hint="eastAsia" w:ascii="宋体" w:hAnsi="宋体" w:eastAsia="宋体"/>
          <w:color w:val="auto"/>
          <w:szCs w:val="21"/>
          <w:highlight w:val="none"/>
          <w:u w:val="single"/>
        </w:rPr>
        <w:t>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p w14:paraId="27C74F4A">
      <w:pPr>
        <w:pStyle w:val="26"/>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2.3.3</w:t>
      </w:r>
      <w:r>
        <w:rPr>
          <w:rFonts w:hint="eastAsia" w:ascii="宋体" w:hAnsi="宋体" w:eastAsia="宋体"/>
          <w:color w:val="auto"/>
          <w:szCs w:val="21"/>
          <w:highlight w:val="none"/>
          <w:u w:val="single"/>
        </w:rPr>
        <w:t>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68184C90">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75ABFCE9">
      <w:pPr>
        <w:pStyle w:val="9"/>
        <w:spacing w:line="360" w:lineRule="auto"/>
        <w:rPr>
          <w:rFonts w:hint="eastAsia" w:ascii="宋体" w:hAnsi="宋体" w:eastAsia="宋体"/>
          <w:color w:val="auto"/>
          <w:highlight w:val="none"/>
          <w:lang w:val="zh-CN"/>
        </w:rPr>
      </w:pPr>
      <w:bookmarkStart w:id="280" w:name="_Toc6320"/>
      <w:bookmarkEnd w:id="280"/>
      <w:bookmarkStart w:id="281" w:name="_Toc152042322"/>
      <w:bookmarkEnd w:id="281"/>
      <w:bookmarkStart w:id="282" w:name="_Toc8206"/>
      <w:bookmarkEnd w:id="282"/>
      <w:bookmarkStart w:id="283" w:name="_Toc410240234"/>
      <w:bookmarkEnd w:id="283"/>
      <w:bookmarkStart w:id="284" w:name="_Toc375931087"/>
      <w:bookmarkEnd w:id="284"/>
      <w:bookmarkStart w:id="285" w:name="_Toc300834967"/>
      <w:bookmarkEnd w:id="285"/>
      <w:bookmarkStart w:id="286" w:name="_Toc362816497"/>
      <w:bookmarkEnd w:id="286"/>
      <w:bookmarkStart w:id="287" w:name="_Toc14434"/>
      <w:bookmarkEnd w:id="287"/>
      <w:bookmarkStart w:id="288" w:name="_Toc5620313"/>
      <w:bookmarkEnd w:id="288"/>
      <w:bookmarkStart w:id="289" w:name="_Toc152045546"/>
      <w:bookmarkEnd w:id="289"/>
      <w:bookmarkStart w:id="290" w:name="_Toc144974514"/>
      <w:bookmarkEnd w:id="290"/>
      <w:bookmarkStart w:id="291" w:name="_Toc443505825"/>
      <w:bookmarkEnd w:id="291"/>
      <w:bookmarkStart w:id="292" w:name="_Toc27122"/>
      <w:bookmarkEnd w:id="292"/>
      <w:bookmarkStart w:id="293" w:name="_Toc247527571"/>
      <w:bookmarkEnd w:id="293"/>
      <w:bookmarkStart w:id="294" w:name="_Toc29462"/>
      <w:bookmarkEnd w:id="294"/>
      <w:bookmarkStart w:id="295" w:name="_Toc357089528"/>
      <w:bookmarkEnd w:id="295"/>
      <w:bookmarkStart w:id="296" w:name="_Toc247513970"/>
      <w:bookmarkEnd w:id="296"/>
      <w:bookmarkStart w:id="297" w:name="_Toc27732"/>
      <w:bookmarkEnd w:id="297"/>
      <w:r>
        <w:rPr>
          <w:rFonts w:hint="eastAsia" w:ascii="宋体" w:hAnsi="宋体" w:eastAsia="宋体"/>
          <w:color w:val="auto"/>
          <w:highlight w:val="none"/>
          <w:lang w:val="zh-CN"/>
        </w:rPr>
        <w:t>3. 投标文件</w:t>
      </w:r>
    </w:p>
    <w:p w14:paraId="60DF5861">
      <w:pPr>
        <w:pStyle w:val="10"/>
        <w:spacing w:line="360" w:lineRule="auto"/>
        <w:rPr>
          <w:rFonts w:hint="eastAsia" w:ascii="宋体" w:hAnsi="宋体" w:eastAsia="宋体"/>
          <w:b/>
          <w:bCs/>
          <w:color w:val="auto"/>
          <w:sz w:val="24"/>
          <w:szCs w:val="24"/>
          <w:highlight w:val="none"/>
        </w:rPr>
      </w:pPr>
      <w:bookmarkStart w:id="298" w:name="_Toc5620314"/>
      <w:bookmarkEnd w:id="298"/>
      <w:bookmarkStart w:id="299" w:name="_Toc300834968"/>
      <w:bookmarkEnd w:id="299"/>
      <w:bookmarkStart w:id="300" w:name="_Toc152042323"/>
      <w:bookmarkEnd w:id="300"/>
      <w:bookmarkStart w:id="301" w:name="_Toc362816498"/>
      <w:bookmarkEnd w:id="301"/>
      <w:bookmarkStart w:id="302" w:name="_Toc4582"/>
      <w:bookmarkEnd w:id="302"/>
      <w:bookmarkStart w:id="303" w:name="_Toc356469195"/>
      <w:bookmarkEnd w:id="303"/>
      <w:bookmarkStart w:id="304" w:name="_Toc357089529"/>
      <w:bookmarkEnd w:id="304"/>
      <w:bookmarkStart w:id="305" w:name="_Toc152045547"/>
      <w:bookmarkEnd w:id="305"/>
      <w:bookmarkStart w:id="306" w:name="_Toc32416"/>
      <w:bookmarkEnd w:id="306"/>
      <w:bookmarkStart w:id="307" w:name="_Toc144974515"/>
      <w:bookmarkEnd w:id="307"/>
      <w:bookmarkStart w:id="308" w:name="_Toc247527572"/>
      <w:bookmarkEnd w:id="308"/>
      <w:bookmarkStart w:id="309" w:name="_Toc2567"/>
      <w:bookmarkEnd w:id="309"/>
      <w:bookmarkStart w:id="310" w:name="_Toc9754"/>
      <w:bookmarkEnd w:id="310"/>
      <w:bookmarkStart w:id="311" w:name="_Toc247513971"/>
      <w:bookmarkEnd w:id="311"/>
      <w:r>
        <w:rPr>
          <w:rFonts w:hint="eastAsia" w:ascii="宋体" w:hAnsi="宋体" w:eastAsia="宋体"/>
          <w:b/>
          <w:bCs/>
          <w:color w:val="auto"/>
          <w:sz w:val="24"/>
          <w:szCs w:val="24"/>
          <w:highlight w:val="none"/>
        </w:rPr>
        <w:t>3.1 投标文件的组成</w:t>
      </w:r>
    </w:p>
    <w:p w14:paraId="1D90E0CF">
      <w:pPr>
        <w:spacing w:line="360" w:lineRule="auto"/>
        <w:ind w:firstLine="420"/>
        <w:rPr>
          <w:rFonts w:ascii="宋体" w:hAnsi="宋体" w:eastAsia="宋体"/>
          <w:b/>
          <w:color w:val="auto"/>
          <w:kern w:val="1"/>
          <w:szCs w:val="21"/>
          <w:highlight w:val="none"/>
          <w:u w:val="single"/>
        </w:rPr>
      </w:pPr>
      <w:r>
        <w:rPr>
          <w:rFonts w:ascii="宋体" w:hAnsi="宋体" w:eastAsia="宋体"/>
          <w:b/>
          <w:color w:val="auto"/>
          <w:kern w:val="1"/>
          <w:szCs w:val="21"/>
          <w:highlight w:val="none"/>
          <w:u w:val="single"/>
        </w:rPr>
        <w:t>3.1.1投标文件由</w:t>
      </w:r>
      <w:r>
        <w:rPr>
          <w:rFonts w:ascii="宋体" w:hAnsi="宋体" w:eastAsia="宋体"/>
          <w:b/>
          <w:color w:val="auto"/>
          <w:kern w:val="1"/>
          <w:szCs w:val="21"/>
          <w:highlight w:val="none"/>
          <w:u w:val="single"/>
          <w:lang w:val="en-US" w:eastAsia="zh-CN"/>
        </w:rPr>
        <w:t>设计方案、工程总承包实施方案（含资格审查文件）二</w:t>
      </w:r>
      <w:r>
        <w:rPr>
          <w:rFonts w:ascii="宋体" w:hAnsi="宋体" w:eastAsia="宋体"/>
          <w:b/>
          <w:color w:val="auto"/>
          <w:kern w:val="1"/>
          <w:szCs w:val="21"/>
          <w:highlight w:val="none"/>
          <w:u w:val="single"/>
        </w:rPr>
        <w:t>部分组</w:t>
      </w:r>
      <w:r>
        <w:rPr>
          <w:rFonts w:ascii="宋体" w:hAnsi="宋体"/>
          <w:b/>
          <w:color w:val="auto"/>
          <w:kern w:val="1"/>
          <w:szCs w:val="21"/>
          <w:highlight w:val="none"/>
          <w:u w:val="single"/>
        </w:rPr>
        <w:t>成</w:t>
      </w:r>
      <w:r>
        <w:rPr>
          <w:rFonts w:hint="eastAsia" w:ascii="宋体" w:hAnsi="宋体"/>
          <w:color w:val="auto"/>
          <w:kern w:val="1"/>
          <w:szCs w:val="21"/>
          <w:highlight w:val="none"/>
        </w:rPr>
        <w:t>。</w:t>
      </w:r>
    </w:p>
    <w:p w14:paraId="76C3B214">
      <w:pPr>
        <w:spacing w:line="360" w:lineRule="auto"/>
        <w:ind w:firstLine="420" w:firstLineChars="0"/>
        <w:rPr>
          <w:rFonts w:hint="eastAsia" w:ascii="宋体" w:hAnsi="Times New Roman" w:eastAsia="宋体"/>
          <w:color w:val="auto"/>
          <w:szCs w:val="21"/>
          <w:highlight w:val="none"/>
          <w:u w:val="single"/>
          <w:lang w:val="en-US" w:eastAsia="zh-CN"/>
        </w:rPr>
      </w:pPr>
      <w:r>
        <w:rPr>
          <w:rFonts w:hint="eastAsia" w:ascii="宋体" w:hAnsi="Times New Roman" w:eastAsia="宋体"/>
          <w:color w:val="auto"/>
          <w:szCs w:val="21"/>
          <w:highlight w:val="none"/>
          <w:u w:val="single"/>
          <w:lang w:val="en-US" w:eastAsia="zh-CN"/>
        </w:rPr>
        <w:t>3.1.2设计方案</w:t>
      </w:r>
      <w:r>
        <w:rPr>
          <w:rFonts w:hint="eastAsia" w:ascii="宋体" w:hAnsi="Times New Roman" w:eastAsia="宋体"/>
          <w:b/>
          <w:bCs/>
          <w:color w:val="auto"/>
          <w:szCs w:val="21"/>
          <w:highlight w:val="none"/>
          <w:u w:val="single"/>
          <w:lang w:val="en-US" w:eastAsia="zh-CN"/>
        </w:rPr>
        <w:t>（采用“暗标”形式）</w:t>
      </w:r>
    </w:p>
    <w:p w14:paraId="37DEF3EA">
      <w:pPr>
        <w:spacing w:line="360" w:lineRule="auto"/>
        <w:ind w:firstLine="420" w:firstLineChars="0"/>
        <w:rPr>
          <w:rFonts w:hint="eastAsia" w:ascii="宋体" w:hAnsi="Times New Roman" w:eastAsia="宋体"/>
          <w:b/>
          <w:bCs/>
          <w:color w:val="auto"/>
          <w:szCs w:val="21"/>
          <w:highlight w:val="none"/>
          <w:u w:val="single"/>
          <w:lang w:val="en-US" w:eastAsia="zh-CN"/>
        </w:rPr>
      </w:pPr>
      <w:r>
        <w:rPr>
          <w:rFonts w:hint="eastAsia" w:ascii="宋体" w:hAnsi="Times New Roman" w:eastAsia="宋体"/>
          <w:b/>
          <w:bCs/>
          <w:color w:val="auto"/>
          <w:szCs w:val="21"/>
          <w:highlight w:val="none"/>
          <w:u w:val="single"/>
          <w:lang w:val="en-US" w:eastAsia="zh-CN"/>
        </w:rPr>
        <w:t>设计方案中不得出现可以辨认投标人及专业技术人员身份的名称、印章、商标、图形等记认符号，也不得通过明标、暗标中包含的相同内容（如报价等）互相印证、辨认投标人身份。</w:t>
      </w:r>
    </w:p>
    <w:p w14:paraId="683F3A06">
      <w:pPr>
        <w:spacing w:line="360" w:lineRule="auto"/>
        <w:ind w:firstLine="420" w:firstLineChars="0"/>
        <w:rPr>
          <w:rFonts w:hint="eastAsia" w:ascii="宋体" w:hAnsi="Times New Roman" w:eastAsia="宋体"/>
          <w:color w:val="auto"/>
          <w:szCs w:val="21"/>
          <w:highlight w:val="none"/>
          <w:u w:val="single"/>
          <w:lang w:val="en-US" w:eastAsia="zh-CN"/>
        </w:rPr>
      </w:pPr>
      <w:r>
        <w:rPr>
          <w:rFonts w:hint="eastAsia" w:ascii="宋体" w:hAnsi="Times New Roman" w:eastAsia="宋体"/>
          <w:color w:val="auto"/>
          <w:szCs w:val="21"/>
          <w:highlight w:val="none"/>
          <w:u w:val="single"/>
          <w:lang w:val="en-US" w:eastAsia="zh-CN"/>
        </w:rPr>
        <w:t>（1）封面：标明项目名称、“投标文件（设计方案）”字样、编制时间；</w:t>
      </w:r>
    </w:p>
    <w:p w14:paraId="2B3C423A">
      <w:pPr>
        <w:spacing w:line="360" w:lineRule="auto"/>
        <w:ind w:firstLine="420" w:firstLineChars="0"/>
        <w:rPr>
          <w:rFonts w:hint="eastAsia" w:ascii="宋体" w:hAnsi="Times New Roman" w:eastAsia="宋体"/>
          <w:color w:val="auto"/>
          <w:szCs w:val="21"/>
          <w:highlight w:val="none"/>
          <w:u w:val="single"/>
          <w:lang w:val="en-US" w:eastAsia="zh-CN"/>
        </w:rPr>
      </w:pPr>
      <w:r>
        <w:rPr>
          <w:rFonts w:hint="eastAsia" w:ascii="宋体" w:hAnsi="Times New Roman" w:eastAsia="宋体"/>
          <w:color w:val="auto"/>
          <w:szCs w:val="21"/>
          <w:highlight w:val="none"/>
          <w:u w:val="single"/>
          <w:lang w:val="en-US" w:eastAsia="zh-CN"/>
        </w:rPr>
        <w:t>（2）目录；</w:t>
      </w:r>
    </w:p>
    <w:p w14:paraId="50E6B853">
      <w:pPr>
        <w:spacing w:line="360" w:lineRule="auto"/>
        <w:ind w:firstLine="420" w:firstLineChars="0"/>
        <w:rPr>
          <w:rFonts w:hint="eastAsia" w:ascii="宋体" w:hAnsi="Times New Roman" w:eastAsia="宋体"/>
          <w:color w:val="auto"/>
          <w:szCs w:val="21"/>
          <w:highlight w:val="none"/>
          <w:u w:val="single"/>
          <w:lang w:val="en-US" w:eastAsia="zh-CN"/>
        </w:rPr>
      </w:pPr>
      <w:r>
        <w:rPr>
          <w:rFonts w:hint="eastAsia" w:ascii="宋体" w:hAnsi="Times New Roman" w:eastAsia="宋体"/>
          <w:color w:val="auto"/>
          <w:szCs w:val="21"/>
          <w:highlight w:val="none"/>
          <w:u w:val="single"/>
          <w:lang w:val="en-US" w:eastAsia="zh-CN"/>
        </w:rPr>
        <w:t>（3）设计方案；</w:t>
      </w:r>
    </w:p>
    <w:p w14:paraId="127EC841">
      <w:pPr>
        <w:spacing w:line="360" w:lineRule="auto"/>
        <w:ind w:firstLine="420" w:firstLineChars="0"/>
        <w:rPr>
          <w:rFonts w:hint="eastAsia" w:ascii="宋体" w:hAnsi="Times New Roman" w:eastAsia="宋体"/>
          <w:color w:val="auto"/>
          <w:szCs w:val="21"/>
          <w:highlight w:val="none"/>
          <w:u w:val="single"/>
          <w:lang w:val="en-US" w:eastAsia="zh-CN"/>
        </w:rPr>
      </w:pPr>
      <w:r>
        <w:rPr>
          <w:rFonts w:hint="eastAsia" w:ascii="宋体" w:hAnsi="Times New Roman" w:eastAsia="宋体"/>
          <w:color w:val="auto"/>
          <w:szCs w:val="21"/>
          <w:highlight w:val="none"/>
          <w:u w:val="single"/>
          <w:lang w:val="en-US" w:eastAsia="zh-CN"/>
        </w:rPr>
        <w:t>（4）投标人认为应该提供的其他资料。</w:t>
      </w:r>
    </w:p>
    <w:p w14:paraId="2E7F9378">
      <w:pPr>
        <w:spacing w:line="360" w:lineRule="auto"/>
        <w:ind w:firstLine="420" w:firstLineChars="0"/>
        <w:rPr>
          <w:rFonts w:hint="eastAsia" w:ascii="宋体" w:hAnsi="Times New Roman" w:eastAsia="宋体"/>
          <w:color w:val="auto"/>
          <w:szCs w:val="21"/>
          <w:highlight w:val="none"/>
          <w:u w:val="single"/>
        </w:rPr>
      </w:pPr>
      <w:r>
        <w:rPr>
          <w:rFonts w:hint="eastAsia" w:ascii="宋体" w:hAnsi="Times New Roman" w:eastAsia="宋体"/>
          <w:color w:val="auto"/>
          <w:szCs w:val="21"/>
          <w:highlight w:val="none"/>
          <w:u w:val="single"/>
        </w:rPr>
        <w:t>3.1</w:t>
      </w:r>
      <w:r>
        <w:rPr>
          <w:rFonts w:hint="eastAsia" w:ascii="宋体" w:hAnsi="Times New Roman" w:eastAsia="宋体"/>
          <w:color w:val="auto"/>
          <w:szCs w:val="21"/>
          <w:highlight w:val="none"/>
          <w:u w:val="single"/>
          <w:lang w:val="en-US" w:eastAsia="zh-CN"/>
        </w:rPr>
        <w:t>.3</w:t>
      </w:r>
      <w:r>
        <w:rPr>
          <w:rFonts w:hint="eastAsia" w:ascii="宋体" w:hAnsi="Times New Roman" w:eastAsia="宋体"/>
          <w:color w:val="auto"/>
          <w:szCs w:val="21"/>
          <w:highlight w:val="none"/>
          <w:u w:val="single"/>
        </w:rPr>
        <w:t>工程总承包实施方案（含资格审查）投标文件</w:t>
      </w:r>
    </w:p>
    <w:p w14:paraId="78B89DFB">
      <w:pPr>
        <w:spacing w:line="360" w:lineRule="auto"/>
        <w:ind w:firstLine="420" w:firstLineChars="0"/>
        <w:rPr>
          <w:rFonts w:hint="eastAsia" w:ascii="宋体"/>
          <w:color w:val="auto"/>
          <w:szCs w:val="21"/>
          <w:highlight w:val="none"/>
          <w:u w:val="single"/>
        </w:rPr>
      </w:pPr>
      <w:r>
        <w:rPr>
          <w:rFonts w:hint="eastAsia" w:ascii="宋体"/>
          <w:color w:val="auto"/>
          <w:szCs w:val="21"/>
          <w:highlight w:val="none"/>
          <w:u w:val="single"/>
        </w:rPr>
        <w:t>应包含但不限于以下内容：</w:t>
      </w:r>
    </w:p>
    <w:p w14:paraId="4C596DFA">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（1）封面。</w:t>
      </w:r>
    </w:p>
    <w:p w14:paraId="6728C518">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（2）目录。</w:t>
      </w:r>
    </w:p>
    <w:p w14:paraId="7687742E">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（3）技术投标书。</w:t>
      </w:r>
    </w:p>
    <w:p w14:paraId="30128E73">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（4）经济投标书。</w:t>
      </w:r>
    </w:p>
    <w:p w14:paraId="57DEB5D8">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 xml:space="preserve">（5）资格审查文件。  </w:t>
      </w:r>
    </w:p>
    <w:p w14:paraId="77669D41">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（6）投标承诺书。</w:t>
      </w:r>
    </w:p>
    <w:p w14:paraId="596362E0">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（7）投标人基本情况表。</w:t>
      </w:r>
    </w:p>
    <w:p w14:paraId="0A731473">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（8）工程总承包实施方案投标文件（资信部分）。</w:t>
      </w:r>
    </w:p>
    <w:p w14:paraId="0CA7AFEB">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（9）工程总承包实施方案投标文件（实施方案部分）。</w:t>
      </w:r>
      <w:r>
        <w:rPr>
          <w:rFonts w:hint="eastAsia" w:ascii="宋体"/>
          <w:color w:val="auto"/>
          <w:szCs w:val="21"/>
          <w:highlight w:val="none"/>
          <w:u w:val="single"/>
          <w:lang w:eastAsia="zh-CN"/>
        </w:rPr>
        <w:t>（</w:t>
      </w:r>
      <w:r>
        <w:rPr>
          <w:rFonts w:hint="eastAsia" w:ascii="宋体"/>
          <w:color w:val="auto"/>
          <w:szCs w:val="21"/>
          <w:highlight w:val="none"/>
          <w:u w:val="single"/>
        </w:rPr>
        <w:t>投标人在编制施工组织设计或施工方案时应按照招标人提出的施工现场建筑垃圾源头减量的具体要求以及建筑垃圾综合利用产品的使用要求提供相应措施</w:t>
      </w:r>
      <w:r>
        <w:rPr>
          <w:rFonts w:hint="eastAsia" w:ascii="宋体"/>
          <w:color w:val="auto"/>
          <w:szCs w:val="21"/>
          <w:highlight w:val="none"/>
          <w:u w:val="single"/>
          <w:lang w:eastAsia="zh-CN"/>
        </w:rPr>
        <w:t>）</w:t>
      </w:r>
    </w:p>
    <w:p w14:paraId="53470958">
      <w:pPr>
        <w:spacing w:line="360" w:lineRule="auto"/>
        <w:ind w:firstLine="420" w:firstLineChars="200"/>
        <w:rPr>
          <w:rFonts w:hint="eastAsia" w:ascii="宋体"/>
          <w:color w:val="auto"/>
          <w:szCs w:val="21"/>
          <w:highlight w:val="none"/>
          <w:u w:val="single"/>
        </w:rPr>
      </w:pPr>
      <w:r>
        <w:rPr>
          <w:rFonts w:hint="eastAsia" w:ascii="宋体"/>
          <w:color w:val="auto"/>
          <w:szCs w:val="21"/>
          <w:highlight w:val="none"/>
          <w:u w:val="single"/>
        </w:rPr>
        <w:t>（10）投标人认为应该提供的其他资料。</w:t>
      </w:r>
    </w:p>
    <w:p w14:paraId="62A15183">
      <w:pPr>
        <w:pStyle w:val="26"/>
        <w:spacing w:after="0"/>
        <w:rPr>
          <w:rFonts w:hint="eastAsia" w:ascii="宋体" w:hAnsi="宋体" w:eastAsia="宋体"/>
          <w:b/>
          <w:bCs/>
          <w:color w:val="auto"/>
          <w:sz w:val="24"/>
          <w:szCs w:val="24"/>
          <w:highlight w:val="none"/>
        </w:rPr>
      </w:pPr>
      <w:bookmarkStart w:id="312" w:name="_Toc7232"/>
      <w:bookmarkEnd w:id="312"/>
      <w:bookmarkStart w:id="313" w:name="_Toc4280"/>
      <w:bookmarkEnd w:id="313"/>
      <w:r>
        <w:rPr>
          <w:rFonts w:hint="eastAsia" w:ascii="宋体" w:hAnsi="宋体" w:eastAsia="宋体"/>
          <w:b/>
          <w:bCs/>
          <w:color w:val="auto"/>
          <w:sz w:val="24"/>
          <w:szCs w:val="24"/>
          <w:highlight w:val="none"/>
        </w:rPr>
        <w:t>3.2 投标报价</w:t>
      </w:r>
    </w:p>
    <w:p w14:paraId="664371CD">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 xml:space="preserve">3.2.1 </w:t>
      </w:r>
      <w:r>
        <w:rPr>
          <w:rFonts w:hint="eastAsia" w:ascii="宋体" w:hAnsi="宋体"/>
          <w:color w:val="auto"/>
          <w:kern w:val="1"/>
          <w:highlight w:val="none"/>
          <w:u w:val="single"/>
        </w:rPr>
        <w:t>本工程的投标报价</w:t>
      </w:r>
      <w:r>
        <w:rPr>
          <w:rFonts w:hint="eastAsia" w:ascii="宋体"/>
          <w:color w:val="auto"/>
          <w:szCs w:val="21"/>
          <w:highlight w:val="none"/>
          <w:u w:val="single"/>
        </w:rPr>
        <w:t>按照3.2.</w:t>
      </w:r>
      <w:r>
        <w:rPr>
          <w:rFonts w:hint="eastAsia" w:ascii="宋体"/>
          <w:color w:val="auto"/>
          <w:szCs w:val="21"/>
          <w:highlight w:val="none"/>
          <w:u w:val="single"/>
          <w:lang w:val="en-US" w:eastAsia="zh-CN"/>
        </w:rPr>
        <w:t>4</w:t>
      </w:r>
      <w:r>
        <w:rPr>
          <w:rFonts w:hint="eastAsia" w:ascii="宋体"/>
          <w:color w:val="auto"/>
          <w:szCs w:val="21"/>
          <w:highlight w:val="none"/>
          <w:u w:val="single"/>
        </w:rPr>
        <w:t>.</w:t>
      </w:r>
      <w:r>
        <w:rPr>
          <w:rFonts w:hint="eastAsia" w:ascii="宋体"/>
          <w:color w:val="auto"/>
          <w:szCs w:val="21"/>
          <w:highlight w:val="none"/>
          <w:u w:val="single"/>
          <w:lang w:val="en-US" w:eastAsia="zh-CN"/>
        </w:rPr>
        <w:t>3</w:t>
      </w:r>
      <w:r>
        <w:rPr>
          <w:rFonts w:hint="eastAsia" w:ascii="宋体"/>
          <w:color w:val="auto"/>
          <w:szCs w:val="21"/>
          <w:highlight w:val="none"/>
          <w:u w:val="single"/>
        </w:rPr>
        <w:t>项所规定的方式</w:t>
      </w:r>
      <w:r>
        <w:rPr>
          <w:rFonts w:hint="eastAsia" w:ascii="宋体" w:hAnsi="宋体"/>
          <w:color w:val="auto"/>
          <w:kern w:val="1"/>
          <w:highlight w:val="none"/>
          <w:u w:val="single"/>
        </w:rPr>
        <w:t>。</w:t>
      </w:r>
    </w:p>
    <w:p w14:paraId="50687B36">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3.2.2 投标人应</w:t>
      </w:r>
      <w:r>
        <w:rPr>
          <w:rFonts w:hint="eastAsia" w:ascii="宋体" w:hAnsi="宋体"/>
          <w:color w:val="auto"/>
          <w:kern w:val="1"/>
          <w:highlight w:val="none"/>
        </w:rPr>
        <w:t>充分了解</w:t>
      </w:r>
      <w:r>
        <w:rPr>
          <w:rFonts w:hint="eastAsia" w:ascii="宋体" w:hAnsi="宋体"/>
          <w:color w:val="auto"/>
          <w:kern w:val="1"/>
          <w:szCs w:val="21"/>
          <w:highlight w:val="none"/>
        </w:rPr>
        <w:t>施工场地的位置、周边环境、道路、装卸、保管、安装限制以及影响投标报价的其他要素。投标人根据投标设计，结合市场情况进行投标报价。</w:t>
      </w:r>
    </w:p>
    <w:p w14:paraId="3678A33A">
      <w:pPr>
        <w:spacing w:line="360" w:lineRule="auto"/>
        <w:ind w:firstLine="420"/>
        <w:rPr>
          <w:rFonts w:hint="eastAsia" w:ascii="宋体" w:hAnsi="宋体"/>
          <w:color w:val="auto"/>
          <w:kern w:val="1"/>
          <w:highlight w:val="none"/>
        </w:rPr>
      </w:pPr>
      <w:r>
        <w:rPr>
          <w:rFonts w:hint="eastAsia" w:ascii="宋体" w:hAnsi="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4CB07181">
      <w:pPr>
        <w:spacing w:line="360" w:lineRule="auto"/>
        <w:ind w:firstLine="420"/>
        <w:rPr>
          <w:rFonts w:hint="eastAsia" w:ascii="宋体" w:hAnsi="宋体"/>
          <w:color w:val="auto"/>
          <w:kern w:val="1"/>
          <w:highlight w:val="none"/>
        </w:rPr>
      </w:pPr>
      <w:r>
        <w:rPr>
          <w:rFonts w:hint="eastAsia" w:ascii="宋体" w:hAnsi="宋体"/>
          <w:color w:val="auto"/>
          <w:kern w:val="1"/>
          <w:highlight w:val="none"/>
        </w:rPr>
        <w:t>3.2.</w:t>
      </w:r>
      <w:r>
        <w:rPr>
          <w:rFonts w:ascii="宋体" w:hAnsi="宋体"/>
          <w:color w:val="auto"/>
          <w:kern w:val="1"/>
          <w:highlight w:val="none"/>
        </w:rPr>
        <w:t>4</w:t>
      </w:r>
      <w:r>
        <w:rPr>
          <w:rFonts w:hint="eastAsia" w:ascii="宋体" w:hAnsi="宋体"/>
          <w:color w:val="auto"/>
          <w:kern w:val="1"/>
          <w:highlight w:val="none"/>
        </w:rPr>
        <w:t xml:space="preserve"> 招标人设有最高投标限价的，投标人的投标报价不得超过最高投标限价，最高投标限价在投标人须知前附表中载明。</w:t>
      </w:r>
    </w:p>
    <w:p w14:paraId="7DBE827D">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3.2.4.1招标人按照招标需求制定最高投标限价（招标控制价），有两个含义，①最高投标限价总价，②设计费最高投标限价、</w:t>
      </w:r>
      <w:r>
        <w:rPr>
          <w:rFonts w:hint="eastAsia" w:ascii="宋体" w:hAnsi="宋体"/>
          <w:color w:val="auto"/>
          <w:highlight w:val="none"/>
          <w:u w:val="single"/>
        </w:rPr>
        <w:t>建安工程费最高投标限价</w:t>
      </w:r>
      <w:r>
        <w:rPr>
          <w:rFonts w:hint="eastAsia" w:ascii="宋体" w:hAnsi="宋体"/>
          <w:color w:val="auto"/>
          <w:kern w:val="1"/>
          <w:szCs w:val="21"/>
          <w:highlight w:val="none"/>
          <w:u w:val="single"/>
        </w:rPr>
        <w:t>分项价。投标人按照招标人提供的招标清单中列出的费用项目予以报价，其中设计费、建安工程费所报金额不得超出招标人规定的相应的最高投标限价。</w:t>
      </w:r>
    </w:p>
    <w:p w14:paraId="604669BB">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3.2.4.2投标报价每一项费用只允许有一个报价，任何有选择的报价或未填报单价的投标文件将不予接受。</w:t>
      </w:r>
    </w:p>
    <w:p w14:paraId="653B5764">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3.2.4.3投标人的投标总报价，包括设计费和</w:t>
      </w:r>
      <w:r>
        <w:rPr>
          <w:rFonts w:hint="eastAsia" w:ascii="宋体" w:hAnsi="宋体"/>
          <w:color w:val="auto"/>
          <w:highlight w:val="none"/>
          <w:u w:val="single"/>
        </w:rPr>
        <w:t>建安工程费</w:t>
      </w:r>
      <w:r>
        <w:rPr>
          <w:rFonts w:hint="eastAsia" w:ascii="宋体" w:hAnsi="宋体"/>
          <w:color w:val="auto"/>
          <w:kern w:val="1"/>
          <w:szCs w:val="21"/>
          <w:highlight w:val="none"/>
          <w:u w:val="single"/>
        </w:rPr>
        <w:t>。投标人应按照投标须知前附表第 1.3.2 项的工期要求，在投标须知前附表第 1.1.5 项的建设地点，完成投标须知前附表第1.3.1项的招标范围内列明工作的全部费用，包括但不限于完成全部设计、施工工作的成本、利润、税金、技术措施费、大型机械进出场费、风险费以及政策性文件规定费用等，不得以任何理由予以重复计算。</w:t>
      </w:r>
    </w:p>
    <w:p w14:paraId="1A61219A">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3.2.</w:t>
      </w:r>
      <w:r>
        <w:rPr>
          <w:rFonts w:ascii="宋体" w:hAnsi="宋体"/>
          <w:color w:val="auto"/>
          <w:kern w:val="1"/>
          <w:szCs w:val="21"/>
          <w:highlight w:val="none"/>
        </w:rPr>
        <w:t>5</w:t>
      </w:r>
      <w:r>
        <w:rPr>
          <w:rFonts w:hint="eastAsia" w:ascii="宋体" w:hAnsi="宋体"/>
          <w:color w:val="auto"/>
          <w:kern w:val="1"/>
          <w:highlight w:val="none"/>
        </w:rPr>
        <w:t>投标报价的其他要求见投标人须知前附表。</w:t>
      </w:r>
    </w:p>
    <w:p w14:paraId="2C9478EA">
      <w:pPr>
        <w:spacing w:line="360" w:lineRule="auto"/>
        <w:ind w:firstLine="420"/>
        <w:rPr>
          <w:rFonts w:hint="eastAsia" w:ascii="宋体" w:hAnsi="宋体"/>
          <w:color w:val="auto"/>
          <w:kern w:val="1"/>
          <w:highlight w:val="none"/>
          <w:u w:val="single"/>
        </w:rPr>
      </w:pPr>
      <w:r>
        <w:rPr>
          <w:rFonts w:hint="eastAsia" w:ascii="宋体" w:hAnsi="宋体"/>
          <w:color w:val="auto"/>
          <w:kern w:val="1"/>
          <w:highlight w:val="none"/>
          <w:u w:val="single"/>
        </w:rPr>
        <w:t>3.2.</w:t>
      </w:r>
      <w:r>
        <w:rPr>
          <w:rFonts w:ascii="宋体" w:hAnsi="宋体"/>
          <w:color w:val="auto"/>
          <w:kern w:val="1"/>
          <w:highlight w:val="none"/>
          <w:u w:val="single"/>
        </w:rPr>
        <w:t>6</w:t>
      </w:r>
      <w:r>
        <w:rPr>
          <w:rFonts w:hint="eastAsia" w:ascii="宋体" w:hAnsi="宋体"/>
          <w:color w:val="auto"/>
          <w:kern w:val="1"/>
          <w:highlight w:val="none"/>
          <w:u w:val="single"/>
        </w:rPr>
        <w:t>本项目投标报价采用的币种为人民币。</w:t>
      </w:r>
    </w:p>
    <w:p w14:paraId="08CFC64A">
      <w:pPr>
        <w:pStyle w:val="10"/>
        <w:spacing w:before="240" w:after="240" w:line="360" w:lineRule="auto"/>
        <w:ind w:firstLine="351"/>
        <w:rPr>
          <w:rFonts w:hint="eastAsia" w:ascii="宋体" w:hAnsi="宋体" w:eastAsia="宋体"/>
          <w:b/>
          <w:color w:val="auto"/>
          <w:sz w:val="24"/>
          <w:szCs w:val="24"/>
          <w:highlight w:val="none"/>
        </w:rPr>
      </w:pPr>
      <w:bookmarkStart w:id="314" w:name="_Toc1947"/>
      <w:bookmarkEnd w:id="314"/>
      <w:bookmarkStart w:id="315" w:name="_Toc20247"/>
      <w:bookmarkEnd w:id="315"/>
      <w:bookmarkStart w:id="316" w:name="_Toc5620316"/>
      <w:bookmarkEnd w:id="316"/>
      <w:bookmarkStart w:id="317" w:name="_Toc9994"/>
      <w:bookmarkEnd w:id="317"/>
      <w:bookmarkStart w:id="318" w:name="_Toc18734"/>
      <w:bookmarkEnd w:id="318"/>
      <w:r>
        <w:rPr>
          <w:rFonts w:hint="eastAsia" w:ascii="宋体" w:hAnsi="宋体" w:eastAsia="宋体"/>
          <w:b/>
          <w:color w:val="auto"/>
          <w:sz w:val="24"/>
          <w:szCs w:val="24"/>
          <w:highlight w:val="none"/>
        </w:rPr>
        <w:t>3.3 投标有效期</w:t>
      </w:r>
    </w:p>
    <w:p w14:paraId="30D00AB5">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3.3.1</w:t>
      </w:r>
      <w:r>
        <w:rPr>
          <w:rFonts w:hint="eastAsia" w:ascii="宋体"/>
          <w:color w:val="auto"/>
          <w:highlight w:val="none"/>
          <w:u w:val="single"/>
        </w:rPr>
        <w:t>投标有效期按须知前附表的规定</w:t>
      </w:r>
      <w:r>
        <w:rPr>
          <w:rFonts w:hint="eastAsia" w:ascii="宋体" w:hAnsi="宋体"/>
          <w:color w:val="auto"/>
          <w:kern w:val="1"/>
          <w:highlight w:val="none"/>
        </w:rPr>
        <w:t>。</w:t>
      </w:r>
    </w:p>
    <w:p w14:paraId="2F4553C5">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3.3.2 在投标有效期内，投标人撤销或修改其投标文件的，应承担招标文件和法律规定的责任。</w:t>
      </w:r>
    </w:p>
    <w:p w14:paraId="609D743A">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3.3.3 出现特殊情况需要延长投标有效期的，招标人以书面形式通知所有投标人延长投标有效期。投标人同意延长的，不得要求或被允许修改或撤销其投标文件；投标人拒绝延长的，其投标失效。</w:t>
      </w:r>
    </w:p>
    <w:p w14:paraId="7F48EF43">
      <w:pPr>
        <w:pStyle w:val="10"/>
        <w:spacing w:before="240" w:after="240" w:line="360" w:lineRule="auto"/>
        <w:ind w:firstLine="363"/>
        <w:rPr>
          <w:rFonts w:hint="eastAsia" w:ascii="宋体" w:hAnsi="宋体" w:eastAsia="宋体"/>
          <w:b/>
          <w:color w:val="auto"/>
          <w:sz w:val="24"/>
          <w:szCs w:val="24"/>
          <w:highlight w:val="none"/>
        </w:rPr>
      </w:pPr>
      <w:bookmarkStart w:id="319" w:name="_Toc27901"/>
      <w:bookmarkEnd w:id="319"/>
      <w:bookmarkStart w:id="320" w:name="_Toc18133"/>
      <w:bookmarkEnd w:id="320"/>
      <w:bookmarkStart w:id="321" w:name="_Toc5620317"/>
      <w:bookmarkEnd w:id="321"/>
      <w:bookmarkStart w:id="322" w:name="_Toc16905"/>
      <w:bookmarkEnd w:id="322"/>
      <w:bookmarkStart w:id="323" w:name="_Toc32124"/>
      <w:bookmarkEnd w:id="323"/>
      <w:r>
        <w:rPr>
          <w:rFonts w:hint="eastAsia" w:ascii="宋体" w:hAnsi="宋体" w:eastAsia="宋体"/>
          <w:b/>
          <w:color w:val="auto"/>
          <w:sz w:val="24"/>
          <w:szCs w:val="24"/>
          <w:highlight w:val="none"/>
        </w:rPr>
        <w:t>3.4 投标保证金</w:t>
      </w:r>
    </w:p>
    <w:p w14:paraId="2B091072">
      <w:pPr>
        <w:spacing w:line="360" w:lineRule="auto"/>
        <w:ind w:firstLine="420" w:firstLineChars="200"/>
        <w:rPr>
          <w:rFonts w:ascii="宋体" w:hAnsi="宋体"/>
          <w:strike/>
          <w:color w:val="auto"/>
          <w:highlight w:val="none"/>
        </w:rPr>
      </w:pPr>
      <w:r>
        <w:rPr>
          <w:rFonts w:ascii="宋体" w:hAnsi="宋体"/>
          <w:strike/>
          <w:color w:val="auto"/>
          <w:highlight w:val="none"/>
        </w:rPr>
        <w:t>3.4.1</w:t>
      </w:r>
      <w:r>
        <w:rPr>
          <w:rFonts w:hint="eastAsia"/>
          <w:strike/>
          <w:color w:val="auto"/>
          <w:highlight w:val="none"/>
        </w:rPr>
        <w:t>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0243D352">
      <w:pPr>
        <w:spacing w:line="360" w:lineRule="auto"/>
        <w:ind w:firstLine="420" w:firstLineChars="200"/>
        <w:rPr>
          <w:rFonts w:ascii="宋体" w:hAnsi="宋体"/>
          <w:strike/>
          <w:color w:val="auto"/>
          <w:highlight w:val="none"/>
        </w:rPr>
      </w:pPr>
      <w:r>
        <w:rPr>
          <w:rFonts w:ascii="宋体" w:hAnsi="宋体"/>
          <w:strike/>
          <w:color w:val="auto"/>
          <w:highlight w:val="none"/>
        </w:rPr>
        <w:t xml:space="preserve">3.4.2 </w:t>
      </w:r>
      <w:r>
        <w:rPr>
          <w:rFonts w:hint="eastAsia" w:ascii="宋体" w:hAnsi="宋体"/>
          <w:strike/>
          <w:color w:val="auto"/>
          <w:highlight w:val="none"/>
        </w:rPr>
        <w:t>投标人不按本章第</w:t>
      </w:r>
      <w:r>
        <w:rPr>
          <w:rFonts w:ascii="宋体" w:hAnsi="宋体"/>
          <w:strike/>
          <w:color w:val="auto"/>
          <w:highlight w:val="none"/>
        </w:rPr>
        <w:t>3.4.1</w:t>
      </w:r>
      <w:r>
        <w:rPr>
          <w:rFonts w:hint="eastAsia" w:ascii="宋体" w:hAnsi="宋体"/>
          <w:strike/>
          <w:color w:val="auto"/>
          <w:highlight w:val="none"/>
        </w:rPr>
        <w:t>项要求提交投标保证金的，评标委员会将否决其投标。</w:t>
      </w:r>
    </w:p>
    <w:p w14:paraId="79334F3B">
      <w:pPr>
        <w:spacing w:line="360" w:lineRule="auto"/>
        <w:ind w:firstLine="420" w:firstLineChars="200"/>
        <w:rPr>
          <w:rFonts w:ascii="宋体" w:hAnsi="宋体"/>
          <w:strike/>
          <w:color w:val="auto"/>
          <w:highlight w:val="none"/>
        </w:rPr>
      </w:pPr>
      <w:r>
        <w:rPr>
          <w:rFonts w:ascii="宋体" w:hAnsi="宋体"/>
          <w:strike/>
          <w:color w:val="auto"/>
          <w:highlight w:val="none"/>
        </w:rPr>
        <w:t>3.4.3</w:t>
      </w:r>
      <w:r>
        <w:rPr>
          <w:rFonts w:hint="eastAsia"/>
          <w:strike/>
          <w:color w:val="auto"/>
          <w:highlight w:val="none"/>
          <w:u w:val="single"/>
        </w:rPr>
        <w:t>未中标的投标保证金将尽快退还，最迟不超过招标人与中标人签订合同后的</w:t>
      </w:r>
      <w:r>
        <w:rPr>
          <w:rFonts w:hint="eastAsia" w:ascii="宋体" w:hAnsi="宋体"/>
          <w:strike/>
          <w:color w:val="auto"/>
          <w:highlight w:val="none"/>
          <w:u w:val="single"/>
        </w:rPr>
        <w:t>5</w:t>
      </w:r>
      <w:r>
        <w:rPr>
          <w:rFonts w:hint="eastAsia"/>
          <w:strike/>
          <w:color w:val="auto"/>
          <w:highlight w:val="none"/>
          <w:u w:val="single"/>
        </w:rPr>
        <w:t>日。中标人的投标保证金，在签署合同并按要求提供了履约担保后</w:t>
      </w:r>
      <w:r>
        <w:rPr>
          <w:rFonts w:hint="eastAsia" w:ascii="宋体" w:hAnsi="宋体"/>
          <w:strike/>
          <w:color w:val="auto"/>
          <w:highlight w:val="none"/>
          <w:u w:val="single"/>
        </w:rPr>
        <w:t>5</w:t>
      </w:r>
      <w:r>
        <w:rPr>
          <w:rFonts w:hint="eastAsia"/>
          <w:strike/>
          <w:color w:val="auto"/>
          <w:highlight w:val="none"/>
          <w:u w:val="single"/>
        </w:rPr>
        <w:t>日内予以退还。</w:t>
      </w:r>
    </w:p>
    <w:p w14:paraId="424DD8C8">
      <w:pPr>
        <w:spacing w:line="360" w:lineRule="auto"/>
        <w:ind w:firstLine="420" w:firstLineChars="200"/>
        <w:rPr>
          <w:rFonts w:hint="eastAsia" w:ascii="宋体" w:hAnsi="宋体"/>
          <w:strike/>
          <w:color w:val="auto"/>
          <w:highlight w:val="none"/>
        </w:rPr>
      </w:pPr>
      <w:r>
        <w:rPr>
          <w:rFonts w:hint="eastAsia" w:ascii="宋体" w:hAnsi="宋体"/>
          <w:strike/>
          <w:color w:val="auto"/>
          <w:highlight w:val="none"/>
        </w:rPr>
        <w:t>3.4.4投标人有下列情形的</w:t>
      </w:r>
      <w:r>
        <w:rPr>
          <w:rFonts w:ascii="宋体" w:hAnsi="宋体"/>
          <w:strike/>
          <w:color w:val="auto"/>
          <w:highlight w:val="none"/>
        </w:rPr>
        <w:t>，</w:t>
      </w:r>
      <w:r>
        <w:rPr>
          <w:rFonts w:hint="eastAsia" w:ascii="宋体" w:hAnsi="宋体"/>
          <w:strike/>
          <w:color w:val="auto"/>
          <w:highlight w:val="none"/>
        </w:rPr>
        <w:t>将自愿接受：通报批评，记录不良行为，列入黑名单，并暂停企业参加建设单位项目招投标活动一年，不予退还投标保证金。</w:t>
      </w:r>
    </w:p>
    <w:p w14:paraId="46658A9E">
      <w:pPr>
        <w:spacing w:line="360" w:lineRule="auto"/>
        <w:ind w:firstLine="315" w:firstLineChars="150"/>
        <w:rPr>
          <w:rFonts w:ascii="宋体" w:hAnsi="宋体"/>
          <w:strike/>
          <w:color w:val="auto"/>
          <w:highlight w:val="none"/>
        </w:rPr>
      </w:pPr>
      <w:r>
        <w:rPr>
          <w:rFonts w:ascii="宋体" w:hAnsi="宋体"/>
          <w:strike/>
          <w:color w:val="auto"/>
          <w:highlight w:val="none"/>
        </w:rPr>
        <w:t>（1）</w:t>
      </w:r>
      <w:r>
        <w:rPr>
          <w:rFonts w:hint="eastAsia" w:ascii="宋体" w:hAnsi="宋体"/>
          <w:strike/>
          <w:color w:val="auto"/>
          <w:highlight w:val="none"/>
        </w:rPr>
        <w:t>投标人在规定的投标有效期内撤销或修改其投标文件；</w:t>
      </w:r>
    </w:p>
    <w:p w14:paraId="228EF353">
      <w:pPr>
        <w:spacing w:line="360" w:lineRule="auto"/>
        <w:ind w:firstLine="315"/>
        <w:rPr>
          <w:rFonts w:ascii="宋体" w:hAnsi="宋体"/>
          <w:strike/>
          <w:color w:val="auto"/>
          <w:highlight w:val="none"/>
        </w:rPr>
      </w:pPr>
      <w:r>
        <w:rPr>
          <w:rFonts w:ascii="宋体" w:hAnsi="宋体"/>
          <w:strike/>
          <w:color w:val="auto"/>
          <w:highlight w:val="none"/>
        </w:rPr>
        <w:t>（</w:t>
      </w:r>
      <w:r>
        <w:rPr>
          <w:rFonts w:hint="eastAsia" w:ascii="宋体" w:hAnsi="宋体"/>
          <w:strike/>
          <w:color w:val="auto"/>
          <w:highlight w:val="none"/>
        </w:rPr>
        <w:t>2</w:t>
      </w:r>
      <w:r>
        <w:rPr>
          <w:rFonts w:ascii="宋体" w:hAnsi="宋体"/>
          <w:strike/>
          <w:color w:val="auto"/>
          <w:highlight w:val="none"/>
        </w:rPr>
        <w:t>）</w:t>
      </w:r>
      <w:r>
        <w:rPr>
          <w:rFonts w:hint="eastAsia" w:ascii="宋体" w:hAnsi="宋体"/>
          <w:strike/>
          <w:color w:val="auto"/>
          <w:highlight w:val="none"/>
        </w:rPr>
        <w:t>中标人在收到中标通知书后，无正当理由拒签合同或未按招标文件规定提交履约担保；</w:t>
      </w:r>
    </w:p>
    <w:p w14:paraId="6FFDEDEA">
      <w:pPr>
        <w:tabs>
          <w:tab w:val="left" w:pos="7711"/>
        </w:tabs>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w:t>
      </w:r>
      <w:r>
        <w:rPr>
          <w:rFonts w:hint="eastAsia" w:ascii="宋体" w:hAnsi="宋体"/>
          <w:strike/>
          <w:color w:val="auto"/>
          <w:highlight w:val="none"/>
          <w:u w:val="single"/>
        </w:rPr>
        <w:t>3</w:t>
      </w:r>
      <w:r>
        <w:rPr>
          <w:rFonts w:ascii="宋体" w:hAnsi="宋体"/>
          <w:strike/>
          <w:color w:val="auto"/>
          <w:highlight w:val="none"/>
          <w:u w:val="single"/>
        </w:rPr>
        <w:t>）</w:t>
      </w:r>
      <w:r>
        <w:rPr>
          <w:rFonts w:hint="eastAsia" w:ascii="宋体" w:hAnsi="宋体"/>
          <w:strike/>
          <w:color w:val="auto"/>
          <w:highlight w:val="none"/>
          <w:u w:val="single"/>
        </w:rPr>
        <w:t>投标人提供了虚假的证明材料；</w:t>
      </w:r>
    </w:p>
    <w:p w14:paraId="6C6F1673">
      <w:pPr>
        <w:tabs>
          <w:tab w:val="left" w:pos="7711"/>
        </w:tabs>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w:t>
      </w:r>
      <w:r>
        <w:rPr>
          <w:rFonts w:hint="eastAsia" w:ascii="宋体" w:hAnsi="宋体"/>
          <w:strike/>
          <w:color w:val="auto"/>
          <w:highlight w:val="none"/>
          <w:u w:val="single"/>
        </w:rPr>
        <w:t>4</w:t>
      </w:r>
      <w:r>
        <w:rPr>
          <w:rFonts w:ascii="宋体" w:hAnsi="宋体"/>
          <w:strike/>
          <w:color w:val="auto"/>
          <w:highlight w:val="none"/>
          <w:u w:val="single"/>
        </w:rPr>
        <w:t>）</w:t>
      </w:r>
      <w:r>
        <w:rPr>
          <w:rFonts w:hint="eastAsia" w:ascii="宋体" w:hAnsi="宋体"/>
          <w:strike/>
          <w:color w:val="auto"/>
          <w:highlight w:val="none"/>
          <w:u w:val="single"/>
        </w:rPr>
        <w:t>中标候选人放弃中标。</w:t>
      </w:r>
    </w:p>
    <w:p w14:paraId="5DC24601">
      <w:pPr>
        <w:pStyle w:val="10"/>
        <w:spacing w:before="240" w:after="240" w:line="360" w:lineRule="auto"/>
        <w:ind w:firstLine="0"/>
        <w:rPr>
          <w:rFonts w:hint="eastAsia" w:ascii="宋体" w:hAnsi="宋体" w:eastAsia="宋体"/>
          <w:b/>
          <w:color w:val="auto"/>
          <w:sz w:val="24"/>
          <w:szCs w:val="24"/>
          <w:highlight w:val="none"/>
        </w:rPr>
      </w:pPr>
      <w:bookmarkStart w:id="324" w:name="_Toc434"/>
      <w:bookmarkEnd w:id="324"/>
      <w:bookmarkStart w:id="325" w:name="_Toc5620318"/>
      <w:bookmarkEnd w:id="325"/>
      <w:bookmarkStart w:id="326" w:name="_Toc5676"/>
      <w:bookmarkEnd w:id="326"/>
      <w:bookmarkStart w:id="327" w:name="_Toc32372"/>
      <w:bookmarkEnd w:id="327"/>
      <w:bookmarkStart w:id="328" w:name="_Toc9252"/>
      <w:bookmarkEnd w:id="328"/>
      <w:r>
        <w:rPr>
          <w:rFonts w:hint="eastAsia" w:ascii="宋体" w:hAnsi="宋体" w:eastAsia="宋体"/>
          <w:b/>
          <w:color w:val="auto"/>
          <w:sz w:val="24"/>
          <w:szCs w:val="24"/>
          <w:highlight w:val="none"/>
        </w:rPr>
        <w:t>3.5 资格审查资料</w:t>
      </w:r>
    </w:p>
    <w:p w14:paraId="4C7D01FB">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3.5.1资格审查资料应包含按照招标公告</w:t>
      </w:r>
      <w:r>
        <w:rPr>
          <w:rFonts w:hint="eastAsia" w:ascii="宋体" w:hAnsi="宋体"/>
          <w:color w:val="auto"/>
          <w:szCs w:val="21"/>
          <w:highlight w:val="none"/>
          <w:u w:val="single"/>
        </w:rPr>
        <w:t>第3条“投标人资格要求”的所有资料。</w:t>
      </w:r>
    </w:p>
    <w:p w14:paraId="7EA27F81">
      <w:pPr>
        <w:spacing w:line="360" w:lineRule="auto"/>
        <w:ind w:firstLine="420"/>
        <w:rPr>
          <w:rFonts w:hint="eastAsia" w:ascii="宋体" w:hAnsi="宋体"/>
          <w:color w:val="auto"/>
          <w:highlight w:val="none"/>
          <w:u w:val="single"/>
        </w:rPr>
      </w:pPr>
      <w:r>
        <w:rPr>
          <w:rFonts w:hint="eastAsia" w:ascii="宋体" w:hAnsi="宋体"/>
          <w:color w:val="auto"/>
          <w:highlight w:val="none"/>
          <w:u w:val="single"/>
        </w:rPr>
        <w:t>3.5.2资审合格后，投标人的资格发生变化而不满足投标人合格条件，在发出中标通知书前，资格问题仍未解决的，招标人将取消其中标资格。</w:t>
      </w:r>
    </w:p>
    <w:p w14:paraId="4D4EB87C">
      <w:pPr>
        <w:pStyle w:val="10"/>
        <w:spacing w:before="240" w:after="240" w:line="360" w:lineRule="auto"/>
        <w:ind w:firstLine="0"/>
        <w:rPr>
          <w:rFonts w:hint="eastAsia" w:ascii="宋体" w:hAnsi="宋体" w:eastAsia="宋体"/>
          <w:b/>
          <w:color w:val="auto"/>
          <w:sz w:val="24"/>
          <w:szCs w:val="24"/>
          <w:highlight w:val="none"/>
        </w:rPr>
      </w:pPr>
      <w:bookmarkStart w:id="329" w:name="_Toc21199"/>
      <w:bookmarkEnd w:id="329"/>
      <w:bookmarkStart w:id="330" w:name="_Toc18147"/>
      <w:bookmarkEnd w:id="330"/>
      <w:bookmarkStart w:id="331" w:name="_Toc10298"/>
      <w:bookmarkEnd w:id="331"/>
      <w:bookmarkStart w:id="332" w:name="_Toc9278"/>
      <w:bookmarkEnd w:id="332"/>
      <w:bookmarkStart w:id="333" w:name="_Toc5620319"/>
      <w:bookmarkEnd w:id="333"/>
      <w:r>
        <w:rPr>
          <w:rFonts w:hint="eastAsia" w:ascii="宋体" w:hAnsi="宋体" w:eastAsia="宋体"/>
          <w:b/>
          <w:color w:val="auto"/>
          <w:sz w:val="24"/>
          <w:szCs w:val="24"/>
          <w:highlight w:val="none"/>
        </w:rPr>
        <w:t>3.6 备选投标方案</w:t>
      </w:r>
    </w:p>
    <w:p w14:paraId="0C24D833">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除投标人须知前附表另有规定外，投标人不得递交备选投标方案。</w:t>
      </w:r>
    </w:p>
    <w:p w14:paraId="307AB945">
      <w:pPr>
        <w:pStyle w:val="10"/>
        <w:spacing w:before="240" w:after="240" w:line="360" w:lineRule="auto"/>
        <w:ind w:firstLine="0"/>
        <w:rPr>
          <w:rFonts w:hint="eastAsia" w:ascii="宋体" w:hAnsi="宋体" w:eastAsia="宋体"/>
          <w:b/>
          <w:color w:val="auto"/>
          <w:sz w:val="24"/>
          <w:szCs w:val="24"/>
          <w:highlight w:val="none"/>
        </w:rPr>
      </w:pPr>
      <w:bookmarkStart w:id="334" w:name="_Toc7280"/>
      <w:bookmarkEnd w:id="334"/>
      <w:bookmarkStart w:id="335" w:name="_Toc4446"/>
      <w:bookmarkEnd w:id="335"/>
      <w:bookmarkStart w:id="336" w:name="_Toc22622"/>
      <w:bookmarkEnd w:id="336"/>
      <w:bookmarkStart w:id="337" w:name="_Toc5620320"/>
      <w:bookmarkEnd w:id="337"/>
      <w:bookmarkStart w:id="338" w:name="_Toc9967"/>
      <w:bookmarkEnd w:id="338"/>
      <w:r>
        <w:rPr>
          <w:rFonts w:hint="eastAsia" w:ascii="宋体" w:hAnsi="宋体" w:eastAsia="宋体"/>
          <w:b/>
          <w:color w:val="auto"/>
          <w:sz w:val="24"/>
          <w:szCs w:val="24"/>
          <w:highlight w:val="none"/>
        </w:rPr>
        <w:t>3.7 投标文件的编制</w:t>
      </w:r>
    </w:p>
    <w:p w14:paraId="49C98965">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3.7.1 投标文件应按第七章“投标文件格式”进行编写，如有必要，可以增加附页，作为投标文件的组成部分。</w:t>
      </w:r>
    </w:p>
    <w:p w14:paraId="214F874E">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3.7.2 投标文件应当对招标文件有关招标范围、投标有效期、工期、质量标准、招标人要求等实质性内容作出响应。</w:t>
      </w:r>
    </w:p>
    <w:p w14:paraId="49F63584">
      <w:pPr>
        <w:spacing w:line="360" w:lineRule="auto"/>
        <w:ind w:firstLine="420"/>
        <w:rPr>
          <w:rFonts w:hint="eastAsia" w:ascii="宋体" w:hAnsi="宋体"/>
          <w:color w:val="auto"/>
          <w:kern w:val="1"/>
          <w:highlight w:val="none"/>
        </w:rPr>
      </w:pPr>
      <w:r>
        <w:rPr>
          <w:rFonts w:hint="eastAsia" w:ascii="宋体" w:hAnsi="宋体"/>
          <w:color w:val="auto"/>
          <w:kern w:val="1"/>
          <w:highlight w:val="none"/>
        </w:rPr>
        <w:t>3.7.3</w:t>
      </w:r>
      <w:r>
        <w:rPr>
          <w:rFonts w:hint="eastAsia" w:ascii="宋体" w:hAnsi="宋体"/>
          <w:color w:val="auto"/>
          <w:kern w:val="1"/>
          <w:highlight w:val="none"/>
          <w:u w:val="single"/>
        </w:rPr>
        <w:t>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w:t>
      </w:r>
      <w:r>
        <w:rPr>
          <w:rFonts w:hint="eastAsia" w:ascii="宋体" w:hAnsi="宋体"/>
          <w:b/>
          <w:color w:val="auto"/>
          <w:kern w:val="1"/>
          <w:highlight w:val="none"/>
          <w:u w:val="single"/>
        </w:rPr>
        <w:t>投标文件中需个人签字或盖章的，应在线下完成后扫描上传。</w:t>
      </w:r>
      <w:r>
        <w:rPr>
          <w:rFonts w:hint="eastAsia" w:ascii="宋体" w:hAnsi="宋体"/>
          <w:color w:val="auto"/>
          <w:kern w:val="1"/>
          <w:highlight w:val="none"/>
          <w:u w:val="single"/>
        </w:rPr>
        <w:t>详细操作按照交易平台关于全流程电子化项目的相关指南进行操作。</w:t>
      </w:r>
      <w:r>
        <w:rPr>
          <w:rFonts w:hint="eastAsia" w:ascii="宋体" w:hAnsi="宋体"/>
          <w:b/>
          <w:bCs/>
          <w:color w:val="auto"/>
          <w:szCs w:val="21"/>
          <w:highlight w:val="none"/>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4438D83A">
      <w:pPr>
        <w:pStyle w:val="9"/>
        <w:spacing w:before="240" w:after="240" w:line="360" w:lineRule="auto"/>
        <w:rPr>
          <w:rFonts w:hint="eastAsia" w:ascii="宋体" w:hAnsi="宋体" w:eastAsia="宋体"/>
          <w:color w:val="auto"/>
          <w:highlight w:val="none"/>
          <w:lang w:val="zh-CN"/>
        </w:rPr>
      </w:pPr>
      <w:bookmarkStart w:id="339" w:name="_Toc8557"/>
      <w:bookmarkEnd w:id="339"/>
      <w:bookmarkStart w:id="340" w:name="_Toc8504"/>
      <w:bookmarkEnd w:id="340"/>
      <w:bookmarkStart w:id="341" w:name="_Toc13096"/>
      <w:bookmarkEnd w:id="341"/>
      <w:bookmarkStart w:id="342" w:name="_Toc3979"/>
      <w:bookmarkEnd w:id="342"/>
      <w:bookmarkStart w:id="343" w:name="_Toc8024"/>
      <w:bookmarkEnd w:id="343"/>
      <w:bookmarkStart w:id="344" w:name="_Toc7325"/>
      <w:bookmarkEnd w:id="344"/>
      <w:bookmarkStart w:id="345" w:name="_Toc443505826"/>
      <w:bookmarkEnd w:id="345"/>
      <w:bookmarkStart w:id="346" w:name="_Toc5620321"/>
      <w:bookmarkEnd w:id="346"/>
      <w:r>
        <w:rPr>
          <w:rFonts w:hint="eastAsia" w:ascii="宋体" w:hAnsi="宋体" w:eastAsia="宋体"/>
          <w:color w:val="auto"/>
          <w:highlight w:val="none"/>
          <w:lang w:val="zh-CN"/>
        </w:rPr>
        <w:t>4. 投标</w:t>
      </w:r>
    </w:p>
    <w:p w14:paraId="04472A39">
      <w:pPr>
        <w:pStyle w:val="10"/>
        <w:spacing w:line="360" w:lineRule="auto"/>
        <w:ind w:firstLine="118"/>
        <w:rPr>
          <w:rFonts w:hint="eastAsia" w:ascii="宋体" w:hAnsi="宋体" w:eastAsia="宋体"/>
          <w:b/>
          <w:bCs/>
          <w:color w:val="auto"/>
          <w:sz w:val="24"/>
          <w:szCs w:val="24"/>
          <w:highlight w:val="none"/>
        </w:rPr>
      </w:pPr>
      <w:bookmarkStart w:id="347" w:name="_Toc16545"/>
      <w:bookmarkEnd w:id="347"/>
      <w:bookmarkStart w:id="348" w:name="_Toc357089537"/>
      <w:bookmarkEnd w:id="348"/>
      <w:bookmarkStart w:id="349" w:name="_Toc11014"/>
      <w:bookmarkEnd w:id="349"/>
      <w:bookmarkStart w:id="350" w:name="_Toc21485"/>
      <w:bookmarkEnd w:id="350"/>
      <w:bookmarkStart w:id="351" w:name="_Toc362816506"/>
      <w:bookmarkEnd w:id="351"/>
      <w:bookmarkStart w:id="352" w:name="_Toc5620322"/>
      <w:bookmarkEnd w:id="352"/>
      <w:bookmarkStart w:id="353" w:name="_Toc11195"/>
      <w:bookmarkEnd w:id="353"/>
      <w:r>
        <w:rPr>
          <w:rFonts w:hint="eastAsia" w:ascii="宋体" w:hAnsi="宋体" w:eastAsia="宋体"/>
          <w:b/>
          <w:bCs/>
          <w:color w:val="auto"/>
          <w:sz w:val="24"/>
          <w:szCs w:val="24"/>
          <w:highlight w:val="none"/>
        </w:rPr>
        <w:t>4.1 投标文件的密封和标记</w:t>
      </w:r>
    </w:p>
    <w:p w14:paraId="7C72D69E">
      <w:pPr>
        <w:spacing w:line="360" w:lineRule="auto"/>
        <w:ind w:firstLine="420"/>
        <w:rPr>
          <w:rFonts w:ascii="宋体" w:hAnsi="宋体"/>
          <w:color w:val="auto"/>
          <w:kern w:val="1"/>
          <w:highlight w:val="none"/>
        </w:rPr>
      </w:pPr>
      <w:r>
        <w:rPr>
          <w:rFonts w:ascii="宋体" w:hAnsi="宋体"/>
          <w:color w:val="auto"/>
          <w:kern w:val="1"/>
          <w:highlight w:val="none"/>
        </w:rPr>
        <w:t xml:space="preserve">4.1.1 </w:t>
      </w:r>
      <w:r>
        <w:rPr>
          <w:rFonts w:hint="eastAsia" w:ascii="宋体" w:hAnsi="宋体"/>
          <w:color w:val="auto"/>
          <w:kern w:val="1"/>
          <w:highlight w:val="none"/>
        </w:rPr>
        <w:t>投标人应当按照招标文件和电子招标投标交易平台的要求加密投标文件，具体要求见投标人须知前附表。</w:t>
      </w:r>
    </w:p>
    <w:p w14:paraId="37E72496">
      <w:pPr>
        <w:spacing w:line="360" w:lineRule="auto"/>
        <w:ind w:firstLine="420"/>
        <w:rPr>
          <w:rFonts w:ascii="宋体" w:hAnsi="宋体"/>
          <w:color w:val="auto"/>
          <w:kern w:val="1"/>
          <w:highlight w:val="none"/>
          <w:u w:val="single"/>
        </w:rPr>
      </w:pPr>
      <w:r>
        <w:rPr>
          <w:rFonts w:ascii="宋体" w:hAnsi="宋体"/>
          <w:color w:val="auto"/>
          <w:kern w:val="1"/>
          <w:highlight w:val="none"/>
          <w:u w:val="single"/>
        </w:rPr>
        <w:t xml:space="preserve">4.1.2 </w:t>
      </w:r>
      <w:r>
        <w:rPr>
          <w:rFonts w:hint="eastAsia" w:ascii="宋体" w:hAnsi="宋体"/>
          <w:color w:val="auto"/>
          <w:kern w:val="1"/>
          <w:highlight w:val="none"/>
          <w:u w:val="single"/>
        </w:rPr>
        <w:t>如有提交投标文件备用光盘或U盘的，封套上应写明的内容见投标人须知前附表。</w:t>
      </w:r>
    </w:p>
    <w:p w14:paraId="2763C3EF">
      <w:pPr>
        <w:spacing w:line="360" w:lineRule="auto"/>
        <w:ind w:firstLine="420"/>
        <w:rPr>
          <w:rFonts w:ascii="宋体" w:hAnsi="宋体"/>
          <w:color w:val="auto"/>
          <w:kern w:val="1"/>
          <w:highlight w:val="none"/>
          <w:u w:val="single"/>
        </w:rPr>
      </w:pPr>
      <w:r>
        <w:rPr>
          <w:rFonts w:ascii="宋体" w:hAnsi="宋体"/>
          <w:color w:val="auto"/>
          <w:kern w:val="1"/>
          <w:highlight w:val="none"/>
          <w:u w:val="single"/>
        </w:rPr>
        <w:t>4.1.3投标人在投标截止期后逾期或未在指定地点递交备用</w:t>
      </w:r>
      <w:r>
        <w:rPr>
          <w:rFonts w:hint="eastAsia" w:ascii="宋体" w:hAnsi="宋体"/>
          <w:color w:val="auto"/>
          <w:kern w:val="1"/>
          <w:highlight w:val="none"/>
          <w:u w:val="single"/>
        </w:rPr>
        <w:t>光盘或U盘</w:t>
      </w:r>
      <w:r>
        <w:rPr>
          <w:rFonts w:ascii="宋体" w:hAnsi="宋体"/>
          <w:color w:val="auto"/>
          <w:kern w:val="1"/>
          <w:highlight w:val="none"/>
          <w:u w:val="single"/>
        </w:rPr>
        <w:t>的，或投标人递交的备用</w:t>
      </w:r>
      <w:r>
        <w:rPr>
          <w:rFonts w:hint="eastAsia" w:ascii="宋体" w:hAnsi="宋体"/>
          <w:color w:val="auto"/>
          <w:kern w:val="1"/>
          <w:highlight w:val="none"/>
          <w:u w:val="single"/>
        </w:rPr>
        <w:t>光盘或U盘</w:t>
      </w:r>
      <w:r>
        <w:rPr>
          <w:rFonts w:ascii="宋体" w:hAnsi="宋体"/>
          <w:color w:val="auto"/>
          <w:kern w:val="1"/>
          <w:highlight w:val="none"/>
          <w:u w:val="single"/>
        </w:rPr>
        <w:t>未按招标文件要求密封或未在密封处盖章的，或投标人</w:t>
      </w:r>
      <w:r>
        <w:rPr>
          <w:rFonts w:hint="eastAsia" w:ascii="宋体" w:hAnsi="宋体"/>
          <w:color w:val="auto"/>
          <w:kern w:val="1"/>
          <w:highlight w:val="none"/>
          <w:u w:val="single"/>
        </w:rPr>
        <w:t>代表未凭法定代表人证明书原件、授权委托书原件（仅限于非法定代表人）、本人身份证原件按要求递交备用光盘或U盘的，招标人将予以拒收。</w:t>
      </w:r>
    </w:p>
    <w:p w14:paraId="6F3D03D1">
      <w:pPr>
        <w:pStyle w:val="10"/>
        <w:spacing w:line="360" w:lineRule="auto"/>
        <w:ind w:firstLine="118"/>
        <w:rPr>
          <w:rFonts w:hint="eastAsia" w:ascii="宋体" w:hAnsi="宋体" w:eastAsia="宋体"/>
          <w:b/>
          <w:bCs/>
          <w:color w:val="auto"/>
          <w:sz w:val="24"/>
          <w:szCs w:val="24"/>
          <w:highlight w:val="none"/>
        </w:rPr>
      </w:pPr>
      <w:bookmarkStart w:id="354" w:name="_Toc17492"/>
      <w:bookmarkEnd w:id="354"/>
      <w:bookmarkStart w:id="355" w:name="_Toc5620323"/>
      <w:bookmarkEnd w:id="355"/>
      <w:bookmarkStart w:id="356" w:name="_Toc24631"/>
      <w:bookmarkEnd w:id="356"/>
      <w:bookmarkStart w:id="357" w:name="_Toc7472"/>
      <w:bookmarkEnd w:id="357"/>
      <w:bookmarkStart w:id="358" w:name="_Toc24238"/>
      <w:bookmarkEnd w:id="358"/>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p>
    <w:p w14:paraId="4CDD4146">
      <w:pPr>
        <w:spacing w:line="360" w:lineRule="auto"/>
        <w:ind w:firstLine="420"/>
        <w:rPr>
          <w:rFonts w:ascii="宋体" w:hAnsi="宋体"/>
          <w:color w:val="auto"/>
          <w:kern w:val="1"/>
          <w:highlight w:val="none"/>
        </w:rPr>
      </w:pPr>
      <w:r>
        <w:rPr>
          <w:rFonts w:ascii="宋体" w:hAnsi="宋体"/>
          <w:color w:val="auto"/>
          <w:kern w:val="1"/>
          <w:highlight w:val="none"/>
        </w:rPr>
        <w:t xml:space="preserve">4.2.1 </w:t>
      </w:r>
      <w:r>
        <w:rPr>
          <w:rFonts w:hint="eastAsia" w:ascii="宋体" w:hAnsi="宋体"/>
          <w:color w:val="auto"/>
          <w:kern w:val="1"/>
          <w:highlight w:val="none"/>
        </w:rPr>
        <w:t>投标人应在投标人须知前附表规定的投标截止时间前递交投标文件。</w:t>
      </w:r>
    </w:p>
    <w:p w14:paraId="0597FC7B">
      <w:pPr>
        <w:spacing w:line="360" w:lineRule="auto"/>
        <w:ind w:firstLine="420"/>
        <w:rPr>
          <w:rFonts w:ascii="宋体" w:hAnsi="宋体"/>
          <w:color w:val="auto"/>
          <w:kern w:val="1"/>
          <w:highlight w:val="none"/>
          <w:u w:val="single"/>
        </w:rPr>
      </w:pPr>
      <w:r>
        <w:rPr>
          <w:rFonts w:ascii="宋体" w:hAnsi="宋体"/>
          <w:color w:val="auto"/>
          <w:kern w:val="1"/>
          <w:highlight w:val="none"/>
          <w:u w:val="single"/>
        </w:rPr>
        <w:t>4.2.2投标人通过</w:t>
      </w:r>
      <w:r>
        <w:rPr>
          <w:rFonts w:ascii="宋体" w:hAnsi="宋体" w:eastAsia="宋体"/>
          <w:color w:val="auto"/>
          <w:kern w:val="1"/>
          <w:highlight w:val="none"/>
          <w:u w:val="single"/>
        </w:rPr>
        <w:t>下载招标文件的</w:t>
      </w:r>
      <w:r>
        <w:rPr>
          <w:rFonts w:hint="eastAsia" w:ascii="宋体" w:hAnsi="宋体" w:eastAsia="宋体"/>
          <w:color w:val="auto"/>
          <w:kern w:val="1"/>
          <w:highlight w:val="none"/>
          <w:u w:val="single"/>
        </w:rPr>
        <w:t>广州交易集团有限公司（广州公共资源交易中心）电子招标投标交易平台递交电子投标文件。</w:t>
      </w:r>
    </w:p>
    <w:p w14:paraId="38D7B120">
      <w:pPr>
        <w:spacing w:line="360" w:lineRule="auto"/>
        <w:ind w:firstLine="420"/>
        <w:rPr>
          <w:rFonts w:ascii="宋体" w:hAnsi="宋体"/>
          <w:color w:val="auto"/>
          <w:kern w:val="1"/>
          <w:highlight w:val="none"/>
        </w:rPr>
      </w:pPr>
      <w:r>
        <w:rPr>
          <w:rFonts w:ascii="宋体" w:hAnsi="宋体"/>
          <w:color w:val="auto"/>
          <w:kern w:val="1"/>
          <w:highlight w:val="none"/>
        </w:rPr>
        <w:t>4.2.3投标人完成电子投标文件上传后，电子招标投标交易平台即时向投标人发出递交回执通知。递交时间以递交回执通知载明的传输完成时间为准。</w:t>
      </w:r>
    </w:p>
    <w:p w14:paraId="03642AD4">
      <w:pPr>
        <w:spacing w:line="360" w:lineRule="auto"/>
        <w:ind w:firstLine="420"/>
        <w:rPr>
          <w:rFonts w:ascii="宋体" w:hAnsi="宋体"/>
          <w:color w:val="auto"/>
          <w:kern w:val="1"/>
          <w:highlight w:val="none"/>
        </w:rPr>
      </w:pPr>
      <w:r>
        <w:rPr>
          <w:rFonts w:ascii="宋体" w:hAnsi="宋体"/>
          <w:color w:val="auto"/>
          <w:kern w:val="1"/>
          <w:highlight w:val="none"/>
        </w:rPr>
        <w:t>4.2.4</w:t>
      </w:r>
      <w:r>
        <w:rPr>
          <w:rFonts w:hint="eastAsia" w:ascii="宋体" w:hAnsi="宋体"/>
          <w:color w:val="auto"/>
          <w:kern w:val="1"/>
          <w:highlight w:val="none"/>
        </w:rPr>
        <w:t>到投标截止时间止，若电子招标投标交易平台收到的投标文件少于</w:t>
      </w:r>
      <w:r>
        <w:rPr>
          <w:rFonts w:ascii="宋体" w:hAnsi="宋体"/>
          <w:color w:val="auto"/>
          <w:kern w:val="1"/>
          <w:highlight w:val="none"/>
        </w:rPr>
        <w:t>3家的，本项目招标失败，将依法重新招标。</w:t>
      </w:r>
    </w:p>
    <w:p w14:paraId="536BF090">
      <w:pPr>
        <w:spacing w:line="360" w:lineRule="auto"/>
        <w:ind w:firstLine="420"/>
        <w:rPr>
          <w:rFonts w:ascii="宋体" w:hAnsi="宋体"/>
          <w:color w:val="auto"/>
          <w:kern w:val="1"/>
          <w:highlight w:val="none"/>
        </w:rPr>
      </w:pPr>
      <w:r>
        <w:rPr>
          <w:rFonts w:ascii="宋体" w:hAnsi="宋体"/>
          <w:color w:val="auto"/>
          <w:kern w:val="1"/>
          <w:highlight w:val="none"/>
        </w:rPr>
        <w:t xml:space="preserve">4.2.5 </w:t>
      </w:r>
      <w:r>
        <w:rPr>
          <w:rFonts w:hint="eastAsia" w:ascii="宋体" w:hAnsi="宋体"/>
          <w:color w:val="auto"/>
          <w:kern w:val="1"/>
          <w:highlight w:val="none"/>
        </w:rPr>
        <w:t>逾期送达的投标文件，电子招标投标交易平台将予以拒收。</w:t>
      </w:r>
    </w:p>
    <w:p w14:paraId="515881BB">
      <w:pPr>
        <w:pStyle w:val="10"/>
        <w:spacing w:line="360" w:lineRule="auto"/>
        <w:ind w:firstLine="118"/>
        <w:rPr>
          <w:rFonts w:hint="eastAsia" w:ascii="宋体" w:hAnsi="宋体" w:eastAsia="宋体"/>
          <w:b/>
          <w:bCs/>
          <w:color w:val="auto"/>
          <w:sz w:val="24"/>
          <w:szCs w:val="24"/>
          <w:highlight w:val="none"/>
        </w:rPr>
      </w:pPr>
      <w:bookmarkStart w:id="359" w:name="_Toc20002"/>
      <w:bookmarkEnd w:id="359"/>
      <w:bookmarkStart w:id="360" w:name="_Toc17408"/>
      <w:bookmarkEnd w:id="360"/>
      <w:bookmarkStart w:id="361" w:name="_Toc17582"/>
      <w:bookmarkEnd w:id="361"/>
      <w:bookmarkStart w:id="362" w:name="_Toc357089539"/>
      <w:bookmarkEnd w:id="362"/>
      <w:bookmarkStart w:id="363" w:name="_Toc5620324"/>
      <w:bookmarkEnd w:id="363"/>
      <w:bookmarkStart w:id="364" w:name="_Toc362816508"/>
      <w:bookmarkEnd w:id="364"/>
      <w:bookmarkStart w:id="365" w:name="_Toc23597"/>
      <w:bookmarkEnd w:id="365"/>
      <w:r>
        <w:rPr>
          <w:rFonts w:hint="eastAsia" w:ascii="宋体" w:hAnsi="宋体" w:eastAsia="宋体"/>
          <w:b/>
          <w:bCs/>
          <w:color w:val="auto"/>
          <w:sz w:val="24"/>
          <w:szCs w:val="24"/>
          <w:highlight w:val="none"/>
        </w:rPr>
        <w:t>4.3 投标文件的修改与撤回</w:t>
      </w:r>
    </w:p>
    <w:p w14:paraId="461AB805">
      <w:pPr>
        <w:spacing w:line="360" w:lineRule="auto"/>
        <w:ind w:firstLine="420"/>
        <w:rPr>
          <w:rFonts w:hint="eastAsia" w:ascii="宋体" w:hAnsi="宋体"/>
          <w:color w:val="auto"/>
          <w:kern w:val="1"/>
          <w:highlight w:val="none"/>
        </w:rPr>
      </w:pPr>
      <w:r>
        <w:rPr>
          <w:rFonts w:hint="eastAsia" w:ascii="宋体" w:hAnsi="宋体"/>
          <w:color w:val="auto"/>
          <w:kern w:val="1"/>
          <w:highlight w:val="none"/>
        </w:rPr>
        <w:t>4.3.1 在投标人须知前附表第</w:t>
      </w:r>
      <w:r>
        <w:rPr>
          <w:rFonts w:ascii="宋体" w:hAnsi="宋体"/>
          <w:color w:val="auto"/>
          <w:kern w:val="1"/>
          <w:highlight w:val="none"/>
        </w:rPr>
        <w:t>4.2.1</w:t>
      </w:r>
      <w:r>
        <w:rPr>
          <w:rFonts w:hint="eastAsia" w:ascii="宋体" w:hAnsi="宋体"/>
          <w:color w:val="auto"/>
          <w:kern w:val="1"/>
          <w:highlight w:val="none"/>
        </w:rPr>
        <w:t>项规定的投标截止时间前，投标人可以修改或撤回已递交的投标文件，但需在交易平台发出撤回通知。</w:t>
      </w:r>
    </w:p>
    <w:p w14:paraId="6ACDB936">
      <w:pPr>
        <w:spacing w:line="360" w:lineRule="auto"/>
        <w:ind w:firstLine="420"/>
        <w:rPr>
          <w:rFonts w:hint="eastAsia" w:ascii="宋体" w:hAnsi="宋体"/>
          <w:color w:val="auto"/>
          <w:kern w:val="1"/>
          <w:highlight w:val="none"/>
        </w:rPr>
      </w:pPr>
      <w:r>
        <w:rPr>
          <w:rFonts w:hint="eastAsia" w:ascii="宋体" w:hAnsi="宋体"/>
          <w:color w:val="auto"/>
          <w:kern w:val="1"/>
          <w:highlight w:val="none"/>
        </w:rPr>
        <w:t>4.3.2 投标人修改或撤回已递交投标文件的通知，应按照本章第 3.7.3项的要求加盖电子印章。电子招标投标交易平台收到通知后，即时向投标人发出确认回执通知。</w:t>
      </w:r>
    </w:p>
    <w:p w14:paraId="70A471FA">
      <w:pPr>
        <w:spacing w:line="360" w:lineRule="auto"/>
        <w:ind w:firstLine="420"/>
        <w:rPr>
          <w:rFonts w:hint="eastAsia" w:ascii="宋体" w:hAnsi="宋体"/>
          <w:color w:val="auto"/>
          <w:kern w:val="1"/>
          <w:highlight w:val="none"/>
        </w:rPr>
      </w:pPr>
      <w:r>
        <w:rPr>
          <w:rFonts w:hint="eastAsia" w:ascii="宋体" w:hAnsi="宋体"/>
          <w:color w:val="auto"/>
          <w:kern w:val="1"/>
          <w:highlight w:val="none"/>
        </w:rPr>
        <w:t>4</w:t>
      </w:r>
      <w:r>
        <w:rPr>
          <w:rFonts w:ascii="宋体" w:hAnsi="宋体"/>
          <w:color w:val="auto"/>
          <w:kern w:val="1"/>
          <w:highlight w:val="none"/>
        </w:rPr>
        <w:t>.3.</w:t>
      </w:r>
      <w:r>
        <w:rPr>
          <w:rFonts w:hint="eastAsia" w:ascii="宋体" w:hAnsi="宋体"/>
          <w:color w:val="auto"/>
          <w:kern w:val="1"/>
          <w:highlight w:val="none"/>
          <w:lang w:val="en-US" w:eastAsia="zh-CN"/>
        </w:rPr>
        <w:t>3</w:t>
      </w:r>
      <w:r>
        <w:rPr>
          <w:rFonts w:ascii="宋体" w:hAnsi="宋体"/>
          <w:color w:val="auto"/>
          <w:kern w:val="1"/>
          <w:highlight w:val="none"/>
        </w:rPr>
        <w:t xml:space="preserve"> </w:t>
      </w:r>
      <w:r>
        <w:rPr>
          <w:rFonts w:hint="eastAsia" w:ascii="宋体" w:hAnsi="宋体"/>
          <w:color w:val="auto"/>
          <w:szCs w:val="21"/>
          <w:highlight w:val="none"/>
        </w:rPr>
        <w:t>修改的内容为投标文件的组成部分，修改的投标文件应按照本章第 3 条、第 4 条的规定进行编制和递交。</w:t>
      </w:r>
    </w:p>
    <w:p w14:paraId="1DB16807">
      <w:pPr>
        <w:spacing w:line="360" w:lineRule="auto"/>
        <w:ind w:firstLine="420"/>
        <w:rPr>
          <w:rFonts w:hint="eastAsia" w:ascii="宋体" w:hAnsi="宋体"/>
          <w:color w:val="auto"/>
          <w:kern w:val="1"/>
          <w:highlight w:val="none"/>
          <w:u w:val="single"/>
        </w:rPr>
      </w:pPr>
      <w:r>
        <w:rPr>
          <w:rFonts w:hint="eastAsia" w:ascii="宋体" w:hAnsi="宋体"/>
          <w:color w:val="auto"/>
          <w:kern w:val="1"/>
          <w:highlight w:val="none"/>
          <w:u w:val="single"/>
        </w:rPr>
        <w:t>4.3.</w:t>
      </w:r>
      <w:r>
        <w:rPr>
          <w:rFonts w:hint="eastAsia" w:ascii="宋体" w:hAnsi="宋体"/>
          <w:color w:val="auto"/>
          <w:kern w:val="1"/>
          <w:highlight w:val="none"/>
          <w:u w:val="single"/>
          <w:lang w:val="en-US" w:eastAsia="zh-CN"/>
        </w:rPr>
        <w:t>4</w:t>
      </w:r>
      <w:r>
        <w:rPr>
          <w:rFonts w:hint="eastAsia" w:ascii="宋体" w:hAnsi="宋体"/>
          <w:color w:val="auto"/>
          <w:kern w:val="1"/>
          <w:highlight w:val="none"/>
          <w:u w:val="single"/>
        </w:rPr>
        <w:t>在投标截止后，投标人在投标文件格式中规定的有效期终止日前，投标人不能撤回投标文件，否则招标人有权就其撤回行为报告政府主管部门载入不良信用记录。</w:t>
      </w:r>
    </w:p>
    <w:p w14:paraId="661A2176">
      <w:pPr>
        <w:pStyle w:val="9"/>
        <w:spacing w:before="240" w:after="240" w:line="360" w:lineRule="auto"/>
        <w:rPr>
          <w:rFonts w:hint="eastAsia" w:ascii="宋体" w:hAnsi="宋体" w:eastAsia="宋体"/>
          <w:color w:val="auto"/>
          <w:highlight w:val="none"/>
          <w:lang w:val="zh-CN"/>
        </w:rPr>
      </w:pPr>
      <w:bookmarkStart w:id="366" w:name="_Toc5927"/>
      <w:bookmarkEnd w:id="366"/>
      <w:bookmarkStart w:id="367" w:name="_Toc7909"/>
      <w:bookmarkEnd w:id="367"/>
      <w:bookmarkStart w:id="368" w:name="_Toc31840"/>
      <w:bookmarkEnd w:id="368"/>
      <w:bookmarkStart w:id="369" w:name="_Toc28748"/>
      <w:bookmarkEnd w:id="369"/>
      <w:bookmarkStart w:id="370" w:name="_Toc16809"/>
      <w:bookmarkEnd w:id="370"/>
      <w:bookmarkStart w:id="371" w:name="_Toc3600"/>
      <w:bookmarkEnd w:id="371"/>
      <w:bookmarkStart w:id="372" w:name="_Toc443505828"/>
      <w:bookmarkEnd w:id="372"/>
      <w:r>
        <w:rPr>
          <w:rFonts w:hint="eastAsia" w:ascii="宋体" w:hAnsi="宋体" w:eastAsia="宋体"/>
          <w:color w:val="auto"/>
          <w:highlight w:val="none"/>
          <w:lang w:val="zh-CN"/>
        </w:rPr>
        <w:t>5. 开标</w:t>
      </w:r>
    </w:p>
    <w:p w14:paraId="051BEFEC">
      <w:pPr>
        <w:pStyle w:val="10"/>
        <w:spacing w:line="360" w:lineRule="auto"/>
        <w:ind w:firstLine="118"/>
        <w:rPr>
          <w:rFonts w:hint="eastAsia" w:ascii="宋体" w:hAnsi="宋体" w:eastAsia="宋体"/>
          <w:b/>
          <w:bCs/>
          <w:color w:val="auto"/>
          <w:sz w:val="24"/>
          <w:szCs w:val="24"/>
          <w:highlight w:val="none"/>
        </w:rPr>
      </w:pPr>
      <w:bookmarkStart w:id="373" w:name="_Toc21830"/>
      <w:bookmarkEnd w:id="373"/>
      <w:bookmarkStart w:id="374" w:name="_Toc4152"/>
      <w:bookmarkEnd w:id="374"/>
      <w:bookmarkStart w:id="375" w:name="_Toc7852"/>
      <w:bookmarkEnd w:id="375"/>
      <w:bookmarkStart w:id="376" w:name="_Toc10326"/>
      <w:bookmarkEnd w:id="376"/>
      <w:r>
        <w:rPr>
          <w:rFonts w:hint="eastAsia" w:ascii="宋体" w:hAnsi="宋体" w:eastAsia="宋体"/>
          <w:b/>
          <w:bCs/>
          <w:color w:val="auto"/>
          <w:sz w:val="24"/>
          <w:szCs w:val="24"/>
          <w:highlight w:val="none"/>
        </w:rPr>
        <w:t>5.1 开标时间和地点</w:t>
      </w:r>
    </w:p>
    <w:p w14:paraId="76157E25">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招标人在本章第 4.2.1 项规定的投标截止时间（开标时间）,通过电子招标投标交易平台公 开开标。</w:t>
      </w:r>
    </w:p>
    <w:p w14:paraId="5150E82B">
      <w:pPr>
        <w:pStyle w:val="10"/>
        <w:spacing w:line="360" w:lineRule="auto"/>
        <w:ind w:firstLine="118"/>
        <w:rPr>
          <w:rFonts w:hint="eastAsia" w:ascii="宋体" w:hAnsi="宋体" w:eastAsia="宋体"/>
          <w:b/>
          <w:bCs/>
          <w:color w:val="auto"/>
          <w:sz w:val="24"/>
          <w:szCs w:val="24"/>
          <w:highlight w:val="none"/>
        </w:rPr>
      </w:pPr>
      <w:bookmarkStart w:id="377" w:name="_Toc32424"/>
      <w:bookmarkEnd w:id="377"/>
      <w:bookmarkStart w:id="378" w:name="_Toc2097"/>
      <w:bookmarkEnd w:id="378"/>
      <w:bookmarkStart w:id="379" w:name="_Toc4452"/>
      <w:bookmarkEnd w:id="379"/>
      <w:r>
        <w:rPr>
          <w:rFonts w:hint="eastAsia" w:ascii="宋体" w:hAnsi="宋体" w:eastAsia="宋体"/>
          <w:b/>
          <w:bCs/>
          <w:color w:val="auto"/>
          <w:sz w:val="24"/>
          <w:szCs w:val="24"/>
          <w:highlight w:val="none"/>
        </w:rPr>
        <w:t>5.2 开标程序</w:t>
      </w:r>
    </w:p>
    <w:p w14:paraId="1E774106">
      <w:pPr>
        <w:spacing w:line="360" w:lineRule="auto"/>
        <w:ind w:firstLine="420"/>
        <w:rPr>
          <w:rFonts w:ascii="宋体" w:hAnsi="宋体"/>
          <w:color w:val="auto"/>
          <w:kern w:val="1"/>
          <w:szCs w:val="21"/>
          <w:highlight w:val="none"/>
          <w:u w:val="single"/>
        </w:rPr>
      </w:pPr>
      <w:r>
        <w:rPr>
          <w:rFonts w:ascii="宋体" w:hAnsi="宋体"/>
          <w:color w:val="auto"/>
          <w:kern w:val="1"/>
          <w:szCs w:val="21"/>
          <w:highlight w:val="none"/>
          <w:u w:val="single"/>
        </w:rPr>
        <w:t xml:space="preserve">5.2.1 </w:t>
      </w:r>
      <w:r>
        <w:rPr>
          <w:rFonts w:hint="eastAsia" w:ascii="宋体" w:hAnsi="宋体"/>
          <w:color w:val="auto"/>
          <w:kern w:val="1"/>
          <w:szCs w:val="21"/>
          <w:highlight w:val="none"/>
          <w:u w:val="single"/>
        </w:rPr>
        <w:t>招标人按投标须知前附表所规定的时间和地点公开开标。截标后，</w:t>
      </w:r>
      <w:r>
        <w:rPr>
          <w:rFonts w:hint="eastAsia" w:ascii="宋体" w:hAnsi="宋体"/>
          <w:color w:val="auto"/>
          <w:kern w:val="1"/>
          <w:highlight w:val="none"/>
          <w:u w:val="single"/>
        </w:rPr>
        <w:t>开标开始时间因故推迟的</w:t>
      </w:r>
      <w:r>
        <w:rPr>
          <w:rFonts w:hint="eastAsia" w:ascii="宋体" w:hAnsi="宋体"/>
          <w:color w:val="auto"/>
          <w:kern w:val="1"/>
          <w:szCs w:val="21"/>
          <w:highlight w:val="none"/>
          <w:u w:val="single"/>
        </w:rPr>
        <w:t>，相关评标信息仍以原递交投标文件截止时间的信息为准。</w:t>
      </w:r>
    </w:p>
    <w:p w14:paraId="30C4DA21">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5.2.2投标文件备用光盘或U盘的读取按投标须知前附表“10 电子招标投标”的规定执行。</w:t>
      </w:r>
    </w:p>
    <w:p w14:paraId="7AC784F9">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5.2.3</w:t>
      </w:r>
      <w:r>
        <w:rPr>
          <w:rFonts w:hint="eastAsia" w:ascii="宋体" w:hAnsi="宋体"/>
          <w:color w:val="auto"/>
          <w:szCs w:val="21"/>
          <w:highlight w:val="none"/>
          <w:u w:val="single"/>
        </w:rPr>
        <w:t>开标</w:t>
      </w:r>
      <w:r>
        <w:rPr>
          <w:rFonts w:ascii="宋体" w:hAnsi="宋体"/>
          <w:color w:val="auto"/>
          <w:szCs w:val="21"/>
          <w:highlight w:val="none"/>
          <w:u w:val="single"/>
        </w:rPr>
        <w:t>方式</w:t>
      </w:r>
      <w:r>
        <w:rPr>
          <w:rFonts w:hint="eastAsia" w:ascii="宋体" w:hAnsi="宋体"/>
          <w:color w:val="auto"/>
          <w:szCs w:val="21"/>
          <w:highlight w:val="none"/>
          <w:u w:val="single"/>
        </w:rPr>
        <w:t>采用</w:t>
      </w:r>
      <w:r>
        <w:rPr>
          <w:rFonts w:ascii="宋体" w:hAnsi="宋体"/>
          <w:color w:val="auto"/>
          <w:szCs w:val="21"/>
          <w:highlight w:val="none"/>
          <w:u w:val="single"/>
        </w:rPr>
        <w:t>电子</w:t>
      </w:r>
      <w:r>
        <w:rPr>
          <w:rFonts w:hint="eastAsia" w:ascii="宋体" w:hAnsi="宋体"/>
          <w:color w:val="auto"/>
          <w:szCs w:val="21"/>
          <w:highlight w:val="none"/>
          <w:u w:val="single"/>
        </w:rPr>
        <w:t>开标和现场</w:t>
      </w:r>
      <w:r>
        <w:rPr>
          <w:rFonts w:ascii="宋体" w:hAnsi="宋体"/>
          <w:color w:val="auto"/>
          <w:szCs w:val="21"/>
          <w:highlight w:val="none"/>
          <w:u w:val="single"/>
        </w:rPr>
        <w:t>开标</w:t>
      </w:r>
      <w:r>
        <w:rPr>
          <w:rFonts w:hint="eastAsia" w:ascii="宋体" w:hAnsi="宋体"/>
          <w:color w:val="auto"/>
          <w:szCs w:val="21"/>
          <w:highlight w:val="none"/>
          <w:u w:val="single"/>
        </w:rPr>
        <w:t>两种</w:t>
      </w:r>
      <w:r>
        <w:rPr>
          <w:rFonts w:ascii="宋体" w:hAnsi="宋体"/>
          <w:color w:val="auto"/>
          <w:szCs w:val="21"/>
          <w:highlight w:val="none"/>
          <w:u w:val="single"/>
        </w:rPr>
        <w:t>模式</w:t>
      </w:r>
      <w:r>
        <w:rPr>
          <w:rFonts w:hint="eastAsia" w:ascii="宋体" w:hAnsi="宋体"/>
          <w:color w:val="auto"/>
          <w:szCs w:val="21"/>
          <w:highlight w:val="none"/>
          <w:u w:val="single"/>
        </w:rPr>
        <w:t>，</w:t>
      </w:r>
      <w:r>
        <w:rPr>
          <w:rFonts w:hint="eastAsia" w:ascii="宋体" w:hAnsi="宋体"/>
          <w:color w:val="auto"/>
          <w:kern w:val="1"/>
          <w:szCs w:val="21"/>
          <w:highlight w:val="none"/>
          <w:u w:val="single"/>
        </w:rPr>
        <w:t>投标人可选择在开标室参加开标或准时在线参加开标，也可不参加开标。参加在线开标的投标人登录交易平台实时查看开标、唱标情况。交易平台生成开标记录并向社会公众公布。</w:t>
      </w:r>
    </w:p>
    <w:p w14:paraId="70E2C431">
      <w:pPr>
        <w:spacing w:line="360" w:lineRule="auto"/>
        <w:ind w:firstLine="420"/>
        <w:rPr>
          <w:rFonts w:ascii="宋体" w:hAnsi="宋体"/>
          <w:color w:val="auto"/>
          <w:kern w:val="1"/>
          <w:szCs w:val="21"/>
          <w:highlight w:val="none"/>
          <w:u w:val="single"/>
        </w:rPr>
      </w:pPr>
      <w:r>
        <w:rPr>
          <w:rFonts w:ascii="宋体" w:hAnsi="宋体"/>
          <w:color w:val="auto"/>
          <w:kern w:val="1"/>
          <w:szCs w:val="21"/>
          <w:highlight w:val="none"/>
          <w:u w:val="single"/>
        </w:rPr>
        <w:t>5.2.</w:t>
      </w:r>
      <w:r>
        <w:rPr>
          <w:rFonts w:hint="eastAsia" w:ascii="宋体" w:hAnsi="宋体"/>
          <w:color w:val="auto"/>
          <w:kern w:val="1"/>
          <w:szCs w:val="21"/>
          <w:highlight w:val="none"/>
          <w:u w:val="single"/>
        </w:rPr>
        <w:t>4</w:t>
      </w:r>
      <w:r>
        <w:rPr>
          <w:rFonts w:ascii="宋体" w:hAnsi="宋体"/>
          <w:color w:val="auto"/>
          <w:kern w:val="1"/>
          <w:szCs w:val="21"/>
          <w:highlight w:val="none"/>
          <w:u w:val="single"/>
        </w:rPr>
        <w:t>开标由招标人或委托招标代理单位主持。</w:t>
      </w:r>
    </w:p>
    <w:p w14:paraId="3B683013">
      <w:pPr>
        <w:spacing w:line="360" w:lineRule="auto"/>
        <w:ind w:firstLine="458"/>
        <w:rPr>
          <w:rFonts w:ascii="宋体" w:hAnsi="宋体"/>
          <w:color w:val="auto"/>
          <w:kern w:val="1"/>
          <w:szCs w:val="21"/>
          <w:highlight w:val="none"/>
          <w:u w:val="single"/>
        </w:rPr>
      </w:pPr>
      <w:r>
        <w:rPr>
          <w:rFonts w:ascii="宋体" w:hAnsi="宋体"/>
          <w:color w:val="auto"/>
          <w:kern w:val="1"/>
          <w:szCs w:val="21"/>
          <w:highlight w:val="none"/>
          <w:u w:val="single"/>
        </w:rPr>
        <w:t>5.2.</w:t>
      </w:r>
      <w:r>
        <w:rPr>
          <w:rFonts w:hint="eastAsia" w:ascii="宋体" w:hAnsi="宋体"/>
          <w:color w:val="auto"/>
          <w:kern w:val="1"/>
          <w:szCs w:val="21"/>
          <w:highlight w:val="none"/>
          <w:u w:val="single"/>
        </w:rPr>
        <w:t>5开标细则</w:t>
      </w:r>
    </w:p>
    <w:p w14:paraId="772784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主持人按下列程序进行开标：</w:t>
      </w:r>
    </w:p>
    <w:p w14:paraId="035AECB3">
      <w:pPr>
        <w:spacing w:line="360" w:lineRule="auto"/>
        <w:ind w:firstLine="458"/>
        <w:rPr>
          <w:rFonts w:hint="eastAsia" w:ascii="宋体" w:hAnsi="宋体"/>
          <w:color w:val="auto"/>
          <w:kern w:val="1"/>
          <w:szCs w:val="21"/>
          <w:highlight w:val="none"/>
          <w:u w:val="single"/>
        </w:rPr>
      </w:pPr>
      <w:r>
        <w:rPr>
          <w:rFonts w:hint="eastAsia" w:ascii="宋体" w:hAnsi="宋体"/>
          <w:color w:val="auto"/>
          <w:kern w:val="1"/>
          <w:szCs w:val="21"/>
          <w:highlight w:val="none"/>
          <w:u w:val="single"/>
        </w:rPr>
        <w:t>（1）宣布开标纪律；</w:t>
      </w:r>
    </w:p>
    <w:p w14:paraId="2E2C8BA0">
      <w:pPr>
        <w:spacing w:line="360" w:lineRule="auto"/>
        <w:ind w:firstLine="458"/>
        <w:rPr>
          <w:rFonts w:hint="eastAsia" w:ascii="宋体" w:hAnsi="宋体"/>
          <w:color w:val="auto"/>
          <w:kern w:val="1"/>
          <w:szCs w:val="21"/>
          <w:highlight w:val="none"/>
          <w:u w:val="single"/>
        </w:rPr>
      </w:pPr>
      <w:r>
        <w:rPr>
          <w:rFonts w:hint="eastAsia" w:ascii="宋体" w:hAnsi="宋体"/>
          <w:color w:val="auto"/>
          <w:kern w:val="1"/>
          <w:szCs w:val="21"/>
          <w:highlight w:val="none"/>
          <w:u w:val="single"/>
        </w:rPr>
        <w:t>（2）公布在投标截止时间前递交投标文件的投标人名称；</w:t>
      </w:r>
    </w:p>
    <w:p w14:paraId="161E3C59">
      <w:pPr>
        <w:spacing w:line="360" w:lineRule="auto"/>
        <w:ind w:firstLine="458"/>
        <w:rPr>
          <w:rFonts w:hint="eastAsia" w:ascii="宋体" w:hAnsi="宋体"/>
          <w:color w:val="auto"/>
          <w:kern w:val="1"/>
          <w:szCs w:val="21"/>
          <w:highlight w:val="none"/>
          <w:u w:val="single"/>
        </w:rPr>
      </w:pPr>
      <w:r>
        <w:rPr>
          <w:rFonts w:hint="eastAsia" w:ascii="宋体" w:hAnsi="宋体"/>
          <w:color w:val="auto"/>
          <w:kern w:val="1"/>
          <w:szCs w:val="21"/>
          <w:highlight w:val="none"/>
          <w:u w:val="single"/>
        </w:rPr>
        <w:t>（3）在投标截止时间后半小时内，投标人通过递交投标文件的交易平台对已递交的电子投标文件进行解密。投标人完成解密后，再由招标人进行解密。</w:t>
      </w:r>
    </w:p>
    <w:p w14:paraId="7861BB81">
      <w:pPr>
        <w:spacing w:line="360" w:lineRule="auto"/>
        <w:ind w:firstLine="458"/>
        <w:rPr>
          <w:rFonts w:hint="eastAsia" w:ascii="宋体" w:hAnsi="宋体"/>
          <w:color w:val="auto"/>
          <w:kern w:val="1"/>
          <w:szCs w:val="21"/>
          <w:highlight w:val="none"/>
          <w:u w:val="single"/>
        </w:rPr>
      </w:pPr>
      <w:r>
        <w:rPr>
          <w:rFonts w:hint="eastAsia" w:ascii="宋体" w:hAnsi="宋体"/>
          <w:color w:val="auto"/>
          <w:kern w:val="1"/>
          <w:szCs w:val="21"/>
          <w:highlight w:val="none"/>
          <w:u w:val="single"/>
        </w:rPr>
        <w:t>（4）解密完成后，进行唱标，公布：a投标人名称；b投标文件递交情况；c投标文件解密情况；d项目负责人</w:t>
      </w:r>
      <w:r>
        <w:rPr>
          <w:rFonts w:hint="eastAsia" w:ascii="宋体" w:hAnsi="宋体"/>
          <w:color w:val="auto"/>
          <w:kern w:val="1"/>
          <w:szCs w:val="21"/>
          <w:highlight w:val="none"/>
          <w:u w:val="single"/>
          <w:lang w:eastAsia="zh-CN"/>
        </w:rPr>
        <w:t>、</w:t>
      </w:r>
      <w:r>
        <w:rPr>
          <w:rFonts w:hint="eastAsia" w:ascii="宋体" w:hAnsi="宋体"/>
          <w:color w:val="auto"/>
          <w:kern w:val="1"/>
          <w:szCs w:val="21"/>
          <w:highlight w:val="none"/>
          <w:u w:val="single"/>
        </w:rPr>
        <w:t>施工负责人、设计负责人、专职安全员；</w:t>
      </w:r>
      <w:r>
        <w:rPr>
          <w:rFonts w:hint="eastAsia" w:ascii="宋体" w:hAnsi="宋体"/>
          <w:color w:val="auto"/>
          <w:kern w:val="1"/>
          <w:szCs w:val="21"/>
          <w:highlight w:val="none"/>
          <w:u w:val="single"/>
          <w:lang w:val="en-US" w:eastAsia="zh-CN"/>
        </w:rPr>
        <w:t>e</w:t>
      </w:r>
      <w:r>
        <w:rPr>
          <w:rFonts w:hint="eastAsia" w:ascii="宋体" w:hAnsi="宋体"/>
          <w:color w:val="auto"/>
          <w:kern w:val="1"/>
          <w:szCs w:val="21"/>
          <w:highlight w:val="none"/>
          <w:u w:val="single"/>
        </w:rPr>
        <w:t>投标报价；</w:t>
      </w:r>
      <w:r>
        <w:rPr>
          <w:rFonts w:hint="eastAsia" w:ascii="宋体" w:hAnsi="宋体"/>
          <w:color w:val="auto"/>
          <w:kern w:val="1"/>
          <w:szCs w:val="21"/>
          <w:highlight w:val="none"/>
          <w:u w:val="single"/>
          <w:lang w:val="en-US" w:eastAsia="zh-CN"/>
        </w:rPr>
        <w:t>f</w:t>
      </w:r>
      <w:r>
        <w:rPr>
          <w:rFonts w:hint="eastAsia" w:ascii="宋体" w:hAnsi="宋体"/>
          <w:color w:val="auto"/>
          <w:kern w:val="1"/>
          <w:szCs w:val="21"/>
          <w:highlight w:val="none"/>
          <w:u w:val="single"/>
        </w:rPr>
        <w:t>工期；</w:t>
      </w:r>
      <w:r>
        <w:rPr>
          <w:rFonts w:hint="eastAsia" w:ascii="宋体" w:hAnsi="宋体"/>
          <w:color w:val="auto"/>
          <w:kern w:val="1"/>
          <w:szCs w:val="21"/>
          <w:highlight w:val="none"/>
          <w:u w:val="single"/>
          <w:lang w:val="en-US" w:eastAsia="zh-CN"/>
        </w:rPr>
        <w:t>g</w:t>
      </w:r>
      <w:r>
        <w:rPr>
          <w:rFonts w:hint="eastAsia" w:ascii="宋体" w:hAnsi="宋体"/>
          <w:color w:val="auto"/>
          <w:kern w:val="1"/>
          <w:szCs w:val="21"/>
          <w:highlight w:val="none"/>
          <w:u w:val="single"/>
        </w:rPr>
        <w:t>投标人的加密打包投标文件电脑机器特征码等主要内容，并记录在案。未在规定时间内解密的投标文件不参与开标、评标。开标时，两个（含两个）以上的投标人加密打包投标文件电脑机器特征码一致的，不参与下一程序，并由评标委员会否决其投标。</w:t>
      </w:r>
    </w:p>
    <w:p w14:paraId="68308A1D">
      <w:pPr>
        <w:spacing w:line="360" w:lineRule="auto"/>
        <w:ind w:firstLine="458"/>
        <w:rPr>
          <w:rFonts w:hint="eastAsia" w:ascii="宋体" w:hAnsi="宋体"/>
          <w:color w:val="auto"/>
          <w:kern w:val="1"/>
          <w:szCs w:val="21"/>
          <w:highlight w:val="none"/>
          <w:u w:val="single"/>
        </w:rPr>
      </w:pPr>
      <w:r>
        <w:rPr>
          <w:rFonts w:hint="eastAsia" w:ascii="宋体" w:hAnsi="宋体"/>
          <w:color w:val="auto"/>
          <w:kern w:val="1"/>
          <w:szCs w:val="21"/>
          <w:highlight w:val="none"/>
          <w:u w:val="single"/>
        </w:rPr>
        <w:t>（5）投标人代表、招标人代表、监标人、记录人等有关人员在开标记录上签字确认；若有关人员不签字的，不影响开标程序；</w:t>
      </w:r>
    </w:p>
    <w:p w14:paraId="2BE91E8C">
      <w:pPr>
        <w:spacing w:line="360" w:lineRule="auto"/>
        <w:ind w:firstLine="458"/>
        <w:rPr>
          <w:rFonts w:hint="eastAsia" w:ascii="宋体" w:hAnsi="宋体"/>
          <w:color w:val="auto"/>
          <w:kern w:val="1"/>
          <w:szCs w:val="21"/>
          <w:highlight w:val="none"/>
          <w:u w:val="single"/>
        </w:rPr>
      </w:pPr>
      <w:r>
        <w:rPr>
          <w:rFonts w:hint="eastAsia" w:ascii="宋体" w:hAnsi="宋体"/>
          <w:color w:val="auto"/>
          <w:kern w:val="1"/>
          <w:szCs w:val="21"/>
          <w:highlight w:val="none"/>
          <w:u w:val="single"/>
        </w:rPr>
        <w:t>（</w:t>
      </w:r>
      <w:r>
        <w:rPr>
          <w:rFonts w:hint="eastAsia" w:ascii="宋体" w:hAnsi="宋体"/>
          <w:color w:val="auto"/>
          <w:kern w:val="1"/>
          <w:szCs w:val="21"/>
          <w:highlight w:val="none"/>
          <w:u w:val="single"/>
          <w:lang w:val="en-US" w:eastAsia="zh-CN"/>
        </w:rPr>
        <w:t>6</w:t>
      </w:r>
      <w:r>
        <w:rPr>
          <w:rFonts w:hint="eastAsia" w:ascii="宋体" w:hAnsi="宋体"/>
          <w:color w:val="auto"/>
          <w:kern w:val="1"/>
          <w:szCs w:val="21"/>
          <w:highlight w:val="none"/>
          <w:u w:val="single"/>
        </w:rPr>
        <w:t>）开标结束。</w:t>
      </w:r>
    </w:p>
    <w:p w14:paraId="1C9480B1">
      <w:pPr>
        <w:pStyle w:val="10"/>
        <w:spacing w:line="360" w:lineRule="auto"/>
        <w:ind w:firstLine="118"/>
        <w:rPr>
          <w:rFonts w:ascii="宋体" w:hAnsi="宋体" w:eastAsia="宋体"/>
          <w:b/>
          <w:bCs/>
          <w:color w:val="auto"/>
          <w:sz w:val="24"/>
          <w:szCs w:val="24"/>
          <w:highlight w:val="none"/>
        </w:rPr>
      </w:pPr>
      <w:bookmarkStart w:id="380" w:name="_Toc6039"/>
      <w:bookmarkEnd w:id="380"/>
      <w:bookmarkStart w:id="381" w:name="_Toc25711"/>
      <w:bookmarkEnd w:id="381"/>
      <w:bookmarkStart w:id="382" w:name="_Toc11457"/>
      <w:bookmarkEnd w:id="382"/>
      <w:bookmarkStart w:id="383" w:name="_Toc599"/>
      <w:bookmarkEnd w:id="383"/>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p>
    <w:p w14:paraId="0977AB8F">
      <w:pPr>
        <w:spacing w:line="360" w:lineRule="auto"/>
        <w:ind w:firstLine="458"/>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5.3.1参加现场开标的投标人对开标结果有异议的，应当在开标现场提出，同时出示本人身份证原件，招标人应当当场作出答复，并制作记录。</w:t>
      </w:r>
      <w:r>
        <w:rPr>
          <w:rFonts w:hint="eastAsia" w:ascii="宋体" w:hAnsi="宋体" w:eastAsia="宋体"/>
          <w:color w:val="auto"/>
          <w:kern w:val="1"/>
          <w:szCs w:val="21"/>
          <w:highlight w:val="none"/>
          <w:u w:val="single"/>
          <w:lang w:val="en-US" w:eastAsia="zh-CN"/>
        </w:rPr>
        <w:t>参加在线开标的，投标人应通过交易平台在线提出，招标人应通过交易平台答复，答复后方可结束开标。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4CF00AFE">
      <w:pPr>
        <w:spacing w:line="360" w:lineRule="auto"/>
        <w:ind w:firstLine="458"/>
        <w:rPr>
          <w:rFonts w:hint="eastAsia" w:ascii="宋体" w:hAnsi="宋体"/>
          <w:color w:val="auto"/>
          <w:szCs w:val="21"/>
          <w:highlight w:val="none"/>
          <w:u w:val="single"/>
        </w:rPr>
      </w:pPr>
      <w:r>
        <w:rPr>
          <w:rFonts w:hint="eastAsia" w:ascii="宋体" w:hAnsi="宋体"/>
          <w:color w:val="auto"/>
          <w:szCs w:val="21"/>
          <w:highlight w:val="none"/>
          <w:u w:val="single"/>
        </w:rPr>
        <w:t>5.3.2投标人</w:t>
      </w:r>
      <w:r>
        <w:rPr>
          <w:rFonts w:ascii="宋体" w:hAnsi="宋体"/>
          <w:color w:val="auto"/>
          <w:szCs w:val="21"/>
          <w:highlight w:val="none"/>
          <w:u w:val="single"/>
        </w:rPr>
        <w:t>未参加开标或在规定的时间内未提出异议的，视为对开标无异议。</w:t>
      </w:r>
    </w:p>
    <w:p w14:paraId="03B98052">
      <w:pPr>
        <w:pStyle w:val="9"/>
        <w:spacing w:before="240" w:after="240" w:line="360" w:lineRule="auto"/>
        <w:rPr>
          <w:rFonts w:hint="eastAsia" w:ascii="宋体" w:hAnsi="宋体" w:eastAsia="宋体"/>
          <w:color w:val="auto"/>
          <w:highlight w:val="none"/>
          <w:lang w:val="zh-CN"/>
        </w:rPr>
      </w:pPr>
      <w:bookmarkStart w:id="384" w:name="_Toc6507"/>
      <w:bookmarkEnd w:id="384"/>
      <w:bookmarkStart w:id="385" w:name="_Toc15194"/>
      <w:bookmarkEnd w:id="385"/>
      <w:bookmarkStart w:id="386" w:name="_Toc14327"/>
      <w:bookmarkEnd w:id="386"/>
      <w:bookmarkStart w:id="387" w:name="_Toc23707"/>
      <w:bookmarkEnd w:id="387"/>
      <w:bookmarkStart w:id="388" w:name="_Toc20998"/>
      <w:bookmarkEnd w:id="388"/>
      <w:bookmarkStart w:id="389" w:name="_Toc3272"/>
      <w:bookmarkEnd w:id="389"/>
      <w:bookmarkStart w:id="390" w:name="_Toc5620328"/>
      <w:bookmarkEnd w:id="390"/>
      <w:r>
        <w:rPr>
          <w:rFonts w:hint="eastAsia" w:ascii="宋体" w:hAnsi="宋体" w:eastAsia="宋体"/>
          <w:color w:val="auto"/>
          <w:highlight w:val="none"/>
          <w:lang w:val="zh-CN"/>
        </w:rPr>
        <w:t>6. 评标</w:t>
      </w:r>
    </w:p>
    <w:p w14:paraId="13CC35A6">
      <w:pPr>
        <w:pStyle w:val="10"/>
        <w:spacing w:before="0" w:after="0" w:line="360" w:lineRule="auto"/>
        <w:ind w:firstLine="0"/>
        <w:rPr>
          <w:rFonts w:hint="eastAsia" w:ascii="宋体" w:hAnsi="宋体" w:eastAsia="宋体"/>
          <w:b/>
          <w:color w:val="auto"/>
          <w:sz w:val="21"/>
          <w:szCs w:val="21"/>
          <w:highlight w:val="none"/>
        </w:rPr>
      </w:pPr>
      <w:bookmarkStart w:id="391" w:name="_Toc19143"/>
      <w:bookmarkEnd w:id="391"/>
      <w:bookmarkStart w:id="392" w:name="_Toc32743"/>
      <w:bookmarkEnd w:id="392"/>
      <w:bookmarkStart w:id="393" w:name="_Toc5620329"/>
      <w:bookmarkEnd w:id="393"/>
      <w:bookmarkStart w:id="394" w:name="_Toc32172"/>
      <w:bookmarkEnd w:id="394"/>
      <w:bookmarkStart w:id="395" w:name="_Toc4685"/>
      <w:bookmarkEnd w:id="395"/>
      <w:r>
        <w:rPr>
          <w:rFonts w:hint="eastAsia" w:ascii="宋体" w:hAnsi="宋体" w:eastAsia="宋体"/>
          <w:b/>
          <w:color w:val="auto"/>
          <w:sz w:val="21"/>
          <w:szCs w:val="21"/>
          <w:highlight w:val="none"/>
        </w:rPr>
        <w:t>6.1 评标委员会</w:t>
      </w:r>
    </w:p>
    <w:p w14:paraId="1E28DEE6">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6.1.1</w:t>
      </w:r>
      <w:r>
        <w:rPr>
          <w:rFonts w:hint="eastAsia" w:ascii="宋体" w:hAnsi="宋体"/>
          <w:color w:val="auto"/>
          <w:kern w:val="1"/>
          <w:szCs w:val="21"/>
          <w:highlight w:val="none"/>
          <w:u w:val="single"/>
        </w:rPr>
        <w:t>评标由招标人依法组建的评标委员会负责。</w:t>
      </w:r>
    </w:p>
    <w:p w14:paraId="4D590A74">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6.1.2 评标委员会成员有下列情形之一的，应当回避：</w:t>
      </w:r>
    </w:p>
    <w:p w14:paraId="2245651F">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（1）投标人或投标人主要负责人的近亲属；</w:t>
      </w:r>
    </w:p>
    <w:p w14:paraId="4342C98F">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（2）项目主管部门或者行政监督部门的人员；</w:t>
      </w:r>
    </w:p>
    <w:p w14:paraId="4315F62C">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（3）与投标人有经济利益关系，可能影响对投标公正评审的；</w:t>
      </w:r>
    </w:p>
    <w:p w14:paraId="209DAB92">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（4）曾因在招标、评标以及其他与招标投标有关活动中从事违法行为而受过行政处罚或刑事处罚的；</w:t>
      </w:r>
    </w:p>
    <w:p w14:paraId="5F955FCE">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（5）与投标人有其他利害关系。</w:t>
      </w:r>
    </w:p>
    <w:p w14:paraId="74840790">
      <w:pPr>
        <w:pStyle w:val="10"/>
        <w:spacing w:before="0" w:after="0" w:line="360" w:lineRule="auto"/>
        <w:ind w:firstLine="0"/>
        <w:rPr>
          <w:rFonts w:hint="eastAsia" w:ascii="宋体" w:hAnsi="宋体" w:eastAsia="宋体"/>
          <w:b/>
          <w:color w:val="auto"/>
          <w:sz w:val="21"/>
          <w:szCs w:val="21"/>
          <w:highlight w:val="none"/>
        </w:rPr>
      </w:pPr>
      <w:bookmarkStart w:id="396" w:name="_Toc5620330"/>
      <w:bookmarkEnd w:id="396"/>
      <w:bookmarkStart w:id="397" w:name="_Toc6999"/>
      <w:bookmarkEnd w:id="397"/>
      <w:bookmarkStart w:id="398" w:name="_Toc7827"/>
      <w:bookmarkEnd w:id="398"/>
      <w:bookmarkStart w:id="399" w:name="_Toc31701"/>
      <w:bookmarkEnd w:id="399"/>
      <w:bookmarkStart w:id="400" w:name="_Toc443505829"/>
      <w:bookmarkEnd w:id="400"/>
      <w:bookmarkStart w:id="401" w:name="_Toc13945"/>
      <w:bookmarkEnd w:id="401"/>
      <w:r>
        <w:rPr>
          <w:rFonts w:hint="eastAsia" w:ascii="宋体" w:hAnsi="宋体" w:eastAsia="宋体"/>
          <w:b/>
          <w:color w:val="auto"/>
          <w:sz w:val="21"/>
          <w:szCs w:val="21"/>
          <w:highlight w:val="none"/>
        </w:rPr>
        <w:t>6.2 评标原则</w:t>
      </w:r>
    </w:p>
    <w:p w14:paraId="298286DE">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评标活动遵循公平、公正、科学和择优的原则。</w:t>
      </w:r>
    </w:p>
    <w:p w14:paraId="41660FE7">
      <w:pPr>
        <w:pStyle w:val="10"/>
        <w:spacing w:before="0" w:after="0" w:line="360" w:lineRule="auto"/>
        <w:ind w:firstLine="0"/>
        <w:rPr>
          <w:rFonts w:hint="eastAsia" w:ascii="宋体" w:hAnsi="宋体" w:eastAsia="宋体"/>
          <w:b/>
          <w:color w:val="auto"/>
          <w:sz w:val="21"/>
          <w:szCs w:val="21"/>
          <w:highlight w:val="none"/>
        </w:rPr>
      </w:pPr>
      <w:bookmarkStart w:id="402" w:name="_Toc2091"/>
      <w:bookmarkEnd w:id="402"/>
      <w:bookmarkStart w:id="403" w:name="_Toc9632"/>
      <w:bookmarkEnd w:id="403"/>
      <w:bookmarkStart w:id="404" w:name="_Toc5620331"/>
      <w:bookmarkEnd w:id="404"/>
      <w:bookmarkStart w:id="405" w:name="_Toc16832"/>
      <w:bookmarkEnd w:id="405"/>
      <w:bookmarkStart w:id="406" w:name="_Toc23303"/>
      <w:bookmarkEnd w:id="406"/>
      <w:r>
        <w:rPr>
          <w:rFonts w:hint="eastAsia" w:ascii="宋体" w:hAnsi="宋体" w:eastAsia="宋体"/>
          <w:b/>
          <w:color w:val="auto"/>
          <w:sz w:val="21"/>
          <w:szCs w:val="21"/>
          <w:highlight w:val="none"/>
        </w:rPr>
        <w:t>6.3 评标</w:t>
      </w:r>
    </w:p>
    <w:p w14:paraId="0F77A9F7">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2F2CA46C">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4641CEE1">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评标委员会经评审，认为所有投标都不符合招标文件要求的，可以否决所有投标。所有投标被否决后，招标人应当依法重新招标。</w:t>
      </w:r>
    </w:p>
    <w:p w14:paraId="2249CE69">
      <w:pPr>
        <w:pStyle w:val="10"/>
        <w:spacing w:before="0" w:after="0" w:line="360" w:lineRule="auto"/>
        <w:ind w:firstLine="0"/>
        <w:rPr>
          <w:rFonts w:hint="eastAsia" w:ascii="宋体" w:hAnsi="宋体" w:eastAsia="宋体"/>
          <w:b/>
          <w:color w:val="auto"/>
          <w:sz w:val="21"/>
          <w:szCs w:val="21"/>
          <w:highlight w:val="none"/>
          <w:u w:val="single"/>
        </w:rPr>
      </w:pPr>
      <w:bookmarkStart w:id="407" w:name="_Toc3111"/>
      <w:bookmarkEnd w:id="407"/>
      <w:bookmarkStart w:id="408" w:name="_Toc5620332"/>
      <w:bookmarkEnd w:id="408"/>
      <w:bookmarkStart w:id="409" w:name="_Toc25282"/>
      <w:bookmarkEnd w:id="409"/>
      <w:bookmarkStart w:id="410" w:name="_Toc6021"/>
      <w:bookmarkEnd w:id="410"/>
      <w:bookmarkStart w:id="411" w:name="_Toc14839"/>
      <w:bookmarkEnd w:id="411"/>
      <w:r>
        <w:rPr>
          <w:rFonts w:hint="eastAsia" w:ascii="宋体" w:hAnsi="宋体" w:eastAsia="宋体"/>
          <w:b/>
          <w:color w:val="auto"/>
          <w:sz w:val="21"/>
          <w:szCs w:val="21"/>
          <w:highlight w:val="none"/>
          <w:u w:val="single"/>
        </w:rPr>
        <w:t>6.4评标过程的保密</w:t>
      </w:r>
    </w:p>
    <w:p w14:paraId="1E0A3A90">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60AD0AD5">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0C8F8811">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775D98D6">
      <w:pPr>
        <w:pStyle w:val="9"/>
        <w:spacing w:before="240" w:after="240" w:line="360" w:lineRule="auto"/>
        <w:rPr>
          <w:rFonts w:hint="eastAsia" w:ascii="宋体" w:hAnsi="宋体" w:eastAsia="宋体"/>
          <w:color w:val="auto"/>
          <w:highlight w:val="none"/>
          <w:lang w:val="zh-CN"/>
        </w:rPr>
      </w:pPr>
      <w:bookmarkStart w:id="412" w:name="_Toc12701"/>
      <w:bookmarkEnd w:id="412"/>
      <w:bookmarkStart w:id="413" w:name="_Toc27077"/>
      <w:bookmarkEnd w:id="413"/>
      <w:bookmarkStart w:id="414" w:name="_Toc13256"/>
      <w:bookmarkEnd w:id="414"/>
      <w:bookmarkStart w:id="415" w:name="_Toc3304"/>
      <w:bookmarkEnd w:id="415"/>
      <w:bookmarkStart w:id="416" w:name="_Toc7746"/>
      <w:bookmarkEnd w:id="416"/>
      <w:bookmarkStart w:id="417" w:name="_Toc23549"/>
      <w:bookmarkEnd w:id="417"/>
      <w:bookmarkStart w:id="418" w:name="_Toc5620333"/>
      <w:bookmarkEnd w:id="418"/>
      <w:r>
        <w:rPr>
          <w:rFonts w:hint="eastAsia" w:ascii="宋体" w:hAnsi="宋体" w:eastAsia="宋体"/>
          <w:color w:val="auto"/>
          <w:highlight w:val="none"/>
          <w:lang w:val="zh-CN"/>
        </w:rPr>
        <w:t>7. 合同授予</w:t>
      </w:r>
    </w:p>
    <w:p w14:paraId="4F6007F1">
      <w:pPr>
        <w:pStyle w:val="10"/>
        <w:spacing w:before="0" w:after="0" w:line="360" w:lineRule="auto"/>
        <w:ind w:firstLine="0"/>
        <w:rPr>
          <w:rFonts w:hint="eastAsia" w:ascii="宋体" w:hAnsi="宋体" w:eastAsia="宋体"/>
          <w:b/>
          <w:color w:val="auto"/>
          <w:sz w:val="21"/>
          <w:szCs w:val="21"/>
          <w:highlight w:val="none"/>
        </w:rPr>
      </w:pPr>
      <w:bookmarkStart w:id="419" w:name="_Toc5620334"/>
      <w:bookmarkEnd w:id="419"/>
      <w:bookmarkStart w:id="420" w:name="_Toc30606"/>
      <w:bookmarkEnd w:id="420"/>
      <w:bookmarkStart w:id="421" w:name="_Toc9112"/>
      <w:bookmarkEnd w:id="421"/>
      <w:bookmarkStart w:id="422" w:name="_Toc3446"/>
      <w:bookmarkEnd w:id="422"/>
      <w:bookmarkStart w:id="423" w:name="_Toc18404"/>
      <w:bookmarkEnd w:id="423"/>
      <w:r>
        <w:rPr>
          <w:rFonts w:hint="eastAsia" w:ascii="宋体" w:hAnsi="宋体" w:eastAsia="宋体"/>
          <w:b/>
          <w:color w:val="auto"/>
          <w:sz w:val="21"/>
          <w:szCs w:val="21"/>
          <w:highlight w:val="none"/>
        </w:rPr>
        <w:t>7.1 定标方式</w:t>
      </w:r>
    </w:p>
    <w:p w14:paraId="7EE25538">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7.1.1除投标人须知前附表规定评标委员会直接确定中标人外，招标人依据评标委员会推荐的中标候选人确定中标人，评标委员会推荐中标候选人的人数见投标人须知前附表。</w:t>
      </w:r>
    </w:p>
    <w:p w14:paraId="313C57CF">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7.1.2 依法必须进行公开招标的项目，招标人应当确定排名第一的中标候选人为中标人。</w:t>
      </w:r>
    </w:p>
    <w:p w14:paraId="1EABC21A">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7.1.3排名第一的中标候选人放弃中标、因不可抗力不能履行合同、或者招标文件规定应当提交履约担保而在规定的期限内未能提交的，招标人可以确定排名第二的中标候选人为中标人。</w:t>
      </w:r>
    </w:p>
    <w:p w14:paraId="7CC52D50">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7.1.4排名第二的中标候选人出现前款所列的情形的，招标人可以确定排名第三的中标候选人为中标人。以此类推，如所有中标候选人均出现前款所列的情形，为招标失败，招标人依法重新招标。</w:t>
      </w:r>
    </w:p>
    <w:p w14:paraId="15D04DED">
      <w:pPr>
        <w:pStyle w:val="10"/>
        <w:spacing w:before="0" w:after="0" w:line="360" w:lineRule="auto"/>
        <w:ind w:firstLine="0"/>
        <w:rPr>
          <w:rFonts w:hint="eastAsia" w:ascii="宋体" w:hAnsi="宋体" w:eastAsia="宋体"/>
          <w:b/>
          <w:color w:val="auto"/>
          <w:sz w:val="21"/>
          <w:szCs w:val="21"/>
          <w:highlight w:val="none"/>
        </w:rPr>
      </w:pPr>
      <w:bookmarkStart w:id="424" w:name="_Toc925"/>
      <w:bookmarkEnd w:id="424"/>
      <w:bookmarkStart w:id="425" w:name="_Toc18573"/>
      <w:bookmarkEnd w:id="425"/>
      <w:bookmarkStart w:id="426" w:name="_Toc16373"/>
      <w:bookmarkEnd w:id="426"/>
      <w:bookmarkStart w:id="427" w:name="_Toc5620335"/>
      <w:bookmarkEnd w:id="427"/>
      <w:bookmarkStart w:id="428" w:name="_Toc19474"/>
      <w:bookmarkEnd w:id="428"/>
      <w:r>
        <w:rPr>
          <w:rFonts w:hint="eastAsia" w:ascii="宋体" w:hAnsi="宋体" w:eastAsia="宋体"/>
          <w:b/>
          <w:color w:val="auto"/>
          <w:sz w:val="21"/>
          <w:szCs w:val="21"/>
          <w:highlight w:val="none"/>
        </w:rPr>
        <w:t>7.2 中标候选人公示</w:t>
      </w:r>
    </w:p>
    <w:p w14:paraId="4D44E0FE">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7.2.1</w:t>
      </w:r>
      <w:r>
        <w:rPr>
          <w:rFonts w:hint="eastAsia" w:ascii="宋体" w:hAnsi="宋体"/>
          <w:color w:val="auto"/>
          <w:kern w:val="1"/>
          <w:highlight w:val="none"/>
        </w:rPr>
        <w:t>招标人在投标人须知前附表规定的媒介公示中标候选人</w:t>
      </w:r>
      <w:r>
        <w:rPr>
          <w:rFonts w:hint="eastAsia" w:ascii="宋体" w:hAnsi="宋体"/>
          <w:color w:val="auto"/>
          <w:kern w:val="1"/>
          <w:szCs w:val="21"/>
          <w:highlight w:val="none"/>
        </w:rPr>
        <w:t>。</w:t>
      </w:r>
    </w:p>
    <w:p w14:paraId="11DBE65C">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7.2.2在产生</w:t>
      </w:r>
      <w:r>
        <w:rPr>
          <w:rFonts w:hint="eastAsia" w:ascii="宋体" w:hAnsi="宋体" w:eastAsia="宋体"/>
          <w:color w:val="auto"/>
          <w:kern w:val="1"/>
          <w:szCs w:val="21"/>
          <w:highlight w:val="none"/>
          <w:u w:val="single"/>
        </w:rPr>
        <w:t>中标候选人后，招标人将中标候选人的投标文件商务部分文件的电子文件（包括人员、业绩、奖项等资料）在广州交易集团有限公司（广州公共资源交易中心）和广</w:t>
      </w:r>
      <w:r>
        <w:rPr>
          <w:rFonts w:hint="eastAsia" w:ascii="宋体" w:hAnsi="宋体"/>
          <w:color w:val="auto"/>
          <w:kern w:val="1"/>
          <w:szCs w:val="21"/>
          <w:highlight w:val="none"/>
          <w:u w:val="single"/>
        </w:rPr>
        <w:t>东省招标投标监管网公开。</w:t>
      </w:r>
    </w:p>
    <w:p w14:paraId="685B578F">
      <w:pPr>
        <w:spacing w:line="360" w:lineRule="auto"/>
        <w:ind w:firstLine="420"/>
        <w:rPr>
          <w:rFonts w:hint="eastAsia" w:ascii="宋体" w:hAnsi="宋体" w:eastAsia="宋体"/>
          <w:color w:val="auto"/>
          <w:kern w:val="1"/>
          <w:highlight w:val="none"/>
          <w:u w:val="single"/>
        </w:rPr>
      </w:pPr>
      <w:r>
        <w:rPr>
          <w:rFonts w:hint="eastAsia" w:ascii="宋体" w:hAnsi="宋体" w:eastAsia="宋体"/>
          <w:color w:val="auto"/>
          <w:kern w:val="1"/>
          <w:highlight w:val="none"/>
          <w:u w:val="single"/>
        </w:rPr>
        <w:t>7.2.3投标人或其他利害关系人对评标结果有异议的，应当在中标候选人公示期间提出，可以通过线下或线上的形式提出异议。</w:t>
      </w:r>
      <w:r>
        <w:rPr>
          <w:rFonts w:hint="eastAsia" w:ascii="宋体" w:hAnsi="宋体" w:eastAsia="宋体"/>
          <w:color w:val="auto"/>
          <w:kern w:val="1"/>
          <w:highlight w:val="none"/>
          <w:u w:val="single"/>
          <w:lang w:val="en-US" w:eastAsia="zh-CN"/>
        </w:rPr>
        <w:t>线上提交的，应通过交易平台进行，招标人也应通过交易平台答复线上提交的异议。作出答复前，应当暂停招标投标活动。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2DE544B8">
      <w:pPr>
        <w:pStyle w:val="20"/>
        <w:rPr>
          <w:color w:val="auto"/>
          <w:highlight w:val="none"/>
          <w:lang w:val="en-US"/>
        </w:rPr>
      </w:pPr>
    </w:p>
    <w:p w14:paraId="189DB2A9">
      <w:pPr>
        <w:pStyle w:val="10"/>
        <w:spacing w:before="0" w:after="0" w:line="360" w:lineRule="auto"/>
        <w:ind w:firstLine="0"/>
        <w:rPr>
          <w:rFonts w:hint="eastAsia" w:ascii="宋体" w:hAnsi="宋体" w:eastAsia="宋体"/>
          <w:b/>
          <w:color w:val="auto"/>
          <w:sz w:val="21"/>
          <w:szCs w:val="21"/>
          <w:highlight w:val="none"/>
        </w:rPr>
      </w:pPr>
      <w:bookmarkStart w:id="429" w:name="_Toc10784"/>
      <w:bookmarkEnd w:id="429"/>
      <w:bookmarkStart w:id="430" w:name="_Toc5620336"/>
      <w:bookmarkEnd w:id="430"/>
      <w:bookmarkStart w:id="431" w:name="_Toc28278"/>
      <w:bookmarkEnd w:id="431"/>
      <w:bookmarkStart w:id="432" w:name="_Toc13856"/>
      <w:bookmarkEnd w:id="432"/>
      <w:bookmarkStart w:id="433" w:name="_Toc20852"/>
      <w:bookmarkEnd w:id="433"/>
      <w:r>
        <w:rPr>
          <w:rFonts w:hint="eastAsia" w:ascii="宋体" w:hAnsi="宋体" w:eastAsia="宋体"/>
          <w:b/>
          <w:color w:val="auto"/>
          <w:sz w:val="21"/>
          <w:szCs w:val="21"/>
          <w:highlight w:val="none"/>
        </w:rPr>
        <w:t>7.3 中标通知</w:t>
      </w:r>
    </w:p>
    <w:p w14:paraId="4D89ACCA">
      <w:pPr>
        <w:spacing w:line="360" w:lineRule="auto"/>
        <w:ind w:firstLine="420"/>
        <w:rPr>
          <w:rFonts w:hint="eastAsia" w:ascii="宋体" w:hAnsi="宋体" w:eastAsia="宋体"/>
          <w:color w:val="auto"/>
          <w:kern w:val="1"/>
          <w:highlight w:val="none"/>
          <w:u w:val="single"/>
        </w:rPr>
      </w:pPr>
      <w:r>
        <w:rPr>
          <w:rFonts w:hint="eastAsia" w:ascii="宋体" w:hAnsi="宋体" w:eastAsia="宋体"/>
          <w:color w:val="auto"/>
          <w:kern w:val="1"/>
          <w:highlight w:val="none"/>
          <w:u w:val="single"/>
        </w:rPr>
        <w:t>7.3.1在本章第3.3 款规定的投标有效期内，中标人自行于广州交易集团有限公司（广州公共资源交易中心）交易平台下载中标通知书，同时招标人将中标结果通过广州交易集团有限公司（广州公共资源交易中心）网站公开发布。中标人须对其投标文件真实性负责，并准备投标文件涉及的所有原件待查，如存在弄虚作假情况或原件不齐或与原件不符的，招标人有权取消其中标人资格，并上报建设行政主管部门。</w:t>
      </w:r>
    </w:p>
    <w:p w14:paraId="7775E002">
      <w:pPr>
        <w:spacing w:line="360" w:lineRule="auto"/>
        <w:ind w:firstLine="420"/>
        <w:rPr>
          <w:rFonts w:hint="eastAsia" w:ascii="宋体" w:hAnsi="宋体" w:eastAsia="宋体"/>
          <w:color w:val="auto"/>
          <w:kern w:val="1"/>
          <w:highlight w:val="none"/>
          <w:u w:val="single"/>
        </w:rPr>
      </w:pPr>
      <w:r>
        <w:rPr>
          <w:rFonts w:hint="eastAsia" w:ascii="宋体" w:hAnsi="宋体" w:eastAsia="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交易集团有限公司（广州公共资源交易中心）确认。</w:t>
      </w:r>
    </w:p>
    <w:p w14:paraId="25F1A047">
      <w:pPr>
        <w:pStyle w:val="10"/>
        <w:spacing w:before="0" w:after="0" w:line="360" w:lineRule="auto"/>
        <w:ind w:firstLine="0"/>
        <w:rPr>
          <w:rFonts w:hint="eastAsia" w:ascii="宋体" w:hAnsi="宋体" w:eastAsia="宋体"/>
          <w:b/>
          <w:color w:val="auto"/>
          <w:sz w:val="21"/>
          <w:szCs w:val="21"/>
          <w:highlight w:val="none"/>
        </w:rPr>
      </w:pPr>
      <w:bookmarkStart w:id="434" w:name="_Toc11083"/>
      <w:bookmarkEnd w:id="434"/>
      <w:bookmarkStart w:id="435" w:name="_Toc26932"/>
      <w:bookmarkEnd w:id="435"/>
      <w:bookmarkStart w:id="436" w:name="_Toc30443"/>
      <w:bookmarkEnd w:id="436"/>
      <w:bookmarkStart w:id="437" w:name="_Toc5620337"/>
      <w:bookmarkEnd w:id="437"/>
      <w:bookmarkStart w:id="438" w:name="_Toc438"/>
      <w:bookmarkEnd w:id="438"/>
      <w:r>
        <w:rPr>
          <w:rFonts w:hint="eastAsia" w:ascii="宋体" w:hAnsi="宋体" w:eastAsia="宋体"/>
          <w:b/>
          <w:color w:val="auto"/>
          <w:sz w:val="21"/>
          <w:szCs w:val="21"/>
          <w:highlight w:val="none"/>
        </w:rPr>
        <w:t>7.4 履约担保</w:t>
      </w:r>
    </w:p>
    <w:p w14:paraId="15C427BE">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 xml:space="preserve">7.4.1 </w:t>
      </w:r>
      <w:r>
        <w:rPr>
          <w:rFonts w:hint="eastAsia" w:ascii="宋体" w:hAnsi="宋体" w:eastAsia="宋体" w:cs="Times New Roman"/>
          <w:color w:val="auto"/>
          <w:kern w:val="1"/>
          <w:szCs w:val="21"/>
          <w:highlight w:val="none"/>
          <w:u w:val="none"/>
          <w:lang w:eastAsia="zh-CN"/>
        </w:rPr>
        <w:t>合同签订之日起的30日历天内</w:t>
      </w:r>
      <w:r>
        <w:rPr>
          <w:rFonts w:hint="eastAsia" w:ascii="宋体" w:hAnsi="宋体"/>
          <w:color w:val="auto"/>
          <w:kern w:val="1"/>
          <w:szCs w:val="21"/>
          <w:highlight w:val="none"/>
        </w:rPr>
        <w:t>，中标人应按投标人须知前附表规定的担保形式</w:t>
      </w:r>
      <w:r>
        <w:rPr>
          <w:rFonts w:hint="eastAsia" w:ascii="宋体" w:hAnsi="宋体"/>
          <w:color w:val="auto"/>
          <w:kern w:val="1"/>
          <w:szCs w:val="21"/>
          <w:highlight w:val="none"/>
          <w:lang w:val="en-US" w:eastAsia="zh-CN"/>
        </w:rPr>
        <w:t>和金额</w:t>
      </w:r>
      <w:r>
        <w:rPr>
          <w:rFonts w:hint="eastAsia" w:ascii="宋体" w:hAnsi="宋体"/>
          <w:color w:val="auto"/>
          <w:kern w:val="1"/>
          <w:szCs w:val="21"/>
          <w:highlight w:val="none"/>
        </w:rPr>
        <w:t>向招标人提交履约担保。</w:t>
      </w:r>
    </w:p>
    <w:p w14:paraId="44FBB4C7">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7.4.2 中标人不能按本章第7.4.1项要求提交履约担保的，视为放弃中标，给招标人造成损失的，中标人还应当予以赔偿。</w:t>
      </w:r>
    </w:p>
    <w:p w14:paraId="274186EB">
      <w:pPr>
        <w:pStyle w:val="10"/>
        <w:spacing w:before="0" w:after="0" w:line="360" w:lineRule="auto"/>
        <w:ind w:firstLine="0"/>
        <w:rPr>
          <w:rFonts w:hint="eastAsia" w:ascii="宋体" w:hAnsi="宋体" w:eastAsia="宋体"/>
          <w:b/>
          <w:color w:val="auto"/>
          <w:sz w:val="21"/>
          <w:szCs w:val="21"/>
          <w:highlight w:val="none"/>
        </w:rPr>
      </w:pPr>
      <w:bookmarkStart w:id="439" w:name="_Toc5620338"/>
      <w:bookmarkEnd w:id="439"/>
      <w:bookmarkStart w:id="440" w:name="_Toc18213"/>
      <w:bookmarkEnd w:id="440"/>
      <w:bookmarkStart w:id="441" w:name="_Toc12401"/>
      <w:bookmarkEnd w:id="441"/>
      <w:bookmarkStart w:id="442" w:name="_Toc4"/>
      <w:bookmarkEnd w:id="442"/>
      <w:bookmarkStart w:id="443" w:name="_Toc14835"/>
      <w:bookmarkEnd w:id="443"/>
      <w:r>
        <w:rPr>
          <w:rFonts w:hint="eastAsia" w:ascii="宋体" w:hAnsi="宋体" w:eastAsia="宋体"/>
          <w:b/>
          <w:color w:val="auto"/>
          <w:sz w:val="21"/>
          <w:szCs w:val="21"/>
          <w:highlight w:val="none"/>
        </w:rPr>
        <w:t>7.5 签订合同</w:t>
      </w:r>
    </w:p>
    <w:p w14:paraId="6E9A2A76">
      <w:pPr>
        <w:spacing w:line="360" w:lineRule="auto"/>
        <w:ind w:firstLine="420"/>
        <w:rPr>
          <w:rFonts w:hint="eastAsia" w:ascii="宋体" w:hAnsi="宋体"/>
          <w:color w:val="auto"/>
          <w:kern w:val="1"/>
          <w:highlight w:val="none"/>
        </w:rPr>
      </w:pPr>
      <w:bookmarkStart w:id="444" w:name="_Toc443505830"/>
      <w:bookmarkEnd w:id="444"/>
      <w:bookmarkStart w:id="445" w:name="_Toc11555"/>
      <w:bookmarkEnd w:id="445"/>
      <w:bookmarkStart w:id="446" w:name="_Toc15670"/>
      <w:bookmarkEnd w:id="446"/>
      <w:r>
        <w:rPr>
          <w:rFonts w:hint="eastAsia" w:ascii="宋体" w:hAnsi="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color w:val="auto"/>
          <w:highlight w:val="none"/>
        </w:rPr>
        <w:t>，</w:t>
      </w:r>
      <w:r>
        <w:rPr>
          <w:rFonts w:hint="eastAsia" w:ascii="宋体" w:hAnsi="宋体"/>
          <w:color w:val="auto"/>
          <w:kern w:val="1"/>
          <w:szCs w:val="21"/>
          <w:highlight w:val="none"/>
          <w:u w:val="single"/>
        </w:rPr>
        <w:t>给招标人造成损失的，中标人还应当予以赔偿。</w:t>
      </w:r>
      <w:r>
        <w:rPr>
          <w:rFonts w:hint="eastAsia" w:ascii="宋体" w:hAnsi="宋体"/>
          <w:color w:val="auto"/>
          <w:kern w:val="1"/>
          <w:highlight w:val="none"/>
        </w:rPr>
        <w:t xml:space="preserve"> </w:t>
      </w:r>
    </w:p>
    <w:p w14:paraId="1AE2D227">
      <w:pPr>
        <w:spacing w:line="360" w:lineRule="auto"/>
        <w:ind w:firstLine="420"/>
        <w:rPr>
          <w:rFonts w:hint="eastAsia" w:ascii="宋体" w:hAnsi="宋体"/>
          <w:color w:val="auto"/>
          <w:kern w:val="1"/>
          <w:highlight w:val="none"/>
        </w:rPr>
      </w:pPr>
      <w:r>
        <w:rPr>
          <w:rFonts w:hint="eastAsia" w:ascii="宋体" w:hAnsi="宋体"/>
          <w:color w:val="auto"/>
          <w:kern w:val="1"/>
          <w:highlight w:val="none"/>
        </w:rPr>
        <w:t>7.5.2 发出中标通知书后，招标人无正当理由拒签合同</w:t>
      </w:r>
      <w:r>
        <w:rPr>
          <w:rFonts w:hint="eastAsia"/>
          <w:color w:val="auto"/>
          <w:highlight w:val="none"/>
        </w:rPr>
        <w:t>的</w:t>
      </w:r>
      <w:r>
        <w:rPr>
          <w:rFonts w:hint="eastAsia"/>
          <w:color w:val="auto"/>
          <w:highlight w:val="none"/>
          <w:lang w:eastAsia="zh-CN"/>
        </w:rPr>
        <w:t>，</w:t>
      </w:r>
      <w:r>
        <w:rPr>
          <w:rFonts w:hint="eastAsia" w:ascii="宋体" w:hAnsi="宋体"/>
          <w:color w:val="auto"/>
          <w:kern w:val="1"/>
          <w:highlight w:val="none"/>
          <w:u w:val="single"/>
        </w:rPr>
        <w:t>给中标人造成损失的，还应当赔偿损失</w:t>
      </w:r>
      <w:r>
        <w:rPr>
          <w:rFonts w:hint="eastAsia" w:ascii="宋体" w:hAnsi="宋体"/>
          <w:color w:val="auto"/>
          <w:kern w:val="1"/>
          <w:highlight w:val="none"/>
        </w:rPr>
        <w:t>。</w:t>
      </w:r>
    </w:p>
    <w:p w14:paraId="5B14DDE3">
      <w:pPr>
        <w:pStyle w:val="9"/>
        <w:spacing w:before="240" w:after="240" w:line="360" w:lineRule="auto"/>
        <w:rPr>
          <w:rFonts w:hint="eastAsia" w:ascii="宋体" w:hAnsi="宋体" w:eastAsia="宋体"/>
          <w:color w:val="auto"/>
          <w:highlight w:val="none"/>
          <w:lang w:val="zh-CN"/>
        </w:rPr>
      </w:pPr>
      <w:bookmarkStart w:id="447" w:name="_Toc443505831"/>
      <w:bookmarkEnd w:id="447"/>
      <w:bookmarkStart w:id="448" w:name="_Toc9984"/>
      <w:bookmarkEnd w:id="448"/>
      <w:bookmarkStart w:id="449" w:name="_Toc28671"/>
      <w:bookmarkEnd w:id="449"/>
      <w:bookmarkStart w:id="450" w:name="_Toc21320"/>
      <w:bookmarkEnd w:id="450"/>
      <w:bookmarkStart w:id="451" w:name="_Toc30835"/>
      <w:bookmarkEnd w:id="451"/>
      <w:bookmarkStart w:id="452" w:name="_Toc5620339"/>
      <w:bookmarkEnd w:id="452"/>
      <w:bookmarkStart w:id="453" w:name="_Toc666"/>
      <w:bookmarkEnd w:id="453"/>
      <w:bookmarkStart w:id="454" w:name="_Toc15049"/>
      <w:bookmarkEnd w:id="454"/>
      <w:r>
        <w:rPr>
          <w:rFonts w:hint="eastAsia" w:ascii="宋体" w:hAnsi="宋体" w:eastAsia="宋体"/>
          <w:color w:val="auto"/>
          <w:highlight w:val="none"/>
          <w:lang w:val="zh-CN"/>
        </w:rPr>
        <w:t>8. 纪律和监督</w:t>
      </w:r>
    </w:p>
    <w:p w14:paraId="3DC04ABB">
      <w:pPr>
        <w:spacing w:line="360" w:lineRule="auto"/>
        <w:rPr>
          <w:rFonts w:hint="eastAsia" w:ascii="宋体" w:hAnsi="宋体"/>
          <w:b/>
          <w:color w:val="auto"/>
          <w:kern w:val="1"/>
          <w:szCs w:val="21"/>
          <w:highlight w:val="none"/>
          <w:lang w:val="zh-CN"/>
        </w:rPr>
      </w:pPr>
      <w:bookmarkStart w:id="455" w:name="_Toc30367"/>
      <w:bookmarkEnd w:id="455"/>
      <w:bookmarkStart w:id="456" w:name="_Toc5620340"/>
      <w:bookmarkEnd w:id="456"/>
      <w:bookmarkStart w:id="457" w:name="_Toc7252"/>
      <w:bookmarkEnd w:id="457"/>
      <w:bookmarkStart w:id="458" w:name="_Toc443505832"/>
      <w:bookmarkEnd w:id="458"/>
      <w:r>
        <w:rPr>
          <w:rFonts w:hint="eastAsia" w:ascii="宋体" w:hAnsi="宋体"/>
          <w:b/>
          <w:color w:val="auto"/>
          <w:kern w:val="1"/>
          <w:szCs w:val="21"/>
          <w:highlight w:val="none"/>
          <w:lang w:val="zh-CN"/>
        </w:rPr>
        <w:t>8.1 对招标人的纪律要求</w:t>
      </w:r>
    </w:p>
    <w:p w14:paraId="3734DE6A">
      <w:pPr>
        <w:spacing w:line="360" w:lineRule="auto"/>
        <w:ind w:firstLine="420"/>
        <w:rPr>
          <w:rFonts w:hint="eastAsia" w:ascii="宋体" w:hAnsi="宋体"/>
          <w:color w:val="auto"/>
          <w:kern w:val="1"/>
          <w:highlight w:val="none"/>
        </w:rPr>
      </w:pPr>
      <w:r>
        <w:rPr>
          <w:rFonts w:hint="eastAsia" w:ascii="宋体" w:hAnsi="宋体"/>
          <w:color w:val="auto"/>
          <w:kern w:val="1"/>
          <w:highlight w:val="none"/>
        </w:rPr>
        <w:t>招标人不得泄漏招标投标活动中应当保密的情况和资料，不得与投标人串通损害国家利益、社会公共利益或者他人合法权益。</w:t>
      </w:r>
    </w:p>
    <w:p w14:paraId="74A5797E">
      <w:pPr>
        <w:spacing w:line="360" w:lineRule="auto"/>
        <w:rPr>
          <w:rFonts w:hint="eastAsia" w:ascii="宋体" w:hAnsi="宋体"/>
          <w:b/>
          <w:color w:val="auto"/>
          <w:kern w:val="1"/>
          <w:szCs w:val="21"/>
          <w:highlight w:val="none"/>
        </w:rPr>
      </w:pPr>
      <w:r>
        <w:rPr>
          <w:rFonts w:hint="eastAsia" w:ascii="宋体" w:hAnsi="宋体"/>
          <w:b/>
          <w:color w:val="auto"/>
          <w:kern w:val="1"/>
          <w:szCs w:val="21"/>
          <w:highlight w:val="none"/>
        </w:rPr>
        <w:t>8.2 对投标人的纪律要求</w:t>
      </w:r>
    </w:p>
    <w:p w14:paraId="63B10AA3">
      <w:pPr>
        <w:spacing w:line="360" w:lineRule="auto"/>
        <w:ind w:firstLine="420"/>
        <w:rPr>
          <w:rFonts w:hint="eastAsia" w:ascii="宋体" w:hAnsi="宋体"/>
          <w:color w:val="auto"/>
          <w:kern w:val="1"/>
          <w:highlight w:val="none"/>
        </w:rPr>
      </w:pPr>
      <w:r>
        <w:rPr>
          <w:rFonts w:hint="eastAsia" w:ascii="宋体" w:hAnsi="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EBCA33">
      <w:pPr>
        <w:spacing w:line="360" w:lineRule="auto"/>
        <w:rPr>
          <w:rFonts w:hint="eastAsia" w:ascii="宋体" w:hAnsi="宋体"/>
          <w:b/>
          <w:bCs/>
          <w:color w:val="auto"/>
          <w:kern w:val="1"/>
          <w:szCs w:val="21"/>
          <w:highlight w:val="none"/>
        </w:rPr>
      </w:pPr>
      <w:r>
        <w:rPr>
          <w:rFonts w:hint="eastAsia" w:ascii="宋体" w:hAnsi="宋体"/>
          <w:b/>
          <w:bCs/>
          <w:color w:val="auto"/>
          <w:kern w:val="1"/>
          <w:szCs w:val="21"/>
          <w:highlight w:val="none"/>
        </w:rPr>
        <w:t xml:space="preserve">8.3 </w:t>
      </w:r>
      <w:r>
        <w:rPr>
          <w:rFonts w:hint="eastAsia" w:ascii="宋体" w:hAnsi="宋体"/>
          <w:b/>
          <w:color w:val="auto"/>
          <w:kern w:val="1"/>
          <w:highlight w:val="none"/>
        </w:rPr>
        <w:t>对评标委员会成员的纪律要求</w:t>
      </w:r>
    </w:p>
    <w:p w14:paraId="69908098">
      <w:pPr>
        <w:spacing w:line="360" w:lineRule="auto"/>
        <w:ind w:firstLine="420"/>
        <w:rPr>
          <w:rFonts w:hint="eastAsia" w:ascii="宋体" w:hAnsi="宋体"/>
          <w:color w:val="auto"/>
          <w:kern w:val="1"/>
          <w:highlight w:val="none"/>
        </w:rPr>
      </w:pPr>
      <w:r>
        <w:rPr>
          <w:rFonts w:hint="eastAsia" w:ascii="宋体" w:hAnsi="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1723F29">
      <w:pPr>
        <w:spacing w:line="360" w:lineRule="auto"/>
        <w:rPr>
          <w:rFonts w:hint="eastAsia" w:ascii="宋体" w:hAnsi="宋体"/>
          <w:b/>
          <w:color w:val="auto"/>
          <w:kern w:val="1"/>
          <w:szCs w:val="21"/>
          <w:highlight w:val="none"/>
        </w:rPr>
      </w:pPr>
      <w:r>
        <w:rPr>
          <w:rFonts w:hint="eastAsia" w:ascii="宋体" w:hAnsi="宋体"/>
          <w:b/>
          <w:color w:val="auto"/>
          <w:kern w:val="1"/>
          <w:szCs w:val="21"/>
          <w:highlight w:val="none"/>
        </w:rPr>
        <w:t>8.4 对与评标活动有关的工作人员的纪律要求</w:t>
      </w:r>
    </w:p>
    <w:p w14:paraId="189A05DE">
      <w:pPr>
        <w:spacing w:line="360" w:lineRule="auto"/>
        <w:ind w:firstLine="420"/>
        <w:rPr>
          <w:rFonts w:hint="eastAsia" w:ascii="宋体" w:hAnsi="宋体"/>
          <w:color w:val="auto"/>
          <w:kern w:val="1"/>
          <w:highlight w:val="none"/>
        </w:rPr>
      </w:pPr>
      <w:r>
        <w:rPr>
          <w:rFonts w:hint="eastAsia" w:ascii="宋体" w:hAnsi="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3688957">
      <w:pPr>
        <w:spacing w:line="360" w:lineRule="auto"/>
        <w:rPr>
          <w:rFonts w:hint="eastAsia" w:ascii="宋体" w:hAnsi="宋体"/>
          <w:b/>
          <w:bCs/>
          <w:color w:val="auto"/>
          <w:kern w:val="1"/>
          <w:szCs w:val="21"/>
          <w:highlight w:val="none"/>
        </w:rPr>
      </w:pPr>
      <w:r>
        <w:rPr>
          <w:rFonts w:hint="eastAsia" w:ascii="宋体" w:hAnsi="宋体"/>
          <w:b/>
          <w:bCs/>
          <w:color w:val="auto"/>
          <w:kern w:val="1"/>
          <w:szCs w:val="21"/>
          <w:highlight w:val="none"/>
        </w:rPr>
        <w:t>8.5 投诉</w:t>
      </w:r>
    </w:p>
    <w:p w14:paraId="3F2060DF">
      <w:pPr>
        <w:spacing w:line="360" w:lineRule="auto"/>
        <w:ind w:firstLine="420"/>
        <w:rPr>
          <w:rFonts w:hint="eastAsia" w:ascii="宋体" w:hAnsi="宋体"/>
          <w:color w:val="auto"/>
          <w:kern w:val="1"/>
          <w:highlight w:val="none"/>
        </w:rPr>
      </w:pPr>
      <w:r>
        <w:rPr>
          <w:rFonts w:hint="eastAsia" w:ascii="宋体" w:hAnsi="宋体"/>
          <w:color w:val="auto"/>
          <w:kern w:val="1"/>
          <w:highlight w:val="none"/>
        </w:rPr>
        <w:t>投标人和其他利害关系人认为本次招标活动违反法律、法规和规章规定的，有权向有关行政监督部门投诉。</w:t>
      </w:r>
    </w:p>
    <w:p w14:paraId="0DA68B9F">
      <w:pPr>
        <w:pStyle w:val="9"/>
        <w:spacing w:line="360" w:lineRule="auto"/>
        <w:rPr>
          <w:rFonts w:hint="eastAsia" w:ascii="宋体" w:hAnsi="宋体" w:eastAsia="宋体"/>
          <w:color w:val="auto"/>
          <w:highlight w:val="none"/>
          <w:lang w:val="zh-CN"/>
        </w:rPr>
      </w:pPr>
      <w:bookmarkStart w:id="459" w:name="_Toc24651"/>
      <w:bookmarkEnd w:id="459"/>
      <w:bookmarkStart w:id="460" w:name="_Toc18822"/>
      <w:bookmarkEnd w:id="460"/>
      <w:bookmarkStart w:id="461" w:name="_Toc10775"/>
      <w:bookmarkEnd w:id="461"/>
      <w:bookmarkStart w:id="462" w:name="_Toc443505833"/>
      <w:bookmarkEnd w:id="462"/>
      <w:bookmarkStart w:id="463" w:name="_Toc17396"/>
      <w:bookmarkEnd w:id="463"/>
      <w:bookmarkStart w:id="464" w:name="_Toc5620341"/>
      <w:bookmarkEnd w:id="464"/>
      <w:bookmarkStart w:id="465" w:name="_Toc11223"/>
      <w:bookmarkEnd w:id="465"/>
      <w:bookmarkStart w:id="466" w:name="_Toc28140"/>
      <w:bookmarkEnd w:id="466"/>
      <w:r>
        <w:rPr>
          <w:rFonts w:hint="eastAsia" w:ascii="宋体" w:hAnsi="宋体" w:eastAsia="宋体"/>
          <w:color w:val="auto"/>
          <w:highlight w:val="none"/>
          <w:lang w:val="zh-CN"/>
        </w:rPr>
        <w:t>9. 需要补充的其他内容</w:t>
      </w:r>
    </w:p>
    <w:p w14:paraId="50B7D6E6">
      <w:pPr>
        <w:spacing w:line="360" w:lineRule="auto"/>
        <w:ind w:firstLine="420"/>
        <w:rPr>
          <w:rFonts w:hint="eastAsia" w:ascii="宋体" w:hAnsi="宋体"/>
          <w:color w:val="auto"/>
          <w:kern w:val="1"/>
          <w:highlight w:val="none"/>
        </w:rPr>
      </w:pPr>
      <w:r>
        <w:rPr>
          <w:rFonts w:hint="eastAsia" w:ascii="宋体" w:hAnsi="宋体"/>
          <w:color w:val="auto"/>
          <w:kern w:val="1"/>
          <w:highlight w:val="none"/>
        </w:rPr>
        <w:t>需要补充的其他内容：见投标人须知前附表。</w:t>
      </w:r>
    </w:p>
    <w:p w14:paraId="38AB6AA7">
      <w:pPr>
        <w:pStyle w:val="9"/>
        <w:spacing w:line="360" w:lineRule="auto"/>
        <w:rPr>
          <w:rFonts w:hint="eastAsia" w:ascii="宋体" w:hAnsi="宋体" w:eastAsia="宋体"/>
          <w:color w:val="auto"/>
          <w:highlight w:val="none"/>
          <w:lang w:val="zh-CN"/>
        </w:rPr>
      </w:pPr>
      <w:bookmarkStart w:id="467" w:name="_Toc3028"/>
      <w:bookmarkEnd w:id="467"/>
      <w:bookmarkStart w:id="468" w:name="_Toc5620342"/>
      <w:bookmarkEnd w:id="468"/>
      <w:bookmarkStart w:id="469" w:name="_Toc15629"/>
      <w:bookmarkEnd w:id="469"/>
      <w:bookmarkStart w:id="470" w:name="_Toc9422"/>
      <w:bookmarkEnd w:id="470"/>
      <w:bookmarkStart w:id="471" w:name="_Toc10563"/>
      <w:bookmarkEnd w:id="471"/>
      <w:bookmarkStart w:id="472" w:name="_Toc443505834"/>
      <w:bookmarkEnd w:id="472"/>
      <w:bookmarkStart w:id="473" w:name="_Toc26121"/>
      <w:bookmarkEnd w:id="473"/>
      <w:bookmarkStart w:id="474" w:name="_Toc14656"/>
      <w:bookmarkEnd w:id="474"/>
      <w:r>
        <w:rPr>
          <w:rFonts w:hint="eastAsia" w:ascii="宋体" w:hAnsi="宋体" w:eastAsia="宋体"/>
          <w:color w:val="auto"/>
          <w:highlight w:val="none"/>
          <w:lang w:val="zh-CN"/>
        </w:rPr>
        <w:t>10. 电子招标投标</w:t>
      </w:r>
    </w:p>
    <w:p w14:paraId="646280BE">
      <w:pPr>
        <w:spacing w:line="360" w:lineRule="auto"/>
        <w:ind w:firstLine="420"/>
        <w:rPr>
          <w:rFonts w:hint="eastAsia"/>
          <w:color w:val="auto"/>
          <w:highlight w:val="none"/>
        </w:rPr>
      </w:pPr>
      <w:r>
        <w:rPr>
          <w:rFonts w:hint="eastAsia"/>
          <w:color w:val="auto"/>
          <w:highlight w:val="none"/>
        </w:rPr>
        <w:t>采用电子招标投标，对投标文件的编制、密封和标记、递交、开标、评标等具体要求，见投标人须知前附表。</w:t>
      </w:r>
    </w:p>
    <w:p w14:paraId="695831C8">
      <w:pPr>
        <w:pStyle w:val="9"/>
        <w:spacing w:line="360" w:lineRule="auto"/>
        <w:rPr>
          <w:rFonts w:hint="eastAsia" w:ascii="宋体" w:hAnsi="宋体" w:eastAsia="宋体"/>
          <w:color w:val="auto"/>
          <w:highlight w:val="none"/>
          <w:u w:val="single"/>
          <w:lang w:val="zh-CN"/>
        </w:rPr>
      </w:pPr>
      <w:bookmarkStart w:id="475" w:name="_Toc20042"/>
      <w:bookmarkEnd w:id="475"/>
      <w:bookmarkStart w:id="476" w:name="_Toc25267"/>
      <w:bookmarkEnd w:id="476"/>
      <w:bookmarkStart w:id="477" w:name="_Toc4793"/>
      <w:bookmarkEnd w:id="477"/>
      <w:bookmarkStart w:id="478" w:name="_Toc2577"/>
      <w:bookmarkEnd w:id="478"/>
      <w:bookmarkStart w:id="479" w:name="_Toc22520"/>
      <w:bookmarkStart w:id="480" w:name="_Toc32213"/>
      <w:bookmarkStart w:id="481" w:name="_Toc5620343"/>
      <w:r>
        <w:rPr>
          <w:rFonts w:hint="eastAsia" w:ascii="宋体" w:hAnsi="宋体" w:eastAsia="宋体"/>
          <w:color w:val="auto"/>
          <w:highlight w:val="none"/>
          <w:u w:val="single"/>
          <w:lang w:val="zh-CN"/>
        </w:rPr>
        <w:t>11.评标应急预案</w:t>
      </w:r>
    </w:p>
    <w:p w14:paraId="2847AC5F">
      <w:pPr>
        <w:spacing w:line="360" w:lineRule="auto"/>
        <w:ind w:firstLine="420" w:firstLineChars="200"/>
        <w:rPr>
          <w:rFonts w:hint="eastAsia" w:ascii="宋体" w:hAnsi="宋体"/>
          <w:color w:val="auto"/>
          <w:kern w:val="1"/>
          <w:highlight w:val="none"/>
          <w:u w:val="single"/>
        </w:rPr>
      </w:pPr>
      <w:r>
        <w:rPr>
          <w:rFonts w:hint="eastAsia" w:ascii="宋体" w:hAnsi="宋体"/>
          <w:color w:val="auto"/>
          <w:kern w:val="1"/>
          <w:highlight w:val="none"/>
          <w:u w:val="single"/>
        </w:rPr>
        <w:t>11.</w:t>
      </w:r>
      <w:r>
        <w:rPr>
          <w:rFonts w:hint="eastAsia" w:ascii="宋体" w:hAnsi="宋体" w:eastAsia="宋体"/>
          <w:color w:val="auto"/>
          <w:kern w:val="1"/>
          <w:highlight w:val="none"/>
          <w:u w:val="single"/>
        </w:rPr>
        <w:t>1在评标过程中，当采用全流程电子化通用型开评标系统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14:paraId="1CAA4A27">
      <w:pPr>
        <w:spacing w:line="360" w:lineRule="auto"/>
        <w:ind w:firstLine="420" w:firstLineChars="200"/>
        <w:rPr>
          <w:rFonts w:hint="eastAsia" w:ascii="宋体" w:hAnsi="宋体" w:eastAsia="宋体"/>
          <w:color w:val="auto"/>
          <w:kern w:val="1"/>
          <w:highlight w:val="none"/>
          <w:u w:val="single"/>
        </w:rPr>
      </w:pPr>
      <w:r>
        <w:rPr>
          <w:rFonts w:hint="eastAsia" w:ascii="宋体" w:hAnsi="宋体" w:eastAsia="宋体"/>
          <w:color w:val="auto"/>
          <w:kern w:val="1"/>
          <w:highlight w:val="none"/>
          <w:u w:val="single"/>
        </w:rPr>
        <w:t>11.2在电子评标过程中，无论遇到任何系统异常或故障，评标委员会均应出具评标报告。</w:t>
      </w:r>
    </w:p>
    <w:p w14:paraId="5D0B72E8">
      <w:pPr>
        <w:pStyle w:val="9"/>
        <w:spacing w:line="360" w:lineRule="auto"/>
        <w:rPr>
          <w:rFonts w:hint="eastAsia" w:ascii="宋体" w:hAnsi="宋体" w:eastAsia="宋体"/>
          <w:color w:val="auto"/>
          <w:highlight w:val="none"/>
          <w:u w:val="single"/>
          <w:lang w:val="zh-CN"/>
        </w:rPr>
      </w:pPr>
      <w:bookmarkStart w:id="482" w:name="_Toc9615"/>
      <w:bookmarkEnd w:id="482"/>
      <w:bookmarkStart w:id="483" w:name="_Toc10466"/>
      <w:bookmarkEnd w:id="483"/>
      <w:r>
        <w:rPr>
          <w:rFonts w:hint="eastAsia" w:ascii="宋体" w:hAnsi="宋体" w:eastAsia="宋体"/>
          <w:color w:val="auto"/>
          <w:highlight w:val="none"/>
          <w:u w:val="single"/>
          <w:lang w:val="zh-CN"/>
        </w:rPr>
        <w:t>12.其他</w:t>
      </w:r>
    </w:p>
    <w:p w14:paraId="54D80AFA">
      <w:pPr>
        <w:spacing w:line="360" w:lineRule="auto"/>
        <w:ind w:firstLine="420" w:firstLineChars="200"/>
        <w:rPr>
          <w:rFonts w:hint="eastAsia" w:ascii="宋体" w:hAnsi="宋体"/>
          <w:color w:val="auto"/>
          <w:kern w:val="1"/>
          <w:highlight w:val="none"/>
          <w:u w:val="single"/>
        </w:rPr>
      </w:pPr>
      <w:r>
        <w:rPr>
          <w:rFonts w:hint="eastAsia" w:ascii="宋体" w:hAnsi="宋体"/>
          <w:color w:val="auto"/>
          <w:kern w:val="1"/>
          <w:highlight w:val="none"/>
          <w:u w:val="single"/>
        </w:rPr>
        <w:t>12.1 投标人按招标文件要求递交的所有资料,若存在虚假材料，一经发现或被投诉，经确认证实后，招标人将取消其投标资格，并上报给相关主管部门予以通报。</w:t>
      </w:r>
    </w:p>
    <w:bookmarkEnd w:id="479"/>
    <w:bookmarkEnd w:id="480"/>
    <w:bookmarkEnd w:id="481"/>
    <w:p w14:paraId="1A0AF598">
      <w:pPr>
        <w:spacing w:line="360" w:lineRule="auto"/>
        <w:ind w:firstLine="420" w:firstLineChars="200"/>
        <w:rPr>
          <w:rFonts w:hint="eastAsia" w:ascii="宋体" w:hAnsi="宋体"/>
          <w:color w:val="auto"/>
          <w:kern w:val="1"/>
          <w:highlight w:val="none"/>
          <w:u w:val="single"/>
        </w:rPr>
      </w:pPr>
      <w:r>
        <w:rPr>
          <w:rFonts w:hint="eastAsia" w:ascii="宋体" w:hAnsi="宋体"/>
          <w:color w:val="auto"/>
          <w:kern w:val="1"/>
          <w:highlight w:val="none"/>
          <w:u w:val="single"/>
        </w:rPr>
        <w:t>12.2投标人如在本项目中存在串通投标、弄虚作假骗取中标、行贿情形的，中标无效，行政监督部门将对其违法行为进行政处罚。该投标人将被招标人列入黑名单并限制其参与招标人后续项目的投标。</w:t>
      </w:r>
    </w:p>
    <w:p w14:paraId="5DF5DB7B">
      <w:pPr>
        <w:spacing w:line="360" w:lineRule="auto"/>
        <w:ind w:firstLine="420" w:firstLineChars="200"/>
        <w:rPr>
          <w:rFonts w:ascii="宋体" w:hAnsi="宋体"/>
          <w:color w:val="auto"/>
          <w:kern w:val="1"/>
          <w:highlight w:val="none"/>
        </w:rPr>
        <w:sectPr>
          <w:headerReference r:id="rId3" w:type="default"/>
          <w:footerReference r:id="rId4" w:type="default"/>
          <w:pgSz w:w="11906" w:h="16838"/>
          <w:pgMar w:top="1440" w:right="1269" w:bottom="1440" w:left="1597" w:header="851" w:footer="992" w:gutter="0"/>
          <w:pgNumType w:start="1"/>
          <w:cols w:space="720" w:num="1"/>
          <w:docGrid w:linePitch="0" w:charSpace="0"/>
        </w:sectPr>
      </w:pPr>
    </w:p>
    <w:p w14:paraId="4E6B1FA2">
      <w:pPr>
        <w:keepNext/>
        <w:keepLines/>
        <w:spacing w:before="120" w:after="120" w:line="360" w:lineRule="auto"/>
        <w:ind w:firstLine="136"/>
        <w:rPr>
          <w:rFonts w:hint="eastAsia" w:ascii="宋体" w:hAnsi="宋体"/>
          <w:color w:val="auto"/>
          <w:highlight w:val="none"/>
        </w:rPr>
      </w:pPr>
      <w:bookmarkStart w:id="484" w:name="_Toc5620345"/>
      <w:bookmarkEnd w:id="484"/>
      <w:r>
        <w:rPr>
          <w:rFonts w:hint="eastAsia" w:ascii="宋体" w:hAnsi="宋体"/>
          <w:color w:val="auto"/>
          <w:highlight w:val="none"/>
        </w:rPr>
        <w:t>附件一：开标记录表</w:t>
      </w:r>
    </w:p>
    <w:p w14:paraId="4D7696A7">
      <w:pPr>
        <w:spacing w:line="360" w:lineRule="auto"/>
        <w:jc w:val="center"/>
        <w:rPr>
          <w:rFonts w:hint="eastAsia" w:ascii="宋体" w:hAnsi="宋体"/>
          <w:color w:val="auto"/>
          <w:kern w:val="1"/>
          <w:sz w:val="28"/>
          <w:szCs w:val="28"/>
          <w:highlight w:val="none"/>
        </w:rPr>
      </w:pPr>
      <w:r>
        <w:rPr>
          <w:rFonts w:hint="eastAsia" w:ascii="宋体" w:hAnsi="宋体"/>
          <w:color w:val="auto"/>
          <w:kern w:val="1"/>
          <w:sz w:val="28"/>
          <w:szCs w:val="28"/>
          <w:highlight w:val="none"/>
        </w:rPr>
        <w:t>开标记录表</w:t>
      </w:r>
    </w:p>
    <w:p w14:paraId="5C00C055">
      <w:pPr>
        <w:spacing w:line="360" w:lineRule="auto"/>
        <w:ind w:right="420"/>
        <w:jc w:val="center"/>
        <w:rPr>
          <w:rFonts w:hint="eastAsia" w:ascii="宋体" w:hAnsi="宋体"/>
          <w:color w:val="auto"/>
          <w:kern w:val="1"/>
          <w:highlight w:val="none"/>
        </w:rPr>
      </w:pPr>
      <w:r>
        <w:rPr>
          <w:rFonts w:hint="eastAsia" w:ascii="宋体" w:hAnsi="宋体"/>
          <w:color w:val="auto"/>
          <w:kern w:val="1"/>
          <w:highlight w:val="none"/>
        </w:rPr>
        <w:t xml:space="preserve">                                                                                                        开标时间： 年 月 日 时 分</w:t>
      </w:r>
    </w:p>
    <w:tbl>
      <w:tblPr>
        <w:tblStyle w:val="5"/>
        <w:tblW w:w="13842" w:type="dxa"/>
        <w:tblInd w:w="-108" w:type="dxa"/>
        <w:tblLayout w:type="fixed"/>
        <w:tblCellMar>
          <w:top w:w="0" w:type="dxa"/>
          <w:left w:w="108" w:type="dxa"/>
          <w:bottom w:w="0" w:type="dxa"/>
          <w:right w:w="108" w:type="dxa"/>
        </w:tblCellMar>
      </w:tblPr>
      <w:tblGrid>
        <w:gridCol w:w="457"/>
        <w:gridCol w:w="1537"/>
        <w:gridCol w:w="639"/>
        <w:gridCol w:w="885"/>
        <w:gridCol w:w="665"/>
        <w:gridCol w:w="594"/>
        <w:gridCol w:w="681"/>
        <w:gridCol w:w="626"/>
        <w:gridCol w:w="750"/>
        <w:gridCol w:w="727"/>
        <w:gridCol w:w="1093"/>
        <w:gridCol w:w="567"/>
        <w:gridCol w:w="715"/>
        <w:gridCol w:w="564"/>
        <w:gridCol w:w="553"/>
        <w:gridCol w:w="633"/>
        <w:gridCol w:w="517"/>
        <w:gridCol w:w="985"/>
        <w:gridCol w:w="654"/>
      </w:tblGrid>
      <w:tr w14:paraId="63879943">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21B57638">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79458808">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投标人名称</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14:paraId="08EE8D17">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投标文件递交情况</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18192E32">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023E3B70">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7267E5A8">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质量标准</w:t>
            </w:r>
          </w:p>
        </w:tc>
        <w:tc>
          <w:tcPr>
            <w:tcW w:w="681" w:type="dxa"/>
            <w:vMerge w:val="restart"/>
            <w:tcBorders>
              <w:top w:val="single" w:color="000000" w:sz="4" w:space="0"/>
              <w:left w:val="single" w:color="000000" w:sz="4" w:space="0"/>
              <w:right w:val="single" w:color="000000" w:sz="4" w:space="0"/>
            </w:tcBorders>
            <w:vAlign w:val="center"/>
          </w:tcPr>
          <w:p w14:paraId="4BCDC9D2">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项目负责人</w:t>
            </w:r>
          </w:p>
        </w:tc>
        <w:tc>
          <w:tcPr>
            <w:tcW w:w="626" w:type="dxa"/>
            <w:vMerge w:val="restart"/>
            <w:tcBorders>
              <w:top w:val="single" w:color="000000" w:sz="4" w:space="0"/>
              <w:left w:val="single" w:color="000000" w:sz="4" w:space="0"/>
              <w:right w:val="single" w:color="000000" w:sz="4" w:space="0"/>
            </w:tcBorders>
            <w:vAlign w:val="center"/>
          </w:tcPr>
          <w:p w14:paraId="36FCEEC2">
            <w:pPr>
              <w:spacing w:line="360" w:lineRule="auto"/>
              <w:jc w:val="center"/>
              <w:rPr>
                <w:rFonts w:hint="eastAsia" w:ascii="宋体" w:hAnsi="宋体"/>
                <w:color w:val="auto"/>
                <w:kern w:val="1"/>
                <w:sz w:val="18"/>
                <w:szCs w:val="18"/>
                <w:highlight w:val="none"/>
                <w:lang w:val="en-US" w:eastAsia="zh-CN"/>
              </w:rPr>
            </w:pPr>
            <w:r>
              <w:rPr>
                <w:rFonts w:hint="eastAsia" w:ascii="宋体" w:hAnsi="宋体"/>
                <w:color w:val="auto"/>
                <w:kern w:val="1"/>
                <w:sz w:val="18"/>
                <w:szCs w:val="18"/>
                <w:highlight w:val="none"/>
                <w:lang w:val="en-US" w:eastAsia="zh-CN"/>
              </w:rPr>
              <w:t>施工负责人</w:t>
            </w:r>
          </w:p>
        </w:tc>
        <w:tc>
          <w:tcPr>
            <w:tcW w:w="750" w:type="dxa"/>
            <w:vMerge w:val="restart"/>
            <w:tcBorders>
              <w:top w:val="single" w:color="000000" w:sz="4" w:space="0"/>
              <w:left w:val="single" w:color="000000" w:sz="4" w:space="0"/>
              <w:right w:val="single" w:color="000000" w:sz="4" w:space="0"/>
            </w:tcBorders>
            <w:vAlign w:val="center"/>
          </w:tcPr>
          <w:p w14:paraId="355F97E8">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设计负责人</w:t>
            </w:r>
          </w:p>
        </w:tc>
        <w:tc>
          <w:tcPr>
            <w:tcW w:w="727" w:type="dxa"/>
            <w:vMerge w:val="restart"/>
            <w:tcBorders>
              <w:top w:val="single" w:color="000000" w:sz="4" w:space="0"/>
              <w:left w:val="single" w:color="000000" w:sz="4" w:space="0"/>
              <w:right w:val="single" w:color="000000" w:sz="4" w:space="0"/>
            </w:tcBorders>
            <w:vAlign w:val="center"/>
          </w:tcPr>
          <w:p w14:paraId="30C7C3A0">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专职安全员</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14:paraId="565F3653">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投标总报价（人民币：元）</w:t>
            </w:r>
          </w:p>
        </w:tc>
        <w:tc>
          <w:tcPr>
            <w:tcW w:w="1846" w:type="dxa"/>
            <w:gridSpan w:val="3"/>
            <w:tcBorders>
              <w:top w:val="single" w:color="000000" w:sz="4" w:space="0"/>
              <w:left w:val="single" w:color="000000" w:sz="4" w:space="0"/>
              <w:bottom w:val="single" w:color="000000" w:sz="4" w:space="0"/>
              <w:right w:val="single" w:color="000000" w:sz="4" w:space="0"/>
            </w:tcBorders>
            <w:vAlign w:val="center"/>
          </w:tcPr>
          <w:p w14:paraId="64222799">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投标报价</w:t>
            </w:r>
          </w:p>
          <w:p w14:paraId="1B1E923C">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（人民币：元）</w:t>
            </w:r>
          </w:p>
        </w:tc>
        <w:tc>
          <w:tcPr>
            <w:tcW w:w="1703" w:type="dxa"/>
            <w:gridSpan w:val="3"/>
            <w:tcBorders>
              <w:top w:val="single" w:color="000000" w:sz="4" w:space="0"/>
              <w:left w:val="single" w:color="000000" w:sz="4" w:space="0"/>
              <w:bottom w:val="single" w:color="000000" w:sz="4" w:space="0"/>
              <w:right w:val="single" w:color="000000" w:sz="4" w:space="0"/>
            </w:tcBorders>
            <w:vAlign w:val="center"/>
          </w:tcPr>
          <w:p w14:paraId="7FBB1E9B">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投标下浮率（%）</w:t>
            </w:r>
          </w:p>
        </w:tc>
        <w:tc>
          <w:tcPr>
            <w:tcW w:w="985" w:type="dxa"/>
            <w:tcBorders>
              <w:top w:val="single" w:color="000000" w:sz="4" w:space="0"/>
              <w:left w:val="single" w:color="000000" w:sz="4" w:space="0"/>
              <w:bottom w:val="single" w:color="000000" w:sz="4" w:space="0"/>
              <w:right w:val="single" w:color="000000" w:sz="4" w:space="0"/>
            </w:tcBorders>
            <w:vAlign w:val="center"/>
          </w:tcPr>
          <w:p w14:paraId="43882085">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投标人代表签名</w:t>
            </w:r>
          </w:p>
        </w:tc>
        <w:tc>
          <w:tcPr>
            <w:tcW w:w="654" w:type="dxa"/>
            <w:tcBorders>
              <w:top w:val="single" w:color="000000" w:sz="4" w:space="0"/>
              <w:left w:val="single" w:color="000000" w:sz="4" w:space="0"/>
              <w:bottom w:val="single" w:color="000000" w:sz="4" w:space="0"/>
              <w:right w:val="single" w:color="000000" w:sz="4" w:space="0"/>
            </w:tcBorders>
            <w:vAlign w:val="center"/>
          </w:tcPr>
          <w:p w14:paraId="19AF381E">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备注</w:t>
            </w:r>
          </w:p>
        </w:tc>
      </w:tr>
      <w:tr w14:paraId="47A6FA71">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2DB398C0">
            <w:pPr>
              <w:spacing w:line="360" w:lineRule="auto"/>
              <w:jc w:val="left"/>
              <w:rPr>
                <w:rFonts w:ascii="宋体" w:hAnsi="宋体"/>
                <w:color w:val="auto"/>
                <w:kern w:val="1"/>
                <w:sz w:val="18"/>
                <w:szCs w:val="18"/>
                <w:highlight w:val="none"/>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67ED1CDA">
            <w:pPr>
              <w:spacing w:line="360" w:lineRule="auto"/>
              <w:jc w:val="left"/>
              <w:rPr>
                <w:rFonts w:ascii="宋体" w:hAnsi="宋体"/>
                <w:color w:val="auto"/>
                <w:kern w:val="1"/>
                <w:sz w:val="18"/>
                <w:szCs w:val="18"/>
                <w:highlight w:val="none"/>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14:paraId="43F6D2D8">
            <w:pPr>
              <w:spacing w:line="360" w:lineRule="auto"/>
              <w:jc w:val="left"/>
              <w:rPr>
                <w:rFonts w:ascii="宋体" w:hAnsi="宋体"/>
                <w:color w:val="auto"/>
                <w:kern w:val="1"/>
                <w:sz w:val="18"/>
                <w:szCs w:val="18"/>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31D20AA2">
            <w:pPr>
              <w:spacing w:line="360" w:lineRule="auto"/>
              <w:jc w:val="left"/>
              <w:rPr>
                <w:rFonts w:ascii="宋体" w:hAnsi="宋体"/>
                <w:color w:val="auto"/>
                <w:kern w:val="1"/>
                <w:sz w:val="18"/>
                <w:szCs w:val="18"/>
                <w:highlight w:val="none"/>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20C60722">
            <w:pPr>
              <w:spacing w:line="360" w:lineRule="auto"/>
              <w:jc w:val="left"/>
              <w:rPr>
                <w:rFonts w:ascii="宋体" w:hAnsi="宋体"/>
                <w:color w:val="auto"/>
                <w:kern w:val="1"/>
                <w:sz w:val="18"/>
                <w:szCs w:val="18"/>
                <w:highlight w:val="none"/>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2A45B4F5">
            <w:pPr>
              <w:spacing w:line="360" w:lineRule="auto"/>
              <w:jc w:val="left"/>
              <w:rPr>
                <w:rFonts w:ascii="宋体" w:hAnsi="宋体"/>
                <w:color w:val="auto"/>
                <w:kern w:val="1"/>
                <w:sz w:val="18"/>
                <w:szCs w:val="18"/>
                <w:highlight w:val="none"/>
              </w:rPr>
            </w:pPr>
          </w:p>
        </w:tc>
        <w:tc>
          <w:tcPr>
            <w:tcW w:w="681" w:type="dxa"/>
            <w:vMerge w:val="continue"/>
            <w:tcBorders>
              <w:left w:val="single" w:color="000000" w:sz="4" w:space="0"/>
              <w:bottom w:val="single" w:color="000000" w:sz="4" w:space="0"/>
              <w:right w:val="single" w:color="000000" w:sz="4" w:space="0"/>
            </w:tcBorders>
            <w:vAlign w:val="center"/>
          </w:tcPr>
          <w:p w14:paraId="1E67CA23">
            <w:pPr>
              <w:spacing w:line="360" w:lineRule="auto"/>
              <w:jc w:val="center"/>
              <w:rPr>
                <w:rFonts w:ascii="宋体" w:hAnsi="宋体"/>
                <w:color w:val="auto"/>
                <w:kern w:val="1"/>
                <w:sz w:val="18"/>
                <w:szCs w:val="18"/>
                <w:highlight w:val="none"/>
              </w:rPr>
            </w:pPr>
          </w:p>
        </w:tc>
        <w:tc>
          <w:tcPr>
            <w:tcW w:w="626" w:type="dxa"/>
            <w:vMerge w:val="continue"/>
            <w:tcBorders>
              <w:left w:val="single" w:color="000000" w:sz="4" w:space="0"/>
              <w:bottom w:val="single" w:color="000000" w:sz="4" w:space="0"/>
              <w:right w:val="single" w:color="000000" w:sz="4" w:space="0"/>
            </w:tcBorders>
            <w:vAlign w:val="center"/>
          </w:tcPr>
          <w:p w14:paraId="6CC6C5FF">
            <w:pPr>
              <w:spacing w:line="360" w:lineRule="auto"/>
              <w:jc w:val="center"/>
              <w:rPr>
                <w:rFonts w:ascii="宋体" w:hAnsi="宋体"/>
                <w:color w:val="auto"/>
                <w:kern w:val="1"/>
                <w:sz w:val="18"/>
                <w:szCs w:val="18"/>
                <w:highlight w:val="none"/>
              </w:rPr>
            </w:pPr>
          </w:p>
        </w:tc>
        <w:tc>
          <w:tcPr>
            <w:tcW w:w="750" w:type="dxa"/>
            <w:vMerge w:val="continue"/>
            <w:tcBorders>
              <w:left w:val="single" w:color="000000" w:sz="4" w:space="0"/>
              <w:bottom w:val="single" w:color="000000" w:sz="4" w:space="0"/>
              <w:right w:val="single" w:color="000000" w:sz="4" w:space="0"/>
            </w:tcBorders>
            <w:vAlign w:val="center"/>
          </w:tcPr>
          <w:p w14:paraId="6F9B2D53">
            <w:pPr>
              <w:spacing w:line="360" w:lineRule="auto"/>
              <w:jc w:val="center"/>
              <w:rPr>
                <w:rFonts w:ascii="宋体" w:hAnsi="宋体"/>
                <w:color w:val="auto"/>
                <w:kern w:val="1"/>
                <w:sz w:val="18"/>
                <w:szCs w:val="18"/>
                <w:highlight w:val="none"/>
              </w:rPr>
            </w:pPr>
          </w:p>
        </w:tc>
        <w:tc>
          <w:tcPr>
            <w:tcW w:w="727" w:type="dxa"/>
            <w:vMerge w:val="continue"/>
            <w:tcBorders>
              <w:left w:val="single" w:color="000000" w:sz="4" w:space="0"/>
              <w:bottom w:val="single" w:color="000000" w:sz="4" w:space="0"/>
              <w:right w:val="single" w:color="000000" w:sz="4" w:space="0"/>
            </w:tcBorders>
            <w:vAlign w:val="center"/>
          </w:tcPr>
          <w:p w14:paraId="22EE9E00">
            <w:pPr>
              <w:spacing w:line="360" w:lineRule="auto"/>
              <w:jc w:val="center"/>
              <w:rPr>
                <w:rFonts w:ascii="宋体" w:hAnsi="宋体"/>
                <w:color w:val="auto"/>
                <w:kern w:val="1"/>
                <w:sz w:val="18"/>
                <w:szCs w:val="18"/>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67A82F4">
            <w:pPr>
              <w:spacing w:line="360" w:lineRule="auto"/>
              <w:jc w:val="left"/>
              <w:rPr>
                <w:rFonts w:ascii="宋体" w:hAnsi="宋体"/>
                <w:color w:val="auto"/>
                <w:kern w:val="1"/>
                <w:sz w:val="18"/>
                <w:szCs w:val="18"/>
                <w:highlight w:val="none"/>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551FC3A">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设计费</w:t>
            </w:r>
          </w:p>
        </w:tc>
        <w:tc>
          <w:tcPr>
            <w:tcW w:w="715" w:type="dxa"/>
            <w:tcBorders>
              <w:top w:val="single" w:color="000000" w:sz="4" w:space="0"/>
              <w:left w:val="single" w:color="000000" w:sz="4" w:space="0"/>
              <w:bottom w:val="single" w:color="000000" w:sz="4" w:space="0"/>
              <w:right w:val="single" w:color="000000" w:sz="4" w:space="0"/>
            </w:tcBorders>
            <w:vAlign w:val="center"/>
          </w:tcPr>
          <w:p w14:paraId="5525C02C">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建安工程费</w:t>
            </w:r>
          </w:p>
        </w:tc>
        <w:tc>
          <w:tcPr>
            <w:tcW w:w="564" w:type="dxa"/>
            <w:tcBorders>
              <w:top w:val="single" w:color="000000" w:sz="4" w:space="0"/>
              <w:left w:val="single" w:color="000000" w:sz="4" w:space="0"/>
              <w:bottom w:val="single" w:color="000000" w:sz="4" w:space="0"/>
              <w:right w:val="single" w:color="000000" w:sz="4" w:space="0"/>
            </w:tcBorders>
            <w:vAlign w:val="center"/>
          </w:tcPr>
          <w:p w14:paraId="39234C13">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w:t>
            </w:r>
          </w:p>
        </w:tc>
        <w:tc>
          <w:tcPr>
            <w:tcW w:w="553" w:type="dxa"/>
            <w:tcBorders>
              <w:top w:val="single" w:color="000000" w:sz="4" w:space="0"/>
              <w:left w:val="single" w:color="000000" w:sz="4" w:space="0"/>
              <w:bottom w:val="single" w:color="000000" w:sz="4" w:space="0"/>
              <w:right w:val="single" w:color="000000" w:sz="4" w:space="0"/>
            </w:tcBorders>
            <w:vAlign w:val="center"/>
          </w:tcPr>
          <w:p w14:paraId="23353AAF">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设计费</w:t>
            </w:r>
          </w:p>
        </w:tc>
        <w:tc>
          <w:tcPr>
            <w:tcW w:w="633" w:type="dxa"/>
            <w:tcBorders>
              <w:top w:val="single" w:color="000000" w:sz="4" w:space="0"/>
              <w:left w:val="single" w:color="000000" w:sz="4" w:space="0"/>
              <w:bottom w:val="single" w:color="000000" w:sz="4" w:space="0"/>
              <w:right w:val="single" w:color="000000" w:sz="4" w:space="0"/>
            </w:tcBorders>
            <w:vAlign w:val="center"/>
          </w:tcPr>
          <w:p w14:paraId="091B9B0C">
            <w:pPr>
              <w:spacing w:line="360" w:lineRule="auto"/>
              <w:jc w:val="center"/>
              <w:rPr>
                <w:rFonts w:hint="eastAsia" w:ascii="宋体" w:hAnsi="宋体"/>
                <w:color w:val="auto"/>
                <w:kern w:val="1"/>
                <w:sz w:val="18"/>
                <w:szCs w:val="18"/>
                <w:highlight w:val="none"/>
              </w:rPr>
            </w:pPr>
            <w:r>
              <w:rPr>
                <w:rFonts w:hint="eastAsia" w:ascii="宋体" w:hAnsi="宋体"/>
                <w:color w:val="auto"/>
                <w:kern w:val="1"/>
                <w:sz w:val="18"/>
                <w:szCs w:val="18"/>
                <w:highlight w:val="none"/>
              </w:rPr>
              <w:t>建安工程费</w:t>
            </w:r>
          </w:p>
        </w:tc>
        <w:tc>
          <w:tcPr>
            <w:tcW w:w="517" w:type="dxa"/>
            <w:tcBorders>
              <w:top w:val="single" w:color="000000" w:sz="4" w:space="0"/>
              <w:left w:val="single" w:color="000000" w:sz="4" w:space="0"/>
              <w:bottom w:val="single" w:color="000000" w:sz="4" w:space="0"/>
              <w:right w:val="single" w:color="000000" w:sz="4" w:space="0"/>
            </w:tcBorders>
            <w:vAlign w:val="center"/>
          </w:tcPr>
          <w:p w14:paraId="0CB6F87A">
            <w:pPr>
              <w:spacing w:line="360" w:lineRule="auto"/>
              <w:jc w:val="left"/>
              <w:rPr>
                <w:rFonts w:hint="eastAsia" w:ascii="宋体" w:hAnsi="宋体"/>
                <w:color w:val="auto"/>
                <w:kern w:val="1"/>
                <w:sz w:val="18"/>
                <w:szCs w:val="18"/>
                <w:highlight w:val="none"/>
              </w:rPr>
            </w:pPr>
            <w:r>
              <w:rPr>
                <w:rFonts w:hint="eastAsia" w:ascii="宋体" w:hAnsi="宋体"/>
                <w:color w:val="auto"/>
                <w:kern w:val="1"/>
                <w:sz w:val="18"/>
                <w:szCs w:val="18"/>
                <w:highlight w:val="none"/>
              </w:rPr>
              <w:t>...</w:t>
            </w:r>
          </w:p>
        </w:tc>
        <w:tc>
          <w:tcPr>
            <w:tcW w:w="985" w:type="dxa"/>
            <w:tcBorders>
              <w:top w:val="single" w:color="000000" w:sz="4" w:space="0"/>
              <w:left w:val="single" w:color="000000" w:sz="4" w:space="0"/>
              <w:right w:val="single" w:color="000000" w:sz="4" w:space="0"/>
            </w:tcBorders>
            <w:vAlign w:val="top"/>
          </w:tcPr>
          <w:p w14:paraId="2866C5B2">
            <w:pPr>
              <w:spacing w:line="360" w:lineRule="auto"/>
              <w:jc w:val="left"/>
              <w:rPr>
                <w:rFonts w:ascii="宋体" w:hAnsi="宋体"/>
                <w:color w:val="auto"/>
                <w:kern w:val="1"/>
                <w:sz w:val="18"/>
                <w:szCs w:val="18"/>
                <w:highlight w:val="none"/>
              </w:rPr>
            </w:pPr>
          </w:p>
        </w:tc>
        <w:tc>
          <w:tcPr>
            <w:tcW w:w="654" w:type="dxa"/>
            <w:tcBorders>
              <w:top w:val="single" w:color="000000" w:sz="4" w:space="0"/>
              <w:left w:val="single" w:color="000000" w:sz="4" w:space="0"/>
              <w:right w:val="single" w:color="000000" w:sz="4" w:space="0"/>
            </w:tcBorders>
            <w:vAlign w:val="top"/>
          </w:tcPr>
          <w:p w14:paraId="1D99E4FC">
            <w:pPr>
              <w:spacing w:line="360" w:lineRule="auto"/>
              <w:jc w:val="left"/>
              <w:rPr>
                <w:rFonts w:ascii="宋体" w:hAnsi="宋体"/>
                <w:color w:val="auto"/>
                <w:kern w:val="1"/>
                <w:sz w:val="18"/>
                <w:szCs w:val="18"/>
                <w:highlight w:val="none"/>
              </w:rPr>
            </w:pPr>
          </w:p>
        </w:tc>
      </w:tr>
      <w:tr w14:paraId="1A249AF4">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F70331C">
            <w:pPr>
              <w:spacing w:line="360" w:lineRule="auto"/>
              <w:jc w:val="center"/>
              <w:rPr>
                <w:rFonts w:ascii="宋体" w:hAnsi="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59806A5F">
            <w:pPr>
              <w:spacing w:line="360" w:lineRule="auto"/>
              <w:jc w:val="center"/>
              <w:rPr>
                <w:rFonts w:ascii="宋体" w:hAnsi="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C857AB4">
            <w:pPr>
              <w:spacing w:line="360" w:lineRule="auto"/>
              <w:jc w:val="center"/>
              <w:rPr>
                <w:rFonts w:ascii="宋体" w:hAnsi="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9C5C56A">
            <w:pPr>
              <w:spacing w:line="360" w:lineRule="auto"/>
              <w:jc w:val="center"/>
              <w:rPr>
                <w:rFonts w:ascii="宋体" w:hAnsi="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CC8A89E">
            <w:pPr>
              <w:spacing w:line="360" w:lineRule="auto"/>
              <w:jc w:val="center"/>
              <w:rPr>
                <w:rFonts w:ascii="宋体" w:hAnsi="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117984D">
            <w:pPr>
              <w:spacing w:line="360" w:lineRule="auto"/>
              <w:jc w:val="center"/>
              <w:rPr>
                <w:rFonts w:ascii="宋体" w:hAnsi="宋体"/>
                <w:color w:val="auto"/>
                <w:kern w:val="1"/>
                <w:szCs w:val="21"/>
                <w:highlight w:val="none"/>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553D54E2">
            <w:pPr>
              <w:spacing w:line="360" w:lineRule="auto"/>
              <w:jc w:val="center"/>
              <w:rPr>
                <w:rFonts w:ascii="宋体" w:hAnsi="宋体"/>
                <w:color w:val="auto"/>
                <w:kern w:val="1"/>
                <w:szCs w:val="21"/>
                <w:highlight w:val="none"/>
              </w:rPr>
            </w:pPr>
          </w:p>
        </w:tc>
        <w:tc>
          <w:tcPr>
            <w:tcW w:w="626" w:type="dxa"/>
            <w:tcBorders>
              <w:top w:val="single" w:color="000000" w:sz="4" w:space="0"/>
              <w:left w:val="single" w:color="000000" w:sz="4" w:space="0"/>
              <w:bottom w:val="single" w:color="000000" w:sz="4" w:space="0"/>
              <w:right w:val="single" w:color="000000" w:sz="4" w:space="0"/>
            </w:tcBorders>
            <w:vAlign w:val="center"/>
          </w:tcPr>
          <w:p w14:paraId="71FD7B89">
            <w:pPr>
              <w:spacing w:line="360" w:lineRule="auto"/>
              <w:jc w:val="center"/>
              <w:rPr>
                <w:rFonts w:ascii="宋体" w:hAnsi="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68587075">
            <w:pPr>
              <w:spacing w:line="360" w:lineRule="auto"/>
              <w:jc w:val="center"/>
              <w:rPr>
                <w:rFonts w:ascii="宋体" w:hAnsi="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86096E1">
            <w:pPr>
              <w:spacing w:line="360" w:lineRule="auto"/>
              <w:jc w:val="center"/>
              <w:rPr>
                <w:rFonts w:ascii="宋体" w:hAnsi="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57EE6875">
            <w:pPr>
              <w:spacing w:line="360" w:lineRule="auto"/>
              <w:jc w:val="center"/>
              <w:rPr>
                <w:rFonts w:ascii="宋体" w:hAnsi="宋体"/>
                <w:color w:val="auto"/>
                <w:kern w:val="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top"/>
          </w:tcPr>
          <w:p w14:paraId="206C44C2">
            <w:pPr>
              <w:spacing w:line="360" w:lineRule="auto"/>
              <w:jc w:val="center"/>
              <w:rPr>
                <w:rFonts w:ascii="宋体" w:hAnsi="宋体"/>
                <w:color w:val="auto"/>
                <w:kern w:val="1"/>
                <w:szCs w:val="21"/>
                <w:highlight w:val="none"/>
              </w:rPr>
            </w:pPr>
          </w:p>
        </w:tc>
        <w:tc>
          <w:tcPr>
            <w:tcW w:w="715" w:type="dxa"/>
            <w:tcBorders>
              <w:top w:val="single" w:color="000000" w:sz="4" w:space="0"/>
              <w:left w:val="single" w:color="000000" w:sz="4" w:space="0"/>
              <w:bottom w:val="single" w:color="000000" w:sz="4" w:space="0"/>
              <w:right w:val="single" w:color="000000" w:sz="4" w:space="0"/>
            </w:tcBorders>
            <w:vAlign w:val="top"/>
          </w:tcPr>
          <w:p w14:paraId="7DA7402E">
            <w:pPr>
              <w:spacing w:line="360" w:lineRule="auto"/>
              <w:jc w:val="center"/>
              <w:rPr>
                <w:rFonts w:ascii="宋体" w:hAnsi="宋体"/>
                <w:color w:val="auto"/>
                <w:kern w:val="1"/>
                <w:szCs w:val="21"/>
                <w:highlight w:val="none"/>
              </w:rPr>
            </w:pPr>
          </w:p>
        </w:tc>
        <w:tc>
          <w:tcPr>
            <w:tcW w:w="564" w:type="dxa"/>
            <w:tcBorders>
              <w:top w:val="single" w:color="000000" w:sz="4" w:space="0"/>
              <w:left w:val="single" w:color="000000" w:sz="4" w:space="0"/>
              <w:bottom w:val="single" w:color="000000" w:sz="4" w:space="0"/>
              <w:right w:val="single" w:color="000000" w:sz="4" w:space="0"/>
            </w:tcBorders>
            <w:vAlign w:val="top"/>
          </w:tcPr>
          <w:p w14:paraId="3B284DBC">
            <w:pPr>
              <w:spacing w:line="360" w:lineRule="auto"/>
              <w:jc w:val="center"/>
              <w:rPr>
                <w:rFonts w:ascii="宋体" w:hAnsi="宋体"/>
                <w:color w:val="auto"/>
                <w:kern w:val="1"/>
                <w:szCs w:val="21"/>
                <w:highlight w:val="none"/>
              </w:rPr>
            </w:pPr>
          </w:p>
        </w:tc>
        <w:tc>
          <w:tcPr>
            <w:tcW w:w="553" w:type="dxa"/>
            <w:tcBorders>
              <w:top w:val="single" w:color="000000" w:sz="4" w:space="0"/>
              <w:left w:val="single" w:color="000000" w:sz="4" w:space="0"/>
              <w:bottom w:val="single" w:color="000000" w:sz="4" w:space="0"/>
              <w:right w:val="single" w:color="000000" w:sz="4" w:space="0"/>
            </w:tcBorders>
            <w:vAlign w:val="top"/>
          </w:tcPr>
          <w:p w14:paraId="6478E557">
            <w:pPr>
              <w:spacing w:line="360" w:lineRule="auto"/>
              <w:jc w:val="center"/>
              <w:rPr>
                <w:rFonts w:ascii="宋体" w:hAnsi="宋体"/>
                <w:color w:val="auto"/>
                <w:kern w:val="1"/>
                <w:szCs w:val="21"/>
                <w:highlight w:val="none"/>
              </w:rPr>
            </w:pPr>
          </w:p>
        </w:tc>
        <w:tc>
          <w:tcPr>
            <w:tcW w:w="633" w:type="dxa"/>
            <w:tcBorders>
              <w:top w:val="single" w:color="000000" w:sz="4" w:space="0"/>
              <w:left w:val="single" w:color="000000" w:sz="4" w:space="0"/>
              <w:bottom w:val="single" w:color="000000" w:sz="4" w:space="0"/>
              <w:right w:val="single" w:color="000000" w:sz="4" w:space="0"/>
            </w:tcBorders>
            <w:vAlign w:val="top"/>
          </w:tcPr>
          <w:p w14:paraId="18FD642E">
            <w:pPr>
              <w:spacing w:line="360" w:lineRule="auto"/>
              <w:jc w:val="center"/>
              <w:rPr>
                <w:rFonts w:ascii="宋体" w:hAnsi="宋体"/>
                <w:color w:val="auto"/>
                <w:kern w:val="1"/>
                <w:szCs w:val="21"/>
                <w:highlight w:val="none"/>
              </w:rPr>
            </w:pPr>
          </w:p>
        </w:tc>
        <w:tc>
          <w:tcPr>
            <w:tcW w:w="517" w:type="dxa"/>
            <w:tcBorders>
              <w:top w:val="single" w:color="000000" w:sz="4" w:space="0"/>
              <w:left w:val="single" w:color="000000" w:sz="4" w:space="0"/>
              <w:bottom w:val="single" w:color="000000" w:sz="4" w:space="0"/>
              <w:right w:val="single" w:color="000000" w:sz="4" w:space="0"/>
            </w:tcBorders>
            <w:vAlign w:val="top"/>
          </w:tcPr>
          <w:p w14:paraId="13432B23">
            <w:pPr>
              <w:spacing w:line="360" w:lineRule="auto"/>
              <w:jc w:val="center"/>
              <w:rPr>
                <w:rFonts w:ascii="宋体" w:hAnsi="宋体"/>
                <w:color w:val="auto"/>
                <w:kern w:val="1"/>
                <w:szCs w:val="21"/>
                <w:highlight w:val="none"/>
              </w:rPr>
            </w:pPr>
          </w:p>
        </w:tc>
        <w:tc>
          <w:tcPr>
            <w:tcW w:w="985" w:type="dxa"/>
            <w:tcBorders>
              <w:top w:val="single" w:color="000000" w:sz="4" w:space="0"/>
              <w:left w:val="single" w:color="000000" w:sz="4" w:space="0"/>
              <w:bottom w:val="single" w:color="000000" w:sz="4" w:space="0"/>
              <w:right w:val="single" w:color="000000" w:sz="4" w:space="0"/>
            </w:tcBorders>
            <w:vAlign w:val="top"/>
          </w:tcPr>
          <w:p w14:paraId="4810AD33">
            <w:pPr>
              <w:spacing w:line="360" w:lineRule="auto"/>
              <w:jc w:val="center"/>
              <w:rPr>
                <w:rFonts w:ascii="宋体" w:hAnsi="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14:paraId="7B040006">
            <w:pPr>
              <w:spacing w:line="360" w:lineRule="auto"/>
              <w:jc w:val="center"/>
              <w:rPr>
                <w:rFonts w:ascii="宋体" w:hAnsi="宋体"/>
                <w:color w:val="auto"/>
                <w:kern w:val="1"/>
                <w:szCs w:val="21"/>
                <w:highlight w:val="none"/>
              </w:rPr>
            </w:pPr>
          </w:p>
        </w:tc>
      </w:tr>
      <w:tr w14:paraId="346F52D4">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B66AED2">
            <w:pPr>
              <w:spacing w:line="360" w:lineRule="auto"/>
              <w:jc w:val="center"/>
              <w:rPr>
                <w:rFonts w:ascii="宋体" w:hAnsi="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6ED0D0EE">
            <w:pPr>
              <w:spacing w:line="360" w:lineRule="auto"/>
              <w:jc w:val="center"/>
              <w:rPr>
                <w:rFonts w:ascii="宋体" w:hAnsi="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18F1E4D">
            <w:pPr>
              <w:spacing w:line="360" w:lineRule="auto"/>
              <w:jc w:val="center"/>
              <w:rPr>
                <w:rFonts w:ascii="宋体" w:hAnsi="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CE30E3D">
            <w:pPr>
              <w:spacing w:line="360" w:lineRule="auto"/>
              <w:jc w:val="center"/>
              <w:rPr>
                <w:rFonts w:ascii="宋体" w:hAnsi="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EFFFA40">
            <w:pPr>
              <w:spacing w:line="360" w:lineRule="auto"/>
              <w:jc w:val="center"/>
              <w:rPr>
                <w:rFonts w:ascii="宋体" w:hAnsi="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4C5CC6B8">
            <w:pPr>
              <w:spacing w:line="360" w:lineRule="auto"/>
              <w:jc w:val="center"/>
              <w:rPr>
                <w:rFonts w:ascii="宋体" w:hAnsi="宋体"/>
                <w:color w:val="auto"/>
                <w:kern w:val="1"/>
                <w:szCs w:val="21"/>
                <w:highlight w:val="none"/>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3632FFE4">
            <w:pPr>
              <w:spacing w:line="360" w:lineRule="auto"/>
              <w:jc w:val="center"/>
              <w:rPr>
                <w:rFonts w:ascii="宋体" w:hAnsi="宋体"/>
                <w:color w:val="auto"/>
                <w:kern w:val="1"/>
                <w:szCs w:val="21"/>
                <w:highlight w:val="none"/>
              </w:rPr>
            </w:pPr>
          </w:p>
        </w:tc>
        <w:tc>
          <w:tcPr>
            <w:tcW w:w="626" w:type="dxa"/>
            <w:tcBorders>
              <w:top w:val="single" w:color="000000" w:sz="4" w:space="0"/>
              <w:left w:val="single" w:color="000000" w:sz="4" w:space="0"/>
              <w:bottom w:val="single" w:color="000000" w:sz="4" w:space="0"/>
              <w:right w:val="single" w:color="000000" w:sz="4" w:space="0"/>
            </w:tcBorders>
            <w:vAlign w:val="center"/>
          </w:tcPr>
          <w:p w14:paraId="15522831">
            <w:pPr>
              <w:spacing w:line="360" w:lineRule="auto"/>
              <w:jc w:val="center"/>
              <w:rPr>
                <w:rFonts w:ascii="宋体" w:hAnsi="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3E309D8">
            <w:pPr>
              <w:spacing w:line="360" w:lineRule="auto"/>
              <w:jc w:val="center"/>
              <w:rPr>
                <w:rFonts w:ascii="宋体" w:hAnsi="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5D32F0A">
            <w:pPr>
              <w:spacing w:line="360" w:lineRule="auto"/>
              <w:jc w:val="center"/>
              <w:rPr>
                <w:rFonts w:ascii="宋体" w:hAnsi="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1F4DF3B9">
            <w:pPr>
              <w:spacing w:line="360" w:lineRule="auto"/>
              <w:jc w:val="center"/>
              <w:rPr>
                <w:rFonts w:ascii="宋体" w:hAnsi="宋体"/>
                <w:color w:val="auto"/>
                <w:kern w:val="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top"/>
          </w:tcPr>
          <w:p w14:paraId="5DC49166">
            <w:pPr>
              <w:spacing w:line="360" w:lineRule="auto"/>
              <w:jc w:val="center"/>
              <w:rPr>
                <w:rFonts w:ascii="宋体" w:hAnsi="宋体"/>
                <w:color w:val="auto"/>
                <w:kern w:val="1"/>
                <w:szCs w:val="21"/>
                <w:highlight w:val="none"/>
              </w:rPr>
            </w:pPr>
          </w:p>
        </w:tc>
        <w:tc>
          <w:tcPr>
            <w:tcW w:w="715" w:type="dxa"/>
            <w:tcBorders>
              <w:top w:val="single" w:color="000000" w:sz="4" w:space="0"/>
              <w:left w:val="single" w:color="000000" w:sz="4" w:space="0"/>
              <w:bottom w:val="single" w:color="000000" w:sz="4" w:space="0"/>
              <w:right w:val="single" w:color="000000" w:sz="4" w:space="0"/>
            </w:tcBorders>
            <w:vAlign w:val="top"/>
          </w:tcPr>
          <w:p w14:paraId="596685CB">
            <w:pPr>
              <w:spacing w:line="360" w:lineRule="auto"/>
              <w:jc w:val="center"/>
              <w:rPr>
                <w:rFonts w:ascii="宋体" w:hAnsi="宋体"/>
                <w:color w:val="auto"/>
                <w:kern w:val="1"/>
                <w:szCs w:val="21"/>
                <w:highlight w:val="none"/>
              </w:rPr>
            </w:pPr>
          </w:p>
        </w:tc>
        <w:tc>
          <w:tcPr>
            <w:tcW w:w="564" w:type="dxa"/>
            <w:tcBorders>
              <w:top w:val="single" w:color="000000" w:sz="4" w:space="0"/>
              <w:left w:val="single" w:color="000000" w:sz="4" w:space="0"/>
              <w:bottom w:val="single" w:color="000000" w:sz="4" w:space="0"/>
              <w:right w:val="single" w:color="000000" w:sz="4" w:space="0"/>
            </w:tcBorders>
            <w:vAlign w:val="top"/>
          </w:tcPr>
          <w:p w14:paraId="685DBD41">
            <w:pPr>
              <w:spacing w:line="360" w:lineRule="auto"/>
              <w:jc w:val="center"/>
              <w:rPr>
                <w:rFonts w:ascii="宋体" w:hAnsi="宋体"/>
                <w:color w:val="auto"/>
                <w:kern w:val="1"/>
                <w:szCs w:val="21"/>
                <w:highlight w:val="none"/>
              </w:rPr>
            </w:pPr>
          </w:p>
        </w:tc>
        <w:tc>
          <w:tcPr>
            <w:tcW w:w="553" w:type="dxa"/>
            <w:tcBorders>
              <w:top w:val="single" w:color="000000" w:sz="4" w:space="0"/>
              <w:left w:val="single" w:color="000000" w:sz="4" w:space="0"/>
              <w:bottom w:val="single" w:color="000000" w:sz="4" w:space="0"/>
              <w:right w:val="single" w:color="000000" w:sz="4" w:space="0"/>
            </w:tcBorders>
            <w:vAlign w:val="top"/>
          </w:tcPr>
          <w:p w14:paraId="00E7C353">
            <w:pPr>
              <w:spacing w:line="360" w:lineRule="auto"/>
              <w:jc w:val="center"/>
              <w:rPr>
                <w:rFonts w:ascii="宋体" w:hAnsi="宋体"/>
                <w:color w:val="auto"/>
                <w:kern w:val="1"/>
                <w:szCs w:val="21"/>
                <w:highlight w:val="none"/>
              </w:rPr>
            </w:pPr>
          </w:p>
        </w:tc>
        <w:tc>
          <w:tcPr>
            <w:tcW w:w="633" w:type="dxa"/>
            <w:tcBorders>
              <w:top w:val="single" w:color="000000" w:sz="4" w:space="0"/>
              <w:left w:val="single" w:color="000000" w:sz="4" w:space="0"/>
              <w:bottom w:val="single" w:color="000000" w:sz="4" w:space="0"/>
              <w:right w:val="single" w:color="000000" w:sz="4" w:space="0"/>
            </w:tcBorders>
            <w:vAlign w:val="top"/>
          </w:tcPr>
          <w:p w14:paraId="3505F584">
            <w:pPr>
              <w:spacing w:line="360" w:lineRule="auto"/>
              <w:jc w:val="center"/>
              <w:rPr>
                <w:rFonts w:ascii="宋体" w:hAnsi="宋体"/>
                <w:color w:val="auto"/>
                <w:kern w:val="1"/>
                <w:szCs w:val="21"/>
                <w:highlight w:val="none"/>
              </w:rPr>
            </w:pPr>
          </w:p>
        </w:tc>
        <w:tc>
          <w:tcPr>
            <w:tcW w:w="517" w:type="dxa"/>
            <w:tcBorders>
              <w:top w:val="single" w:color="000000" w:sz="4" w:space="0"/>
              <w:left w:val="single" w:color="000000" w:sz="4" w:space="0"/>
              <w:bottom w:val="single" w:color="000000" w:sz="4" w:space="0"/>
              <w:right w:val="single" w:color="000000" w:sz="4" w:space="0"/>
            </w:tcBorders>
            <w:vAlign w:val="top"/>
          </w:tcPr>
          <w:p w14:paraId="0BDD01B2">
            <w:pPr>
              <w:spacing w:line="360" w:lineRule="auto"/>
              <w:jc w:val="center"/>
              <w:rPr>
                <w:rFonts w:ascii="宋体" w:hAnsi="宋体"/>
                <w:color w:val="auto"/>
                <w:kern w:val="1"/>
                <w:szCs w:val="21"/>
                <w:highlight w:val="none"/>
              </w:rPr>
            </w:pPr>
          </w:p>
        </w:tc>
        <w:tc>
          <w:tcPr>
            <w:tcW w:w="985" w:type="dxa"/>
            <w:tcBorders>
              <w:top w:val="single" w:color="000000" w:sz="4" w:space="0"/>
              <w:left w:val="single" w:color="000000" w:sz="4" w:space="0"/>
              <w:bottom w:val="single" w:color="000000" w:sz="4" w:space="0"/>
              <w:right w:val="single" w:color="000000" w:sz="4" w:space="0"/>
            </w:tcBorders>
            <w:vAlign w:val="top"/>
          </w:tcPr>
          <w:p w14:paraId="58F8D97A">
            <w:pPr>
              <w:spacing w:line="360" w:lineRule="auto"/>
              <w:jc w:val="center"/>
              <w:rPr>
                <w:rFonts w:ascii="宋体" w:hAnsi="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14:paraId="143063CB">
            <w:pPr>
              <w:spacing w:line="360" w:lineRule="auto"/>
              <w:jc w:val="center"/>
              <w:rPr>
                <w:rFonts w:ascii="宋体" w:hAnsi="宋体"/>
                <w:color w:val="auto"/>
                <w:kern w:val="1"/>
                <w:szCs w:val="21"/>
                <w:highlight w:val="none"/>
              </w:rPr>
            </w:pPr>
          </w:p>
        </w:tc>
      </w:tr>
      <w:tr w14:paraId="72D0D29B">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66BF4813">
            <w:pPr>
              <w:spacing w:line="360" w:lineRule="auto"/>
              <w:jc w:val="center"/>
              <w:rPr>
                <w:rFonts w:ascii="宋体" w:hAnsi="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C2058F6">
            <w:pPr>
              <w:spacing w:line="360" w:lineRule="auto"/>
              <w:jc w:val="center"/>
              <w:rPr>
                <w:rFonts w:ascii="宋体" w:hAnsi="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1BCBB6A">
            <w:pPr>
              <w:spacing w:line="360" w:lineRule="auto"/>
              <w:jc w:val="center"/>
              <w:rPr>
                <w:rFonts w:ascii="宋体" w:hAnsi="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A6A5544">
            <w:pPr>
              <w:spacing w:line="360" w:lineRule="auto"/>
              <w:jc w:val="center"/>
              <w:rPr>
                <w:rFonts w:ascii="宋体" w:hAnsi="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4B9A344">
            <w:pPr>
              <w:spacing w:line="360" w:lineRule="auto"/>
              <w:jc w:val="center"/>
              <w:rPr>
                <w:rFonts w:ascii="宋体" w:hAnsi="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29411850">
            <w:pPr>
              <w:spacing w:line="360" w:lineRule="auto"/>
              <w:jc w:val="center"/>
              <w:rPr>
                <w:rFonts w:ascii="宋体" w:hAnsi="宋体"/>
                <w:color w:val="auto"/>
                <w:kern w:val="1"/>
                <w:szCs w:val="21"/>
                <w:highlight w:val="none"/>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7F35EAFD">
            <w:pPr>
              <w:spacing w:line="360" w:lineRule="auto"/>
              <w:jc w:val="center"/>
              <w:rPr>
                <w:rFonts w:ascii="宋体" w:hAnsi="宋体"/>
                <w:color w:val="auto"/>
                <w:kern w:val="1"/>
                <w:szCs w:val="21"/>
                <w:highlight w:val="none"/>
              </w:rPr>
            </w:pPr>
          </w:p>
        </w:tc>
        <w:tc>
          <w:tcPr>
            <w:tcW w:w="626" w:type="dxa"/>
            <w:tcBorders>
              <w:top w:val="single" w:color="000000" w:sz="4" w:space="0"/>
              <w:left w:val="single" w:color="000000" w:sz="4" w:space="0"/>
              <w:bottom w:val="single" w:color="000000" w:sz="4" w:space="0"/>
              <w:right w:val="single" w:color="000000" w:sz="4" w:space="0"/>
            </w:tcBorders>
            <w:vAlign w:val="center"/>
          </w:tcPr>
          <w:p w14:paraId="4E6F7B9D">
            <w:pPr>
              <w:spacing w:line="360" w:lineRule="auto"/>
              <w:jc w:val="center"/>
              <w:rPr>
                <w:rFonts w:ascii="宋体" w:hAnsi="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46C8D98">
            <w:pPr>
              <w:spacing w:line="360" w:lineRule="auto"/>
              <w:jc w:val="center"/>
              <w:rPr>
                <w:rFonts w:ascii="宋体" w:hAnsi="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89CCEF8">
            <w:pPr>
              <w:spacing w:line="360" w:lineRule="auto"/>
              <w:jc w:val="center"/>
              <w:rPr>
                <w:rFonts w:ascii="宋体" w:hAnsi="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4E0F72F7">
            <w:pPr>
              <w:spacing w:line="360" w:lineRule="auto"/>
              <w:jc w:val="center"/>
              <w:rPr>
                <w:rFonts w:ascii="宋体" w:hAnsi="宋体"/>
                <w:color w:val="auto"/>
                <w:kern w:val="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top"/>
          </w:tcPr>
          <w:p w14:paraId="06ACF4F9">
            <w:pPr>
              <w:spacing w:line="360" w:lineRule="auto"/>
              <w:jc w:val="center"/>
              <w:rPr>
                <w:rFonts w:ascii="宋体" w:hAnsi="宋体"/>
                <w:color w:val="auto"/>
                <w:kern w:val="1"/>
                <w:szCs w:val="21"/>
                <w:highlight w:val="none"/>
              </w:rPr>
            </w:pPr>
          </w:p>
        </w:tc>
        <w:tc>
          <w:tcPr>
            <w:tcW w:w="715" w:type="dxa"/>
            <w:tcBorders>
              <w:top w:val="single" w:color="000000" w:sz="4" w:space="0"/>
              <w:left w:val="single" w:color="000000" w:sz="4" w:space="0"/>
              <w:bottom w:val="single" w:color="000000" w:sz="4" w:space="0"/>
              <w:right w:val="single" w:color="000000" w:sz="4" w:space="0"/>
            </w:tcBorders>
            <w:vAlign w:val="top"/>
          </w:tcPr>
          <w:p w14:paraId="6257083B">
            <w:pPr>
              <w:spacing w:line="360" w:lineRule="auto"/>
              <w:jc w:val="center"/>
              <w:rPr>
                <w:rFonts w:ascii="宋体" w:hAnsi="宋体"/>
                <w:color w:val="auto"/>
                <w:kern w:val="1"/>
                <w:szCs w:val="21"/>
                <w:highlight w:val="none"/>
              </w:rPr>
            </w:pPr>
          </w:p>
        </w:tc>
        <w:tc>
          <w:tcPr>
            <w:tcW w:w="564" w:type="dxa"/>
            <w:tcBorders>
              <w:top w:val="single" w:color="000000" w:sz="4" w:space="0"/>
              <w:left w:val="single" w:color="000000" w:sz="4" w:space="0"/>
              <w:bottom w:val="single" w:color="000000" w:sz="4" w:space="0"/>
              <w:right w:val="single" w:color="000000" w:sz="4" w:space="0"/>
            </w:tcBorders>
            <w:vAlign w:val="top"/>
          </w:tcPr>
          <w:p w14:paraId="683D23BA">
            <w:pPr>
              <w:spacing w:line="360" w:lineRule="auto"/>
              <w:jc w:val="center"/>
              <w:rPr>
                <w:rFonts w:ascii="宋体" w:hAnsi="宋体"/>
                <w:color w:val="auto"/>
                <w:kern w:val="1"/>
                <w:szCs w:val="21"/>
                <w:highlight w:val="none"/>
              </w:rPr>
            </w:pPr>
          </w:p>
        </w:tc>
        <w:tc>
          <w:tcPr>
            <w:tcW w:w="553" w:type="dxa"/>
            <w:tcBorders>
              <w:top w:val="single" w:color="000000" w:sz="4" w:space="0"/>
              <w:left w:val="single" w:color="000000" w:sz="4" w:space="0"/>
              <w:bottom w:val="single" w:color="000000" w:sz="4" w:space="0"/>
              <w:right w:val="single" w:color="000000" w:sz="4" w:space="0"/>
            </w:tcBorders>
            <w:vAlign w:val="top"/>
          </w:tcPr>
          <w:p w14:paraId="21EBCBF1">
            <w:pPr>
              <w:spacing w:line="360" w:lineRule="auto"/>
              <w:jc w:val="center"/>
              <w:rPr>
                <w:rFonts w:ascii="宋体" w:hAnsi="宋体"/>
                <w:color w:val="auto"/>
                <w:kern w:val="1"/>
                <w:szCs w:val="21"/>
                <w:highlight w:val="none"/>
              </w:rPr>
            </w:pPr>
          </w:p>
        </w:tc>
        <w:tc>
          <w:tcPr>
            <w:tcW w:w="633" w:type="dxa"/>
            <w:tcBorders>
              <w:top w:val="single" w:color="000000" w:sz="4" w:space="0"/>
              <w:left w:val="single" w:color="000000" w:sz="4" w:space="0"/>
              <w:bottom w:val="single" w:color="000000" w:sz="4" w:space="0"/>
              <w:right w:val="single" w:color="000000" w:sz="4" w:space="0"/>
            </w:tcBorders>
            <w:vAlign w:val="top"/>
          </w:tcPr>
          <w:p w14:paraId="36F6FDAF">
            <w:pPr>
              <w:spacing w:line="360" w:lineRule="auto"/>
              <w:jc w:val="center"/>
              <w:rPr>
                <w:rFonts w:ascii="宋体" w:hAnsi="宋体"/>
                <w:color w:val="auto"/>
                <w:kern w:val="1"/>
                <w:szCs w:val="21"/>
                <w:highlight w:val="none"/>
              </w:rPr>
            </w:pPr>
          </w:p>
        </w:tc>
        <w:tc>
          <w:tcPr>
            <w:tcW w:w="517" w:type="dxa"/>
            <w:tcBorders>
              <w:top w:val="single" w:color="000000" w:sz="4" w:space="0"/>
              <w:left w:val="single" w:color="000000" w:sz="4" w:space="0"/>
              <w:bottom w:val="single" w:color="000000" w:sz="4" w:space="0"/>
              <w:right w:val="single" w:color="000000" w:sz="4" w:space="0"/>
            </w:tcBorders>
            <w:vAlign w:val="top"/>
          </w:tcPr>
          <w:p w14:paraId="4C5FB0D5">
            <w:pPr>
              <w:spacing w:line="360" w:lineRule="auto"/>
              <w:jc w:val="center"/>
              <w:rPr>
                <w:rFonts w:ascii="宋体" w:hAnsi="宋体"/>
                <w:color w:val="auto"/>
                <w:kern w:val="1"/>
                <w:szCs w:val="21"/>
                <w:highlight w:val="none"/>
              </w:rPr>
            </w:pPr>
          </w:p>
        </w:tc>
        <w:tc>
          <w:tcPr>
            <w:tcW w:w="985" w:type="dxa"/>
            <w:tcBorders>
              <w:top w:val="single" w:color="000000" w:sz="4" w:space="0"/>
              <w:left w:val="single" w:color="000000" w:sz="4" w:space="0"/>
              <w:bottom w:val="single" w:color="000000" w:sz="4" w:space="0"/>
              <w:right w:val="single" w:color="000000" w:sz="4" w:space="0"/>
            </w:tcBorders>
            <w:vAlign w:val="top"/>
          </w:tcPr>
          <w:p w14:paraId="1A7DEE88">
            <w:pPr>
              <w:spacing w:line="360" w:lineRule="auto"/>
              <w:jc w:val="center"/>
              <w:rPr>
                <w:rFonts w:ascii="宋体" w:hAnsi="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14:paraId="3B08C0F6">
            <w:pPr>
              <w:spacing w:line="360" w:lineRule="auto"/>
              <w:jc w:val="center"/>
              <w:rPr>
                <w:rFonts w:ascii="宋体" w:hAnsi="宋体"/>
                <w:color w:val="auto"/>
                <w:kern w:val="1"/>
                <w:szCs w:val="21"/>
                <w:highlight w:val="none"/>
              </w:rPr>
            </w:pPr>
          </w:p>
        </w:tc>
      </w:tr>
      <w:tr w14:paraId="672A0D0F">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E2F26BF">
            <w:pPr>
              <w:spacing w:line="360" w:lineRule="auto"/>
              <w:jc w:val="center"/>
              <w:rPr>
                <w:rFonts w:ascii="宋体" w:hAnsi="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3824CFD">
            <w:pPr>
              <w:spacing w:line="360" w:lineRule="auto"/>
              <w:jc w:val="center"/>
              <w:rPr>
                <w:rFonts w:ascii="宋体" w:hAnsi="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4500E24">
            <w:pPr>
              <w:spacing w:line="360" w:lineRule="auto"/>
              <w:jc w:val="center"/>
              <w:rPr>
                <w:rFonts w:ascii="宋体" w:hAnsi="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47A70C6">
            <w:pPr>
              <w:spacing w:line="360" w:lineRule="auto"/>
              <w:jc w:val="center"/>
              <w:rPr>
                <w:rFonts w:ascii="宋体" w:hAnsi="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F0B33D2">
            <w:pPr>
              <w:spacing w:line="360" w:lineRule="auto"/>
              <w:jc w:val="center"/>
              <w:rPr>
                <w:rFonts w:ascii="宋体" w:hAnsi="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622976D">
            <w:pPr>
              <w:spacing w:line="360" w:lineRule="auto"/>
              <w:jc w:val="center"/>
              <w:rPr>
                <w:rFonts w:ascii="宋体" w:hAnsi="宋体"/>
                <w:color w:val="auto"/>
                <w:kern w:val="1"/>
                <w:szCs w:val="21"/>
                <w:highlight w:val="none"/>
              </w:rPr>
            </w:pPr>
          </w:p>
        </w:tc>
        <w:tc>
          <w:tcPr>
            <w:tcW w:w="681" w:type="dxa"/>
            <w:tcBorders>
              <w:top w:val="single" w:color="000000" w:sz="4" w:space="0"/>
              <w:left w:val="single" w:color="000000" w:sz="4" w:space="0"/>
              <w:bottom w:val="single" w:color="000000" w:sz="4" w:space="0"/>
              <w:right w:val="single" w:color="000000" w:sz="4" w:space="0"/>
            </w:tcBorders>
            <w:vAlign w:val="center"/>
          </w:tcPr>
          <w:p w14:paraId="0129A64D">
            <w:pPr>
              <w:spacing w:line="360" w:lineRule="auto"/>
              <w:jc w:val="center"/>
              <w:rPr>
                <w:rFonts w:ascii="宋体" w:hAnsi="宋体"/>
                <w:color w:val="auto"/>
                <w:kern w:val="1"/>
                <w:szCs w:val="21"/>
                <w:highlight w:val="none"/>
              </w:rPr>
            </w:pPr>
          </w:p>
        </w:tc>
        <w:tc>
          <w:tcPr>
            <w:tcW w:w="626" w:type="dxa"/>
            <w:tcBorders>
              <w:top w:val="single" w:color="000000" w:sz="4" w:space="0"/>
              <w:left w:val="single" w:color="000000" w:sz="4" w:space="0"/>
              <w:bottom w:val="single" w:color="000000" w:sz="4" w:space="0"/>
              <w:right w:val="single" w:color="000000" w:sz="4" w:space="0"/>
            </w:tcBorders>
            <w:vAlign w:val="center"/>
          </w:tcPr>
          <w:p w14:paraId="1AD93FC8">
            <w:pPr>
              <w:spacing w:line="360" w:lineRule="auto"/>
              <w:jc w:val="center"/>
              <w:rPr>
                <w:rFonts w:ascii="宋体" w:hAnsi="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04DD285">
            <w:pPr>
              <w:spacing w:line="360" w:lineRule="auto"/>
              <w:jc w:val="center"/>
              <w:rPr>
                <w:rFonts w:ascii="宋体" w:hAnsi="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82BF420">
            <w:pPr>
              <w:spacing w:line="360" w:lineRule="auto"/>
              <w:jc w:val="center"/>
              <w:rPr>
                <w:rFonts w:ascii="宋体" w:hAnsi="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4BE5C006">
            <w:pPr>
              <w:spacing w:line="360" w:lineRule="auto"/>
              <w:jc w:val="center"/>
              <w:rPr>
                <w:rFonts w:ascii="宋体" w:hAnsi="宋体"/>
                <w:color w:val="auto"/>
                <w:kern w:val="1"/>
                <w:szCs w:val="21"/>
                <w:highlight w:val="none"/>
              </w:rPr>
            </w:pPr>
          </w:p>
        </w:tc>
        <w:tc>
          <w:tcPr>
            <w:tcW w:w="567" w:type="dxa"/>
            <w:tcBorders>
              <w:top w:val="single" w:color="000000" w:sz="4" w:space="0"/>
              <w:left w:val="single" w:color="000000" w:sz="4" w:space="0"/>
              <w:bottom w:val="single" w:color="000000" w:sz="4" w:space="0"/>
              <w:right w:val="single" w:color="000000" w:sz="4" w:space="0"/>
            </w:tcBorders>
            <w:vAlign w:val="top"/>
          </w:tcPr>
          <w:p w14:paraId="212F57EF">
            <w:pPr>
              <w:spacing w:line="360" w:lineRule="auto"/>
              <w:jc w:val="center"/>
              <w:rPr>
                <w:rFonts w:ascii="宋体" w:hAnsi="宋体"/>
                <w:color w:val="auto"/>
                <w:kern w:val="1"/>
                <w:szCs w:val="21"/>
                <w:highlight w:val="none"/>
              </w:rPr>
            </w:pPr>
          </w:p>
        </w:tc>
        <w:tc>
          <w:tcPr>
            <w:tcW w:w="715" w:type="dxa"/>
            <w:tcBorders>
              <w:top w:val="single" w:color="000000" w:sz="4" w:space="0"/>
              <w:left w:val="single" w:color="000000" w:sz="4" w:space="0"/>
              <w:bottom w:val="single" w:color="000000" w:sz="4" w:space="0"/>
              <w:right w:val="single" w:color="000000" w:sz="4" w:space="0"/>
            </w:tcBorders>
            <w:vAlign w:val="top"/>
          </w:tcPr>
          <w:p w14:paraId="4B9858BD">
            <w:pPr>
              <w:spacing w:line="360" w:lineRule="auto"/>
              <w:jc w:val="center"/>
              <w:rPr>
                <w:rFonts w:ascii="宋体" w:hAnsi="宋体"/>
                <w:color w:val="auto"/>
                <w:kern w:val="1"/>
                <w:szCs w:val="21"/>
                <w:highlight w:val="none"/>
              </w:rPr>
            </w:pPr>
          </w:p>
        </w:tc>
        <w:tc>
          <w:tcPr>
            <w:tcW w:w="564" w:type="dxa"/>
            <w:tcBorders>
              <w:top w:val="single" w:color="000000" w:sz="4" w:space="0"/>
              <w:left w:val="single" w:color="000000" w:sz="4" w:space="0"/>
              <w:bottom w:val="single" w:color="000000" w:sz="4" w:space="0"/>
              <w:right w:val="single" w:color="000000" w:sz="4" w:space="0"/>
            </w:tcBorders>
            <w:vAlign w:val="top"/>
          </w:tcPr>
          <w:p w14:paraId="3BACDC4E">
            <w:pPr>
              <w:spacing w:line="360" w:lineRule="auto"/>
              <w:jc w:val="center"/>
              <w:rPr>
                <w:rFonts w:ascii="宋体" w:hAnsi="宋体"/>
                <w:color w:val="auto"/>
                <w:kern w:val="1"/>
                <w:szCs w:val="21"/>
                <w:highlight w:val="none"/>
              </w:rPr>
            </w:pPr>
          </w:p>
        </w:tc>
        <w:tc>
          <w:tcPr>
            <w:tcW w:w="553" w:type="dxa"/>
            <w:tcBorders>
              <w:top w:val="single" w:color="000000" w:sz="4" w:space="0"/>
              <w:left w:val="single" w:color="000000" w:sz="4" w:space="0"/>
              <w:bottom w:val="single" w:color="000000" w:sz="4" w:space="0"/>
              <w:right w:val="single" w:color="000000" w:sz="4" w:space="0"/>
            </w:tcBorders>
            <w:vAlign w:val="top"/>
          </w:tcPr>
          <w:p w14:paraId="54873F83">
            <w:pPr>
              <w:spacing w:line="360" w:lineRule="auto"/>
              <w:jc w:val="center"/>
              <w:rPr>
                <w:rFonts w:ascii="宋体" w:hAnsi="宋体"/>
                <w:color w:val="auto"/>
                <w:kern w:val="1"/>
                <w:szCs w:val="21"/>
                <w:highlight w:val="none"/>
              </w:rPr>
            </w:pPr>
          </w:p>
        </w:tc>
        <w:tc>
          <w:tcPr>
            <w:tcW w:w="633" w:type="dxa"/>
            <w:tcBorders>
              <w:top w:val="single" w:color="000000" w:sz="4" w:space="0"/>
              <w:left w:val="single" w:color="000000" w:sz="4" w:space="0"/>
              <w:bottom w:val="single" w:color="000000" w:sz="4" w:space="0"/>
              <w:right w:val="single" w:color="000000" w:sz="4" w:space="0"/>
            </w:tcBorders>
            <w:vAlign w:val="top"/>
          </w:tcPr>
          <w:p w14:paraId="2E994FD1">
            <w:pPr>
              <w:spacing w:line="360" w:lineRule="auto"/>
              <w:jc w:val="center"/>
              <w:rPr>
                <w:rFonts w:ascii="宋体" w:hAnsi="宋体"/>
                <w:color w:val="auto"/>
                <w:kern w:val="1"/>
                <w:szCs w:val="21"/>
                <w:highlight w:val="none"/>
              </w:rPr>
            </w:pPr>
          </w:p>
        </w:tc>
        <w:tc>
          <w:tcPr>
            <w:tcW w:w="517" w:type="dxa"/>
            <w:tcBorders>
              <w:top w:val="single" w:color="000000" w:sz="4" w:space="0"/>
              <w:left w:val="single" w:color="000000" w:sz="4" w:space="0"/>
              <w:bottom w:val="single" w:color="000000" w:sz="4" w:space="0"/>
              <w:right w:val="single" w:color="000000" w:sz="4" w:space="0"/>
            </w:tcBorders>
            <w:vAlign w:val="top"/>
          </w:tcPr>
          <w:p w14:paraId="0C3C9594">
            <w:pPr>
              <w:spacing w:line="360" w:lineRule="auto"/>
              <w:jc w:val="center"/>
              <w:rPr>
                <w:rFonts w:ascii="宋体" w:hAnsi="宋体"/>
                <w:color w:val="auto"/>
                <w:kern w:val="1"/>
                <w:szCs w:val="21"/>
                <w:highlight w:val="none"/>
              </w:rPr>
            </w:pPr>
          </w:p>
        </w:tc>
        <w:tc>
          <w:tcPr>
            <w:tcW w:w="985" w:type="dxa"/>
            <w:tcBorders>
              <w:top w:val="single" w:color="000000" w:sz="4" w:space="0"/>
              <w:left w:val="single" w:color="000000" w:sz="4" w:space="0"/>
              <w:bottom w:val="single" w:color="000000" w:sz="4" w:space="0"/>
              <w:right w:val="single" w:color="000000" w:sz="4" w:space="0"/>
            </w:tcBorders>
            <w:vAlign w:val="top"/>
          </w:tcPr>
          <w:p w14:paraId="776B3F5A">
            <w:pPr>
              <w:spacing w:line="360" w:lineRule="auto"/>
              <w:jc w:val="center"/>
              <w:rPr>
                <w:rFonts w:ascii="宋体" w:hAnsi="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vAlign w:val="top"/>
          </w:tcPr>
          <w:p w14:paraId="51D9CC10">
            <w:pPr>
              <w:spacing w:line="360" w:lineRule="auto"/>
              <w:jc w:val="center"/>
              <w:rPr>
                <w:rFonts w:ascii="宋体" w:hAnsi="宋体"/>
                <w:color w:val="auto"/>
                <w:kern w:val="1"/>
                <w:szCs w:val="21"/>
                <w:highlight w:val="none"/>
              </w:rPr>
            </w:pPr>
          </w:p>
        </w:tc>
      </w:tr>
    </w:tbl>
    <w:p w14:paraId="42C179F2">
      <w:pPr>
        <w:spacing w:line="360" w:lineRule="auto"/>
        <w:ind w:firstLine="840" w:firstLineChars="400"/>
        <w:rPr>
          <w:rFonts w:hint="eastAsia" w:ascii="宋体" w:hAnsi="宋体"/>
          <w:color w:val="auto"/>
          <w:kern w:val="1"/>
          <w:szCs w:val="21"/>
          <w:highlight w:val="none"/>
        </w:rPr>
      </w:pPr>
      <w:r>
        <w:rPr>
          <w:rFonts w:hint="eastAsia" w:ascii="宋体" w:hAnsi="宋体"/>
          <w:color w:val="auto"/>
          <w:kern w:val="1"/>
          <w:szCs w:val="21"/>
          <w:highlight w:val="none"/>
        </w:rPr>
        <w:t>招标代理：                               招标人代表：                               交易中心见证人：</w:t>
      </w:r>
    </w:p>
    <w:p w14:paraId="3AE00C15">
      <w:pPr>
        <w:spacing w:line="360" w:lineRule="auto"/>
        <w:rPr>
          <w:rFonts w:hint="eastAsia" w:ascii="宋体" w:hAnsi="宋体"/>
          <w:color w:val="auto"/>
          <w:kern w:val="1"/>
          <w:szCs w:val="21"/>
          <w:highlight w:val="none"/>
          <w:u w:val="single"/>
        </w:rPr>
        <w:sectPr>
          <w:headerReference r:id="rId5" w:type="default"/>
          <w:footerReference r:id="rId6" w:type="default"/>
          <w:pgSz w:w="16838" w:h="11906" w:orient="landscape"/>
          <w:pgMar w:top="1361" w:right="1304" w:bottom="1304" w:left="1304" w:header="851" w:footer="992" w:gutter="0"/>
          <w:cols w:space="720" w:num="1"/>
          <w:docGrid w:linePitch="0" w:charSpace="0"/>
        </w:sectPr>
      </w:pPr>
      <w:r>
        <w:rPr>
          <w:rFonts w:hint="eastAsia" w:ascii="宋体" w:hAnsi="宋体"/>
          <w:color w:val="auto"/>
          <w:kern w:val="1"/>
          <w:szCs w:val="21"/>
          <w:highlight w:val="none"/>
          <w:u w:val="single"/>
        </w:rPr>
        <w:t>本表仅供参考，具体以开标时</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kern w:val="1"/>
          <w:szCs w:val="21"/>
          <w:highlight w:val="none"/>
          <w:u w:val="single"/>
        </w:rPr>
        <w:t>系统的开标记录表为准。</w:t>
      </w:r>
    </w:p>
    <w:p w14:paraId="52EC718B">
      <w:pPr>
        <w:pStyle w:val="8"/>
        <w:spacing w:line="360" w:lineRule="auto"/>
        <w:jc w:val="center"/>
        <w:rPr>
          <w:rFonts w:hint="eastAsia" w:ascii="宋体" w:hAnsi="宋体"/>
          <w:color w:val="auto"/>
          <w:kern w:val="1"/>
          <w:highlight w:val="none"/>
        </w:rPr>
      </w:pPr>
      <w:bookmarkStart w:id="485" w:name="_Hlk116911189"/>
      <w:bookmarkEnd w:id="485"/>
      <w:bookmarkStart w:id="486" w:name="_Toc31642"/>
      <w:bookmarkEnd w:id="486"/>
      <w:bookmarkStart w:id="487" w:name="_Toc5620346"/>
      <w:bookmarkEnd w:id="487"/>
      <w:bookmarkStart w:id="488" w:name="_Toc27248"/>
      <w:bookmarkEnd w:id="488"/>
      <w:r>
        <w:rPr>
          <w:rFonts w:hint="eastAsia" w:ascii="宋体" w:hAnsi="宋体"/>
          <w:color w:val="auto"/>
          <w:kern w:val="1"/>
          <w:highlight w:val="none"/>
        </w:rPr>
        <w:t>第三章 评标办法（综合评估法）</w:t>
      </w:r>
    </w:p>
    <w:p w14:paraId="1D16FA0A">
      <w:pPr>
        <w:pStyle w:val="9"/>
        <w:spacing w:before="100" w:after="100" w:line="360" w:lineRule="auto"/>
        <w:jc w:val="center"/>
        <w:rPr>
          <w:rFonts w:hint="eastAsia" w:ascii="宋体" w:hAnsi="宋体" w:eastAsia="宋体"/>
          <w:color w:val="auto"/>
          <w:highlight w:val="none"/>
          <w:lang w:val="zh-CN"/>
        </w:rPr>
      </w:pPr>
      <w:bookmarkStart w:id="489" w:name="_Toc14545"/>
      <w:bookmarkEnd w:id="489"/>
      <w:r>
        <w:rPr>
          <w:rFonts w:hint="eastAsia" w:ascii="宋体" w:hAnsi="宋体" w:eastAsia="宋体"/>
          <w:color w:val="auto"/>
          <w:highlight w:val="none"/>
          <w:lang w:val="zh-CN"/>
        </w:rPr>
        <w:t>评标办法前附表</w:t>
      </w:r>
    </w:p>
    <w:tbl>
      <w:tblPr>
        <w:tblStyle w:val="5"/>
        <w:tblW w:w="9566" w:type="dxa"/>
        <w:tblInd w:w="0" w:type="dxa"/>
        <w:tblLayout w:type="fixed"/>
        <w:tblCellMar>
          <w:top w:w="0" w:type="dxa"/>
          <w:left w:w="108" w:type="dxa"/>
          <w:bottom w:w="0" w:type="dxa"/>
          <w:right w:w="108" w:type="dxa"/>
        </w:tblCellMar>
      </w:tblPr>
      <w:tblGrid>
        <w:gridCol w:w="848"/>
        <w:gridCol w:w="1019"/>
        <w:gridCol w:w="2340"/>
        <w:gridCol w:w="5359"/>
      </w:tblGrid>
      <w:tr w14:paraId="38041A5A">
        <w:tblPrEx>
          <w:tblCellMar>
            <w:top w:w="0" w:type="dxa"/>
            <w:left w:w="108" w:type="dxa"/>
            <w:bottom w:w="0" w:type="dxa"/>
            <w:right w:w="108" w:type="dxa"/>
          </w:tblCellMar>
        </w:tblPrEx>
        <w:trPr>
          <w:trHeight w:val="347" w:hRule="atLeast"/>
        </w:trPr>
        <w:tc>
          <w:tcPr>
            <w:tcW w:w="1867" w:type="dxa"/>
            <w:gridSpan w:val="2"/>
            <w:tcBorders>
              <w:top w:val="single" w:color="000000" w:sz="4" w:space="0"/>
              <w:left w:val="single" w:color="000000" w:sz="4" w:space="0"/>
              <w:bottom w:val="single" w:color="000000" w:sz="6" w:space="0"/>
              <w:right w:val="single" w:color="000000" w:sz="6" w:space="0"/>
            </w:tcBorders>
            <w:noWrap/>
            <w:vAlign w:val="center"/>
          </w:tcPr>
          <w:p w14:paraId="5AF056E3">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条款号</w:t>
            </w:r>
          </w:p>
        </w:tc>
        <w:tc>
          <w:tcPr>
            <w:tcW w:w="2340" w:type="dxa"/>
            <w:tcBorders>
              <w:top w:val="single" w:color="000000" w:sz="4" w:space="0"/>
              <w:left w:val="single" w:color="000000" w:sz="6" w:space="0"/>
              <w:bottom w:val="single" w:color="000000" w:sz="6" w:space="0"/>
              <w:right w:val="single" w:color="000000" w:sz="6" w:space="0"/>
            </w:tcBorders>
            <w:noWrap/>
            <w:vAlign w:val="center"/>
          </w:tcPr>
          <w:p w14:paraId="14900D91">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评审因素</w:t>
            </w:r>
          </w:p>
        </w:tc>
        <w:tc>
          <w:tcPr>
            <w:tcW w:w="5359" w:type="dxa"/>
            <w:tcBorders>
              <w:top w:val="single" w:color="000000" w:sz="4" w:space="0"/>
              <w:left w:val="single" w:color="000000" w:sz="6" w:space="0"/>
              <w:bottom w:val="single" w:color="000000" w:sz="6" w:space="0"/>
              <w:right w:val="single" w:color="000000" w:sz="4" w:space="0"/>
            </w:tcBorders>
            <w:noWrap/>
            <w:vAlign w:val="center"/>
          </w:tcPr>
          <w:p w14:paraId="5EF4634A">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评审标准</w:t>
            </w:r>
          </w:p>
        </w:tc>
      </w:tr>
      <w:tr w14:paraId="127E9E41">
        <w:tblPrEx>
          <w:tblCellMar>
            <w:top w:w="0" w:type="dxa"/>
            <w:left w:w="108" w:type="dxa"/>
            <w:bottom w:w="0" w:type="dxa"/>
            <w:right w:w="108" w:type="dxa"/>
          </w:tblCellMar>
        </w:tblPrEx>
        <w:trPr>
          <w:trHeight w:val="347" w:hRule="atLeast"/>
        </w:trPr>
        <w:tc>
          <w:tcPr>
            <w:tcW w:w="1867" w:type="dxa"/>
            <w:gridSpan w:val="2"/>
            <w:tcBorders>
              <w:top w:val="single" w:color="000000" w:sz="4" w:space="0"/>
              <w:left w:val="single" w:color="000000" w:sz="4" w:space="0"/>
              <w:bottom w:val="single" w:color="000000" w:sz="6" w:space="0"/>
              <w:right w:val="single" w:color="000000" w:sz="6" w:space="0"/>
            </w:tcBorders>
            <w:noWrap/>
            <w:vAlign w:val="center"/>
          </w:tcPr>
          <w:p w14:paraId="0A03A00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1</w:t>
            </w:r>
          </w:p>
        </w:tc>
        <w:tc>
          <w:tcPr>
            <w:tcW w:w="2340" w:type="dxa"/>
            <w:tcBorders>
              <w:top w:val="single" w:color="000000" w:sz="4" w:space="0"/>
              <w:left w:val="single" w:color="000000" w:sz="6" w:space="0"/>
              <w:bottom w:val="single" w:color="000000" w:sz="6" w:space="0"/>
              <w:right w:val="single" w:color="000000" w:sz="6" w:space="0"/>
            </w:tcBorders>
            <w:noWrap/>
            <w:vAlign w:val="center"/>
          </w:tcPr>
          <w:p w14:paraId="5E90DE8E">
            <w:pPr>
              <w:spacing w:line="360" w:lineRule="auto"/>
              <w:jc w:val="center"/>
              <w:rPr>
                <w:rFonts w:hint="eastAsia" w:ascii="宋体" w:hAnsi="宋体"/>
                <w:color w:val="auto"/>
                <w:szCs w:val="21"/>
                <w:highlight w:val="none"/>
              </w:rPr>
            </w:pPr>
            <w:r>
              <w:rPr>
                <w:rFonts w:hint="eastAsia" w:ascii="宋体" w:hAnsi="宋体"/>
                <w:color w:val="auto"/>
                <w:szCs w:val="21"/>
                <w:highlight w:val="none"/>
              </w:rPr>
              <w:t>中标候选人</w:t>
            </w:r>
          </w:p>
        </w:tc>
        <w:tc>
          <w:tcPr>
            <w:tcW w:w="5359" w:type="dxa"/>
            <w:tcBorders>
              <w:top w:val="single" w:color="000000" w:sz="4" w:space="0"/>
              <w:left w:val="single" w:color="000000" w:sz="6" w:space="0"/>
              <w:bottom w:val="single" w:color="000000" w:sz="6" w:space="0"/>
              <w:right w:val="single" w:color="000000" w:sz="4" w:space="0"/>
            </w:tcBorders>
            <w:noWrap/>
            <w:vAlign w:val="center"/>
          </w:tcPr>
          <w:p w14:paraId="09E8EC1C">
            <w:pPr>
              <w:spacing w:line="360" w:lineRule="auto"/>
              <w:rPr>
                <w:rFonts w:hint="eastAsia" w:ascii="宋体" w:hAnsi="宋体"/>
                <w:color w:val="auto"/>
                <w:kern w:val="1"/>
                <w:szCs w:val="21"/>
                <w:highlight w:val="none"/>
              </w:rPr>
            </w:pPr>
            <w:r>
              <w:rPr>
                <w:rFonts w:hint="eastAsia" w:ascii="宋体" w:hAnsi="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eastAsia="宋体"/>
                <w:color w:val="auto"/>
                <w:kern w:val="1"/>
                <w:szCs w:val="21"/>
                <w:highlight w:val="none"/>
                <w:u w:val="single"/>
              </w:rPr>
              <w:t>综合评分相等的，以工程总承包实施方案得分高的优先；工程总承包实施方案得分也相等的，以设计方案得分高的优先；如果设计方案得分也相等的，以投标总报价低的优先；如果投标总报价也相等的，则由评标委员会采用记名投票的方式，确定中标候选人的排序。</w:t>
            </w:r>
          </w:p>
        </w:tc>
      </w:tr>
      <w:tr w14:paraId="023591AC">
        <w:tblPrEx>
          <w:tblCellMar>
            <w:top w:w="0" w:type="dxa"/>
            <w:left w:w="108" w:type="dxa"/>
            <w:bottom w:w="0" w:type="dxa"/>
            <w:right w:w="108" w:type="dxa"/>
          </w:tblCellMar>
        </w:tblPrEx>
        <w:trPr>
          <w:trHeight w:val="730" w:hRule="atLeast"/>
        </w:trPr>
        <w:tc>
          <w:tcPr>
            <w:tcW w:w="848" w:type="dxa"/>
            <w:vMerge w:val="restart"/>
            <w:tcBorders>
              <w:top w:val="single" w:color="000000" w:sz="6" w:space="0"/>
              <w:left w:val="single" w:color="000000" w:sz="4" w:space="0"/>
              <w:right w:val="single" w:color="000000" w:sz="6" w:space="0"/>
            </w:tcBorders>
            <w:noWrap/>
            <w:vAlign w:val="center"/>
          </w:tcPr>
          <w:p w14:paraId="1B24993B">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2.1.1</w:t>
            </w:r>
          </w:p>
        </w:tc>
        <w:tc>
          <w:tcPr>
            <w:tcW w:w="1019" w:type="dxa"/>
            <w:vMerge w:val="restart"/>
            <w:tcBorders>
              <w:top w:val="single" w:color="000000" w:sz="6" w:space="0"/>
              <w:left w:val="single" w:color="000000" w:sz="6" w:space="0"/>
              <w:right w:val="single" w:color="000000" w:sz="6" w:space="0"/>
            </w:tcBorders>
            <w:noWrap/>
            <w:vAlign w:val="center"/>
          </w:tcPr>
          <w:p w14:paraId="44E6FB95">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形式评审标准</w:t>
            </w: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51A5F8C6">
            <w:pPr>
              <w:spacing w:line="360" w:lineRule="auto"/>
              <w:jc w:val="left"/>
              <w:rPr>
                <w:rFonts w:hint="eastAsia" w:ascii="宋体" w:hAnsi="宋体"/>
                <w:color w:val="auto"/>
                <w:highlight w:val="none"/>
              </w:rPr>
            </w:pPr>
            <w:r>
              <w:rPr>
                <w:rFonts w:hint="eastAsia" w:ascii="宋体" w:hAnsi="宋体"/>
                <w:color w:val="auto"/>
                <w:highlight w:val="none"/>
              </w:rPr>
              <w:t>投标人名称、项目负责人、专职安全员</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44398B46">
            <w:pPr>
              <w:spacing w:line="360" w:lineRule="auto"/>
              <w:jc w:val="left"/>
              <w:rPr>
                <w:rFonts w:hint="eastAsia" w:ascii="宋体" w:hAnsi="宋体"/>
                <w:color w:val="auto"/>
                <w:szCs w:val="21"/>
                <w:highlight w:val="none"/>
              </w:rPr>
            </w:pPr>
            <w:r>
              <w:rPr>
                <w:rFonts w:hint="eastAsia" w:ascii="宋体" w:hAnsi="宋体"/>
                <w:color w:val="auto"/>
                <w:szCs w:val="21"/>
                <w:highlight w:val="none"/>
              </w:rPr>
              <w:t>投标文件所列投标人名称与营业执照、资质证书一致及与网上投标登记时一致，投标文件所列项目负责人、专职安全员与网上投标登记时一致</w:t>
            </w:r>
          </w:p>
        </w:tc>
      </w:tr>
      <w:tr w14:paraId="51B13C18">
        <w:tblPrEx>
          <w:tblCellMar>
            <w:top w:w="0" w:type="dxa"/>
            <w:left w:w="108" w:type="dxa"/>
            <w:bottom w:w="0" w:type="dxa"/>
            <w:right w:w="108" w:type="dxa"/>
          </w:tblCellMar>
        </w:tblPrEx>
        <w:trPr>
          <w:trHeight w:val="884" w:hRule="atLeast"/>
        </w:trPr>
        <w:tc>
          <w:tcPr>
            <w:tcW w:w="848" w:type="dxa"/>
            <w:vMerge w:val="continue"/>
            <w:tcBorders>
              <w:top w:val="single" w:color="000000" w:sz="6" w:space="0"/>
              <w:left w:val="single" w:color="000000" w:sz="4" w:space="0"/>
              <w:right w:val="single" w:color="000000" w:sz="6" w:space="0"/>
            </w:tcBorders>
            <w:noWrap/>
            <w:vAlign w:val="center"/>
          </w:tcPr>
          <w:p w14:paraId="313A9639">
            <w:pPr>
              <w:spacing w:line="360" w:lineRule="auto"/>
              <w:jc w:val="center"/>
              <w:rPr>
                <w:rFonts w:ascii="宋体" w:hAnsi="宋体"/>
                <w:color w:val="auto"/>
                <w:kern w:val="1"/>
                <w:szCs w:val="21"/>
                <w:highlight w:val="none"/>
              </w:rPr>
            </w:pPr>
          </w:p>
        </w:tc>
        <w:tc>
          <w:tcPr>
            <w:tcW w:w="1019" w:type="dxa"/>
            <w:vMerge w:val="continue"/>
            <w:tcBorders>
              <w:top w:val="single" w:color="000000" w:sz="6" w:space="0"/>
              <w:left w:val="single" w:color="000000" w:sz="6" w:space="0"/>
              <w:right w:val="single" w:color="000000" w:sz="6" w:space="0"/>
            </w:tcBorders>
            <w:noWrap/>
            <w:vAlign w:val="center"/>
          </w:tcPr>
          <w:p w14:paraId="0D526294">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0FE03761">
            <w:pPr>
              <w:spacing w:line="360" w:lineRule="auto"/>
              <w:jc w:val="left"/>
              <w:rPr>
                <w:rFonts w:hint="eastAsia" w:ascii="宋体" w:hAnsi="宋体"/>
                <w:color w:val="auto"/>
                <w:highlight w:val="none"/>
              </w:rPr>
            </w:pPr>
            <w:r>
              <w:rPr>
                <w:rFonts w:hint="eastAsia" w:ascii="宋体" w:hAnsi="宋体"/>
                <w:color w:val="auto"/>
                <w:highlight w:val="none"/>
              </w:rPr>
              <w:t>法定代表人证明书、法定代表人授权委托书</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7604F8D2">
            <w:pPr>
              <w:spacing w:line="360" w:lineRule="auto"/>
              <w:jc w:val="left"/>
              <w:rPr>
                <w:rFonts w:hint="eastAsia" w:ascii="宋体" w:hAnsi="宋体"/>
                <w:color w:val="auto"/>
                <w:highlight w:val="none"/>
              </w:rPr>
            </w:pPr>
            <w:r>
              <w:rPr>
                <w:rFonts w:hint="eastAsia" w:ascii="宋体" w:hAnsi="宋体"/>
                <w:color w:val="auto"/>
                <w:highlight w:val="none"/>
              </w:rPr>
              <w:t>投标文件具有有效的法定代表人证明书，由委托代理人签署或盖章的投标文件中有法定代表人授权委托书</w:t>
            </w:r>
          </w:p>
        </w:tc>
      </w:tr>
      <w:tr w14:paraId="6C1D10DC">
        <w:tblPrEx>
          <w:tblCellMar>
            <w:top w:w="0" w:type="dxa"/>
            <w:left w:w="108" w:type="dxa"/>
            <w:bottom w:w="0" w:type="dxa"/>
            <w:right w:w="108" w:type="dxa"/>
          </w:tblCellMar>
        </w:tblPrEx>
        <w:trPr>
          <w:trHeight w:val="267" w:hRule="atLeast"/>
        </w:trPr>
        <w:tc>
          <w:tcPr>
            <w:tcW w:w="848" w:type="dxa"/>
            <w:vMerge w:val="continue"/>
            <w:tcBorders>
              <w:left w:val="single" w:color="000000" w:sz="4" w:space="0"/>
              <w:right w:val="single" w:color="000000" w:sz="6" w:space="0"/>
            </w:tcBorders>
            <w:noWrap/>
            <w:vAlign w:val="center"/>
          </w:tcPr>
          <w:p w14:paraId="2CAD49CC">
            <w:pPr>
              <w:spacing w:line="360" w:lineRule="auto"/>
              <w:jc w:val="center"/>
              <w:rPr>
                <w:rFonts w:ascii="宋体" w:hAnsi="宋体"/>
                <w:color w:val="auto"/>
                <w:kern w:val="1"/>
                <w:szCs w:val="21"/>
                <w:highlight w:val="none"/>
              </w:rPr>
            </w:pPr>
          </w:p>
        </w:tc>
        <w:tc>
          <w:tcPr>
            <w:tcW w:w="1019" w:type="dxa"/>
            <w:vMerge w:val="continue"/>
            <w:tcBorders>
              <w:left w:val="single" w:color="000000" w:sz="6" w:space="0"/>
              <w:right w:val="single" w:color="000000" w:sz="6" w:space="0"/>
            </w:tcBorders>
            <w:noWrap/>
            <w:vAlign w:val="center"/>
          </w:tcPr>
          <w:p w14:paraId="6501D85D">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1BE70803">
            <w:pPr>
              <w:spacing w:line="360" w:lineRule="auto"/>
              <w:jc w:val="left"/>
              <w:rPr>
                <w:rFonts w:hint="eastAsia" w:ascii="宋体" w:hAnsi="宋体"/>
                <w:color w:val="auto"/>
                <w:highlight w:val="none"/>
              </w:rPr>
            </w:pPr>
            <w:r>
              <w:rPr>
                <w:rFonts w:hint="eastAsia" w:ascii="宋体" w:hAnsi="宋体"/>
                <w:color w:val="auto"/>
                <w:highlight w:val="none"/>
              </w:rPr>
              <w:t>投标文件格式</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121D79AB">
            <w:pPr>
              <w:spacing w:line="360" w:lineRule="auto"/>
              <w:jc w:val="left"/>
              <w:rPr>
                <w:rFonts w:hint="eastAsia" w:ascii="宋体" w:hAnsi="宋体"/>
                <w:color w:val="auto"/>
                <w:highlight w:val="none"/>
              </w:rPr>
            </w:pPr>
            <w:r>
              <w:rPr>
                <w:rFonts w:hint="eastAsia" w:ascii="宋体" w:hAnsi="宋体"/>
                <w:color w:val="auto"/>
                <w:highlight w:val="none"/>
              </w:rPr>
              <w:t>投标文件按规定的格式（第七章格式</w:t>
            </w:r>
            <w:r>
              <w:rPr>
                <w:rFonts w:ascii="宋体" w:hAnsi="宋体"/>
                <w:color w:val="auto"/>
                <w:highlight w:val="none"/>
              </w:rPr>
              <w:t>1</w:t>
            </w:r>
            <w:r>
              <w:rPr>
                <w:rFonts w:hint="eastAsia" w:ascii="宋体" w:hAnsi="宋体"/>
                <w:color w:val="auto"/>
                <w:highlight w:val="none"/>
              </w:rPr>
              <w:t>、格式</w:t>
            </w:r>
            <w:r>
              <w:rPr>
                <w:rFonts w:ascii="宋体" w:hAnsi="宋体"/>
                <w:color w:val="auto"/>
                <w:highlight w:val="none"/>
              </w:rPr>
              <w:t>2</w:t>
            </w:r>
            <w:r>
              <w:rPr>
                <w:rFonts w:hint="eastAsia" w:ascii="宋体" w:hAnsi="宋体"/>
                <w:color w:val="auto"/>
                <w:highlight w:val="none"/>
              </w:rPr>
              <w:t>）要求填写，按规定盖章签署，没有主要内容不全，或关键字迹模糊、无法辨认的情形</w:t>
            </w:r>
          </w:p>
        </w:tc>
      </w:tr>
      <w:tr w14:paraId="3F2374ED">
        <w:tblPrEx>
          <w:tblCellMar>
            <w:top w:w="0" w:type="dxa"/>
            <w:left w:w="108" w:type="dxa"/>
            <w:bottom w:w="0" w:type="dxa"/>
            <w:right w:w="108" w:type="dxa"/>
          </w:tblCellMar>
        </w:tblPrEx>
        <w:trPr>
          <w:trHeight w:val="609" w:hRule="atLeast"/>
        </w:trPr>
        <w:tc>
          <w:tcPr>
            <w:tcW w:w="848" w:type="dxa"/>
            <w:vMerge w:val="continue"/>
            <w:tcBorders>
              <w:left w:val="single" w:color="000000" w:sz="4" w:space="0"/>
              <w:right w:val="single" w:color="000000" w:sz="6" w:space="0"/>
            </w:tcBorders>
            <w:noWrap/>
            <w:vAlign w:val="center"/>
          </w:tcPr>
          <w:p w14:paraId="44AF6B7A">
            <w:pPr>
              <w:spacing w:line="360" w:lineRule="auto"/>
              <w:jc w:val="center"/>
              <w:rPr>
                <w:rFonts w:ascii="宋体" w:hAnsi="宋体"/>
                <w:color w:val="auto"/>
                <w:kern w:val="1"/>
                <w:szCs w:val="21"/>
                <w:highlight w:val="none"/>
              </w:rPr>
            </w:pPr>
          </w:p>
        </w:tc>
        <w:tc>
          <w:tcPr>
            <w:tcW w:w="1019" w:type="dxa"/>
            <w:vMerge w:val="continue"/>
            <w:tcBorders>
              <w:left w:val="single" w:color="000000" w:sz="6" w:space="0"/>
              <w:right w:val="single" w:color="000000" w:sz="6" w:space="0"/>
            </w:tcBorders>
            <w:noWrap/>
            <w:vAlign w:val="center"/>
          </w:tcPr>
          <w:p w14:paraId="24807E51">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424501D0">
            <w:pPr>
              <w:spacing w:line="360" w:lineRule="auto"/>
              <w:jc w:val="left"/>
              <w:rPr>
                <w:rFonts w:hint="eastAsia" w:ascii="宋体" w:hAnsi="宋体"/>
                <w:color w:val="auto"/>
                <w:highlight w:val="none"/>
              </w:rPr>
            </w:pPr>
            <w:r>
              <w:rPr>
                <w:rFonts w:hint="eastAsia" w:ascii="宋体" w:hAnsi="宋体"/>
                <w:color w:val="auto"/>
                <w:highlight w:val="none"/>
              </w:rPr>
              <w:t>联合体投标人</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3EA38458">
            <w:pPr>
              <w:spacing w:line="360" w:lineRule="auto"/>
              <w:jc w:val="left"/>
              <w:rPr>
                <w:rFonts w:hint="eastAsia" w:ascii="宋体" w:hAnsi="宋体"/>
                <w:color w:val="auto"/>
                <w:highlight w:val="none"/>
              </w:rPr>
            </w:pPr>
            <w:r>
              <w:rPr>
                <w:rFonts w:hint="eastAsia" w:ascii="宋体" w:hAnsi="宋体"/>
                <w:color w:val="auto"/>
                <w:highlight w:val="none"/>
              </w:rPr>
              <w:t>若为联合体投标，则需提交联合体共同投标协议书，并明确联合体牵头人</w:t>
            </w:r>
          </w:p>
        </w:tc>
      </w:tr>
      <w:tr w14:paraId="34C78F9B">
        <w:tblPrEx>
          <w:tblCellMar>
            <w:top w:w="0" w:type="dxa"/>
            <w:left w:w="108" w:type="dxa"/>
            <w:bottom w:w="0" w:type="dxa"/>
            <w:right w:w="108" w:type="dxa"/>
          </w:tblCellMar>
        </w:tblPrEx>
        <w:trPr>
          <w:trHeight w:val="404" w:hRule="atLeast"/>
        </w:trPr>
        <w:tc>
          <w:tcPr>
            <w:tcW w:w="848" w:type="dxa"/>
            <w:vMerge w:val="continue"/>
            <w:tcBorders>
              <w:left w:val="single" w:color="000000" w:sz="4" w:space="0"/>
              <w:right w:val="single" w:color="000000" w:sz="6" w:space="0"/>
            </w:tcBorders>
            <w:noWrap/>
            <w:vAlign w:val="center"/>
          </w:tcPr>
          <w:p w14:paraId="079968B5">
            <w:pPr>
              <w:spacing w:line="360" w:lineRule="auto"/>
              <w:jc w:val="center"/>
              <w:rPr>
                <w:rFonts w:ascii="宋体" w:hAnsi="宋体"/>
                <w:color w:val="auto"/>
                <w:kern w:val="1"/>
                <w:szCs w:val="21"/>
                <w:highlight w:val="none"/>
              </w:rPr>
            </w:pPr>
          </w:p>
        </w:tc>
        <w:tc>
          <w:tcPr>
            <w:tcW w:w="1019" w:type="dxa"/>
            <w:vMerge w:val="continue"/>
            <w:tcBorders>
              <w:left w:val="single" w:color="000000" w:sz="6" w:space="0"/>
              <w:right w:val="single" w:color="000000" w:sz="6" w:space="0"/>
            </w:tcBorders>
            <w:noWrap/>
            <w:vAlign w:val="center"/>
          </w:tcPr>
          <w:p w14:paraId="1183535E">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659D1226">
            <w:pPr>
              <w:spacing w:line="360" w:lineRule="auto"/>
              <w:jc w:val="left"/>
              <w:rPr>
                <w:rFonts w:hint="eastAsia" w:ascii="宋体" w:hAnsi="宋体"/>
                <w:color w:val="auto"/>
                <w:highlight w:val="none"/>
              </w:rPr>
            </w:pPr>
            <w:r>
              <w:rPr>
                <w:rFonts w:hint="eastAsia" w:ascii="宋体" w:hAnsi="宋体"/>
                <w:color w:val="auto"/>
                <w:highlight w:val="none"/>
              </w:rPr>
              <w:t>投标报价</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739ECDB9">
            <w:pPr>
              <w:spacing w:line="360" w:lineRule="auto"/>
              <w:jc w:val="left"/>
              <w:rPr>
                <w:rFonts w:hint="eastAsia" w:ascii="宋体" w:hAnsi="宋体"/>
                <w:color w:val="auto"/>
                <w:highlight w:val="none"/>
              </w:rPr>
            </w:pPr>
            <w:r>
              <w:rPr>
                <w:rFonts w:hint="eastAsia" w:ascii="宋体" w:hAnsi="宋体"/>
                <w:color w:val="auto"/>
                <w:highlight w:val="none"/>
              </w:rPr>
              <w:t>投标报价每一项费用只允许有一个报价；需同时填报投标下浮率（设计费、建安工程费的报价下浮率）</w:t>
            </w:r>
          </w:p>
        </w:tc>
      </w:tr>
      <w:tr w14:paraId="5C5BE320">
        <w:tblPrEx>
          <w:tblCellMar>
            <w:top w:w="0" w:type="dxa"/>
            <w:left w:w="108" w:type="dxa"/>
            <w:bottom w:w="0" w:type="dxa"/>
            <w:right w:w="108" w:type="dxa"/>
          </w:tblCellMar>
        </w:tblPrEx>
        <w:trPr>
          <w:trHeight w:val="20" w:hRule="atLeast"/>
        </w:trPr>
        <w:tc>
          <w:tcPr>
            <w:tcW w:w="848" w:type="dxa"/>
            <w:vMerge w:val="continue"/>
            <w:tcBorders>
              <w:left w:val="single" w:color="000000" w:sz="4" w:space="0"/>
              <w:right w:val="single" w:color="000000" w:sz="6" w:space="0"/>
            </w:tcBorders>
            <w:noWrap/>
            <w:vAlign w:val="center"/>
          </w:tcPr>
          <w:p w14:paraId="602FE795">
            <w:pPr>
              <w:spacing w:line="360" w:lineRule="auto"/>
              <w:jc w:val="center"/>
              <w:rPr>
                <w:rFonts w:ascii="宋体" w:hAnsi="宋体"/>
                <w:color w:val="auto"/>
                <w:kern w:val="1"/>
                <w:szCs w:val="21"/>
                <w:highlight w:val="none"/>
              </w:rPr>
            </w:pPr>
          </w:p>
        </w:tc>
        <w:tc>
          <w:tcPr>
            <w:tcW w:w="1019" w:type="dxa"/>
            <w:vMerge w:val="continue"/>
            <w:tcBorders>
              <w:left w:val="single" w:color="000000" w:sz="6" w:space="0"/>
              <w:right w:val="single" w:color="000000" w:sz="6" w:space="0"/>
            </w:tcBorders>
            <w:noWrap/>
            <w:vAlign w:val="center"/>
          </w:tcPr>
          <w:p w14:paraId="7C9204EF">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6B8C5D54">
            <w:pPr>
              <w:spacing w:line="360" w:lineRule="auto"/>
              <w:jc w:val="left"/>
              <w:rPr>
                <w:rFonts w:hint="eastAsia" w:ascii="宋体" w:hAnsi="宋体"/>
                <w:color w:val="auto"/>
                <w:highlight w:val="none"/>
              </w:rPr>
            </w:pPr>
            <w:r>
              <w:rPr>
                <w:rFonts w:hint="eastAsia" w:ascii="宋体" w:hAnsi="宋体"/>
                <w:color w:val="auto"/>
                <w:highlight w:val="none"/>
              </w:rPr>
              <w:t>投标文件电脑机器特征码</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72C40753">
            <w:pPr>
              <w:spacing w:line="360" w:lineRule="auto"/>
              <w:jc w:val="left"/>
              <w:rPr>
                <w:rFonts w:hint="eastAsia" w:ascii="宋体" w:hAnsi="宋体"/>
                <w:color w:val="auto"/>
                <w:highlight w:val="none"/>
              </w:rPr>
            </w:pPr>
            <w:r>
              <w:rPr>
                <w:rFonts w:hint="eastAsia" w:ascii="宋体" w:hAnsi="宋体"/>
                <w:color w:val="auto"/>
                <w:highlight w:val="none"/>
              </w:rPr>
              <w:t>投标人与本项目其他投标人加密打包投标文件电脑机器特征码一致的</w:t>
            </w:r>
            <w:r>
              <w:rPr>
                <w:rFonts w:ascii="宋体" w:hAnsi="宋体"/>
                <w:color w:val="auto"/>
                <w:highlight w:val="none"/>
              </w:rPr>
              <w:t>(</w:t>
            </w:r>
            <w:r>
              <w:rPr>
                <w:rFonts w:hint="eastAsia" w:ascii="宋体" w:hAnsi="宋体"/>
                <w:color w:val="auto"/>
                <w:highlight w:val="none"/>
              </w:rPr>
              <w:t>以</w:t>
            </w:r>
            <w:r>
              <w:rPr>
                <w:rFonts w:hint="eastAsia" w:ascii="宋体" w:hAnsi="宋体" w:eastAsia="宋体"/>
                <w:color w:val="auto"/>
                <w:kern w:val="1"/>
                <w:sz w:val="21"/>
                <w:szCs w:val="21"/>
                <w:highlight w:val="none"/>
                <w:u w:val="none"/>
              </w:rPr>
              <w:t>广州交易集团有限公司（广州公共资源交易中心）</w:t>
            </w:r>
            <w:r>
              <w:rPr>
                <w:rFonts w:hint="eastAsia" w:ascii="宋体" w:hAnsi="宋体"/>
                <w:color w:val="auto"/>
                <w:highlight w:val="none"/>
              </w:rPr>
              <w:t>交易平台评标系统的检索信息为准</w:t>
            </w:r>
            <w:r>
              <w:rPr>
                <w:rFonts w:ascii="宋体" w:hAnsi="宋体"/>
                <w:color w:val="auto"/>
                <w:highlight w:val="none"/>
              </w:rPr>
              <w:t>)</w:t>
            </w:r>
            <w:r>
              <w:rPr>
                <w:rFonts w:hint="eastAsia" w:ascii="宋体" w:hAnsi="宋体"/>
                <w:color w:val="auto"/>
                <w:highlight w:val="none"/>
              </w:rPr>
              <w:t>，</w:t>
            </w:r>
            <w:r>
              <w:rPr>
                <w:rFonts w:hint="eastAsia" w:ascii="宋体" w:hAnsi="宋体"/>
                <w:color w:val="auto"/>
                <w:szCs w:val="21"/>
                <w:highlight w:val="none"/>
              </w:rPr>
              <w:t>不参与下一程序，并由评标委员会否决其投标</w:t>
            </w:r>
          </w:p>
        </w:tc>
      </w:tr>
      <w:tr w14:paraId="1DBEA892">
        <w:tblPrEx>
          <w:tblCellMar>
            <w:top w:w="0" w:type="dxa"/>
            <w:left w:w="108" w:type="dxa"/>
            <w:bottom w:w="0" w:type="dxa"/>
            <w:right w:w="108" w:type="dxa"/>
          </w:tblCellMar>
        </w:tblPrEx>
        <w:trPr>
          <w:trHeight w:val="1193" w:hRule="atLeast"/>
        </w:trPr>
        <w:tc>
          <w:tcPr>
            <w:tcW w:w="848" w:type="dxa"/>
            <w:tcBorders>
              <w:top w:val="single" w:color="000000" w:sz="6" w:space="0"/>
              <w:left w:val="single" w:color="000000" w:sz="4" w:space="0"/>
              <w:bottom w:val="single" w:color="000000" w:sz="4" w:space="0"/>
              <w:right w:val="single" w:color="000000" w:sz="6" w:space="0"/>
            </w:tcBorders>
            <w:noWrap/>
            <w:vAlign w:val="center"/>
          </w:tcPr>
          <w:p w14:paraId="45F2C7B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2.1.</w:t>
            </w:r>
            <w:r>
              <w:rPr>
                <w:rFonts w:ascii="宋体" w:hAnsi="宋体"/>
                <w:color w:val="auto"/>
                <w:kern w:val="1"/>
                <w:szCs w:val="21"/>
                <w:highlight w:val="none"/>
              </w:rPr>
              <w:t>2</w:t>
            </w:r>
          </w:p>
        </w:tc>
        <w:tc>
          <w:tcPr>
            <w:tcW w:w="1019" w:type="dxa"/>
            <w:tcBorders>
              <w:top w:val="single" w:color="000000" w:sz="6" w:space="0"/>
              <w:left w:val="single" w:color="000000" w:sz="6" w:space="0"/>
              <w:bottom w:val="single" w:color="000000" w:sz="4" w:space="0"/>
              <w:right w:val="single" w:color="000000" w:sz="6" w:space="0"/>
            </w:tcBorders>
            <w:noWrap/>
            <w:vAlign w:val="center"/>
          </w:tcPr>
          <w:p w14:paraId="1633A26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资格评审标准</w:t>
            </w: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67DFC3DA">
            <w:pPr>
              <w:spacing w:line="360" w:lineRule="auto"/>
              <w:jc w:val="left"/>
              <w:rPr>
                <w:rFonts w:hint="eastAsia" w:ascii="宋体"/>
                <w:color w:val="auto"/>
                <w:szCs w:val="21"/>
                <w:highlight w:val="none"/>
                <w:u w:val="single"/>
              </w:rPr>
            </w:pPr>
            <w:r>
              <w:rPr>
                <w:rFonts w:hint="eastAsia" w:ascii="宋体"/>
                <w:color w:val="auto"/>
                <w:szCs w:val="21"/>
                <w:highlight w:val="none"/>
                <w:u w:val="single"/>
              </w:rPr>
              <w:t>资格审查文件</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45E7A5B7">
            <w:pPr>
              <w:spacing w:line="360" w:lineRule="auto"/>
              <w:jc w:val="left"/>
              <w:rPr>
                <w:rFonts w:hint="eastAsia" w:ascii="宋体" w:hAnsi="宋体"/>
                <w:color w:val="auto"/>
                <w:highlight w:val="none"/>
              </w:rPr>
            </w:pPr>
            <w:r>
              <w:rPr>
                <w:rFonts w:hint="eastAsia" w:ascii="宋体" w:hAnsi="宋体"/>
                <w:color w:val="auto"/>
                <w:highlight w:val="none"/>
              </w:rPr>
              <w:t>评审标准详见</w:t>
            </w:r>
            <w:r>
              <w:rPr>
                <w:rFonts w:hint="eastAsia" w:ascii="宋体" w:hAnsi="宋体"/>
                <w:color w:val="auto"/>
                <w:highlight w:val="none"/>
                <w:lang w:val="en-US" w:eastAsia="zh-CN"/>
              </w:rPr>
              <w:t>附表1《</w:t>
            </w:r>
            <w:r>
              <w:rPr>
                <w:rFonts w:hint="eastAsia" w:ascii="宋体" w:hAnsi="宋体"/>
                <w:color w:val="auto"/>
                <w:highlight w:val="none"/>
              </w:rPr>
              <w:t>资格审查表</w:t>
            </w:r>
            <w:r>
              <w:rPr>
                <w:rFonts w:hint="eastAsia" w:ascii="宋体" w:hAnsi="宋体"/>
                <w:color w:val="auto"/>
                <w:highlight w:val="none"/>
                <w:lang w:val="en-US" w:eastAsia="zh-CN"/>
              </w:rPr>
              <w:t>》</w:t>
            </w:r>
          </w:p>
        </w:tc>
      </w:tr>
      <w:tr w14:paraId="55200013">
        <w:tblPrEx>
          <w:tblCellMar>
            <w:top w:w="0" w:type="dxa"/>
            <w:left w:w="108" w:type="dxa"/>
            <w:bottom w:w="0" w:type="dxa"/>
            <w:right w:w="108" w:type="dxa"/>
          </w:tblCellMar>
        </w:tblPrEx>
        <w:trPr>
          <w:trHeight w:val="757" w:hRule="atLeast"/>
        </w:trPr>
        <w:tc>
          <w:tcPr>
            <w:tcW w:w="848" w:type="dxa"/>
            <w:vMerge w:val="restart"/>
            <w:tcBorders>
              <w:top w:val="single" w:color="000000" w:sz="6" w:space="0"/>
              <w:left w:val="single" w:color="000000" w:sz="4" w:space="0"/>
              <w:right w:val="single" w:color="000000" w:sz="6" w:space="0"/>
            </w:tcBorders>
            <w:noWrap/>
            <w:vAlign w:val="center"/>
          </w:tcPr>
          <w:p w14:paraId="6C01C912">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2.1.</w:t>
            </w:r>
            <w:r>
              <w:rPr>
                <w:rFonts w:ascii="宋体" w:hAnsi="宋体"/>
                <w:color w:val="auto"/>
                <w:kern w:val="1"/>
                <w:szCs w:val="21"/>
                <w:highlight w:val="none"/>
              </w:rPr>
              <w:t>3</w:t>
            </w:r>
            <w:r>
              <w:rPr>
                <w:rFonts w:hint="eastAsia" w:ascii="宋体" w:hAnsi="宋体"/>
                <w:color w:val="auto"/>
                <w:kern w:val="1"/>
                <w:szCs w:val="21"/>
                <w:highlight w:val="none"/>
                <w:lang w:eastAsia="zh-CN"/>
              </w:rPr>
              <w:t>（</w:t>
            </w:r>
            <w:r>
              <w:rPr>
                <w:rFonts w:hint="eastAsia" w:ascii="宋体" w:hAnsi="宋体"/>
                <w:color w:val="auto"/>
                <w:kern w:val="1"/>
                <w:szCs w:val="21"/>
                <w:highlight w:val="none"/>
                <w:lang w:val="en-US" w:eastAsia="zh-CN"/>
              </w:rPr>
              <w:t>1</w:t>
            </w:r>
            <w:r>
              <w:rPr>
                <w:rFonts w:hint="eastAsia" w:ascii="宋体" w:hAnsi="宋体"/>
                <w:color w:val="auto"/>
                <w:kern w:val="1"/>
                <w:szCs w:val="21"/>
                <w:highlight w:val="none"/>
                <w:lang w:eastAsia="zh-CN"/>
              </w:rPr>
              <w:t>）</w:t>
            </w:r>
          </w:p>
        </w:tc>
        <w:tc>
          <w:tcPr>
            <w:tcW w:w="1019" w:type="dxa"/>
            <w:vMerge w:val="restart"/>
            <w:tcBorders>
              <w:top w:val="single" w:color="000000" w:sz="6" w:space="0"/>
              <w:left w:val="single" w:color="000000" w:sz="6" w:space="0"/>
              <w:right w:val="single" w:color="000000" w:sz="6" w:space="0"/>
            </w:tcBorders>
            <w:noWrap/>
            <w:vAlign w:val="center"/>
          </w:tcPr>
          <w:p w14:paraId="4C3F14B5">
            <w:pPr>
              <w:spacing w:line="360" w:lineRule="auto"/>
              <w:jc w:val="center"/>
              <w:rPr>
                <w:rFonts w:hint="eastAsia" w:ascii="宋体" w:hAnsi="宋体"/>
                <w:color w:val="auto"/>
                <w:kern w:val="1"/>
                <w:szCs w:val="21"/>
                <w:highlight w:val="none"/>
                <w:lang w:val="en-US" w:eastAsia="zh-CN"/>
              </w:rPr>
            </w:pPr>
            <w:r>
              <w:rPr>
                <w:rFonts w:hint="eastAsia" w:ascii="宋体" w:hAnsi="宋体"/>
                <w:color w:val="auto"/>
                <w:kern w:val="1"/>
                <w:szCs w:val="21"/>
                <w:highlight w:val="none"/>
                <w:lang w:val="en-US" w:eastAsia="zh-CN"/>
              </w:rPr>
              <w:t>设计方案</w:t>
            </w:r>
            <w:r>
              <w:rPr>
                <w:rFonts w:hint="eastAsia" w:ascii="宋体" w:hAnsi="宋体"/>
                <w:color w:val="auto"/>
                <w:kern w:val="1"/>
                <w:szCs w:val="21"/>
                <w:highlight w:val="none"/>
              </w:rPr>
              <w:t>响应性评审标准</w:t>
            </w: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39C555E6">
            <w:pPr>
              <w:spacing w:line="360" w:lineRule="auto"/>
              <w:jc w:val="left"/>
              <w:rPr>
                <w:rFonts w:hint="eastAsia" w:ascii="宋体" w:hAnsi="宋体"/>
                <w:color w:val="auto"/>
                <w:szCs w:val="21"/>
                <w:highlight w:val="none"/>
              </w:rPr>
            </w:pPr>
            <w:r>
              <w:rPr>
                <w:rFonts w:hint="eastAsia" w:ascii="宋体" w:hAnsi="宋体"/>
                <w:color w:val="auto"/>
                <w:szCs w:val="21"/>
                <w:highlight w:val="none"/>
              </w:rPr>
              <w:t>暗标形式</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4134C60B">
            <w:pPr>
              <w:spacing w:line="360" w:lineRule="auto"/>
              <w:rPr>
                <w:rFonts w:hint="eastAsia"/>
                <w:color w:val="auto"/>
                <w:highlight w:val="none"/>
              </w:rPr>
            </w:pPr>
            <w:r>
              <w:rPr>
                <w:rFonts w:hint="eastAsia"/>
                <w:color w:val="auto"/>
                <w:highlight w:val="none"/>
              </w:rPr>
              <w:t>发现投标人在投标文件（暗标部分）内</w:t>
            </w:r>
            <w:r>
              <w:rPr>
                <w:rFonts w:hint="eastAsia" w:ascii="宋体" w:hAnsi="宋体"/>
                <w:color w:val="auto"/>
                <w:szCs w:val="21"/>
                <w:highlight w:val="none"/>
              </w:rPr>
              <w:t>出现可以辨认投标人及专业技术人员身份的名称、印章、商标、图形等记认符号</w:t>
            </w:r>
          </w:p>
        </w:tc>
      </w:tr>
      <w:tr w14:paraId="08209698">
        <w:tblPrEx>
          <w:tblCellMar>
            <w:top w:w="0" w:type="dxa"/>
            <w:left w:w="108" w:type="dxa"/>
            <w:bottom w:w="0" w:type="dxa"/>
            <w:right w:w="108" w:type="dxa"/>
          </w:tblCellMar>
        </w:tblPrEx>
        <w:trPr>
          <w:trHeight w:val="164" w:hRule="atLeast"/>
        </w:trPr>
        <w:tc>
          <w:tcPr>
            <w:tcW w:w="848" w:type="dxa"/>
            <w:vMerge w:val="continue"/>
            <w:tcBorders>
              <w:left w:val="single" w:color="000000" w:sz="4" w:space="0"/>
              <w:right w:val="single" w:color="000000" w:sz="6" w:space="0"/>
            </w:tcBorders>
            <w:noWrap/>
            <w:vAlign w:val="center"/>
          </w:tcPr>
          <w:p w14:paraId="3C6D6C19">
            <w:pPr>
              <w:spacing w:line="360" w:lineRule="auto"/>
              <w:jc w:val="center"/>
              <w:rPr>
                <w:rFonts w:hint="eastAsia" w:ascii="宋体" w:hAnsi="宋体"/>
                <w:color w:val="auto"/>
                <w:kern w:val="1"/>
                <w:szCs w:val="21"/>
                <w:highlight w:val="none"/>
              </w:rPr>
            </w:pPr>
          </w:p>
        </w:tc>
        <w:tc>
          <w:tcPr>
            <w:tcW w:w="1019" w:type="dxa"/>
            <w:vMerge w:val="continue"/>
            <w:tcBorders>
              <w:left w:val="single" w:color="000000" w:sz="6" w:space="0"/>
              <w:right w:val="single" w:color="000000" w:sz="6" w:space="0"/>
            </w:tcBorders>
            <w:noWrap/>
            <w:vAlign w:val="center"/>
          </w:tcPr>
          <w:p w14:paraId="58688D00">
            <w:pPr>
              <w:spacing w:line="360" w:lineRule="auto"/>
              <w:jc w:val="center"/>
              <w:rPr>
                <w:rFonts w:hint="eastAsia"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144E0E6A">
            <w:pPr>
              <w:spacing w:line="360" w:lineRule="auto"/>
              <w:jc w:val="left"/>
              <w:rPr>
                <w:rFonts w:hint="eastAsia" w:ascii="宋体" w:hAnsi="宋体"/>
                <w:color w:val="auto"/>
                <w:szCs w:val="21"/>
                <w:highlight w:val="none"/>
              </w:rPr>
            </w:pPr>
            <w:r>
              <w:rPr>
                <w:rFonts w:hint="eastAsia" w:ascii="宋体" w:hAnsi="宋体"/>
                <w:color w:val="auto"/>
                <w:szCs w:val="21"/>
                <w:highlight w:val="none"/>
              </w:rPr>
              <w:t>抄袭行为</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2605C5D6">
            <w:pPr>
              <w:spacing w:line="360" w:lineRule="auto"/>
              <w:rPr>
                <w:rFonts w:hint="eastAsia"/>
                <w:color w:val="auto"/>
                <w:highlight w:val="none"/>
              </w:rPr>
            </w:pPr>
            <w:r>
              <w:rPr>
                <w:rFonts w:hint="eastAsia"/>
                <w:color w:val="auto"/>
                <w:highlight w:val="none"/>
              </w:rPr>
              <w:t>发现明显抄袭行为</w:t>
            </w:r>
          </w:p>
        </w:tc>
      </w:tr>
      <w:tr w14:paraId="65ED353C">
        <w:tblPrEx>
          <w:tblCellMar>
            <w:top w:w="0" w:type="dxa"/>
            <w:left w:w="108" w:type="dxa"/>
            <w:bottom w:w="0" w:type="dxa"/>
            <w:right w:w="108" w:type="dxa"/>
          </w:tblCellMar>
        </w:tblPrEx>
        <w:trPr>
          <w:trHeight w:val="164" w:hRule="atLeast"/>
        </w:trPr>
        <w:tc>
          <w:tcPr>
            <w:tcW w:w="848" w:type="dxa"/>
            <w:vMerge w:val="continue"/>
            <w:tcBorders>
              <w:left w:val="single" w:color="000000" w:sz="4" w:space="0"/>
              <w:right w:val="single" w:color="000000" w:sz="6" w:space="0"/>
            </w:tcBorders>
            <w:noWrap/>
            <w:vAlign w:val="center"/>
          </w:tcPr>
          <w:p w14:paraId="015BF8E1">
            <w:pPr>
              <w:spacing w:line="360" w:lineRule="auto"/>
              <w:jc w:val="center"/>
              <w:rPr>
                <w:rFonts w:hint="eastAsia" w:ascii="宋体" w:hAnsi="宋体"/>
                <w:color w:val="auto"/>
                <w:kern w:val="1"/>
                <w:szCs w:val="21"/>
                <w:highlight w:val="none"/>
              </w:rPr>
            </w:pPr>
          </w:p>
        </w:tc>
        <w:tc>
          <w:tcPr>
            <w:tcW w:w="1019" w:type="dxa"/>
            <w:vMerge w:val="continue"/>
            <w:tcBorders>
              <w:left w:val="single" w:color="000000" w:sz="6" w:space="0"/>
              <w:right w:val="single" w:color="000000" w:sz="6" w:space="0"/>
            </w:tcBorders>
            <w:noWrap/>
            <w:vAlign w:val="center"/>
          </w:tcPr>
          <w:p w14:paraId="4F7B5A5D">
            <w:pPr>
              <w:spacing w:line="360" w:lineRule="auto"/>
              <w:jc w:val="center"/>
              <w:rPr>
                <w:rFonts w:hint="eastAsia"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25D7832F">
            <w:pPr>
              <w:spacing w:line="360" w:lineRule="auto"/>
              <w:jc w:val="left"/>
              <w:rPr>
                <w:rFonts w:hint="eastAsia" w:ascii="宋体" w:hAnsi="宋体"/>
                <w:color w:val="auto"/>
                <w:szCs w:val="21"/>
                <w:highlight w:val="none"/>
              </w:rPr>
            </w:pPr>
            <w:r>
              <w:rPr>
                <w:rFonts w:hint="eastAsia" w:ascii="宋体" w:hAnsi="宋体"/>
                <w:color w:val="auto"/>
                <w:szCs w:val="21"/>
                <w:highlight w:val="none"/>
              </w:rPr>
              <w:t>著作权和特许权</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29D1842B">
            <w:pPr>
              <w:spacing w:line="360" w:lineRule="auto"/>
              <w:rPr>
                <w:rFonts w:hint="eastAsia"/>
                <w:color w:val="auto"/>
                <w:highlight w:val="none"/>
              </w:rPr>
            </w:pPr>
            <w:r>
              <w:rPr>
                <w:rFonts w:hint="eastAsia"/>
                <w:color w:val="auto"/>
                <w:highlight w:val="none"/>
              </w:rPr>
              <w:t>发现侵犯他人著作权和特许权</w:t>
            </w:r>
          </w:p>
        </w:tc>
      </w:tr>
      <w:tr w14:paraId="32ACB6F3">
        <w:tblPrEx>
          <w:tblCellMar>
            <w:top w:w="0" w:type="dxa"/>
            <w:left w:w="108" w:type="dxa"/>
            <w:bottom w:w="0" w:type="dxa"/>
            <w:right w:w="108" w:type="dxa"/>
          </w:tblCellMar>
        </w:tblPrEx>
        <w:trPr>
          <w:trHeight w:val="164" w:hRule="atLeast"/>
        </w:trPr>
        <w:tc>
          <w:tcPr>
            <w:tcW w:w="848" w:type="dxa"/>
            <w:vMerge w:val="continue"/>
            <w:tcBorders>
              <w:left w:val="single" w:color="000000" w:sz="4" w:space="0"/>
              <w:bottom w:val="single" w:color="000000" w:sz="4" w:space="0"/>
              <w:right w:val="single" w:color="000000" w:sz="6" w:space="0"/>
            </w:tcBorders>
            <w:noWrap/>
            <w:vAlign w:val="center"/>
          </w:tcPr>
          <w:p w14:paraId="0527A043">
            <w:pPr>
              <w:spacing w:line="360" w:lineRule="auto"/>
              <w:jc w:val="center"/>
              <w:rPr>
                <w:rFonts w:hint="eastAsia" w:ascii="宋体" w:hAnsi="宋体"/>
                <w:color w:val="auto"/>
                <w:kern w:val="1"/>
                <w:szCs w:val="21"/>
                <w:highlight w:val="none"/>
              </w:rPr>
            </w:pPr>
          </w:p>
        </w:tc>
        <w:tc>
          <w:tcPr>
            <w:tcW w:w="1019" w:type="dxa"/>
            <w:vMerge w:val="continue"/>
            <w:tcBorders>
              <w:left w:val="single" w:color="000000" w:sz="6" w:space="0"/>
              <w:bottom w:val="single" w:color="000000" w:sz="4" w:space="0"/>
              <w:right w:val="single" w:color="000000" w:sz="6" w:space="0"/>
            </w:tcBorders>
            <w:noWrap/>
            <w:vAlign w:val="center"/>
          </w:tcPr>
          <w:p w14:paraId="6A0C89B3">
            <w:pPr>
              <w:spacing w:line="360" w:lineRule="auto"/>
              <w:jc w:val="center"/>
              <w:rPr>
                <w:rFonts w:hint="eastAsia" w:ascii="宋体" w:hAnsi="宋体"/>
                <w:color w:val="auto"/>
                <w:kern w:val="1"/>
                <w:szCs w:val="21"/>
                <w:highlight w:val="none"/>
              </w:rPr>
            </w:pP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5205A20B">
            <w:pPr>
              <w:spacing w:line="360" w:lineRule="auto"/>
              <w:jc w:val="left"/>
              <w:rPr>
                <w:rFonts w:hint="eastAsia" w:ascii="宋体" w:hAnsi="宋体"/>
                <w:color w:val="auto"/>
                <w:highlight w:val="none"/>
              </w:rPr>
            </w:pPr>
            <w:r>
              <w:rPr>
                <w:rFonts w:hint="eastAsia" w:ascii="宋体" w:hAnsi="宋体"/>
                <w:color w:val="auto"/>
                <w:highlight w:val="none"/>
              </w:rPr>
              <w:t>串通投标情形</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72679B34">
            <w:pPr>
              <w:spacing w:line="360" w:lineRule="auto"/>
              <w:jc w:val="left"/>
              <w:rPr>
                <w:rFonts w:hint="eastAsia" w:ascii="宋体" w:hAnsi="宋体"/>
                <w:color w:val="auto"/>
                <w:highlight w:val="none"/>
              </w:rPr>
            </w:pPr>
            <w:r>
              <w:rPr>
                <w:rFonts w:hint="eastAsia" w:ascii="宋体" w:hAnsi="宋体"/>
                <w:color w:val="auto"/>
                <w:highlight w:val="none"/>
              </w:rPr>
              <w:t>不存在串通投标情形（串通投标情形以《中华人民共和国招标投标法实施条例》的规定为准）</w:t>
            </w:r>
          </w:p>
        </w:tc>
      </w:tr>
      <w:tr w14:paraId="69F25BD3">
        <w:tblPrEx>
          <w:tblCellMar>
            <w:top w:w="0" w:type="dxa"/>
            <w:left w:w="108" w:type="dxa"/>
            <w:bottom w:w="0" w:type="dxa"/>
            <w:right w:w="108" w:type="dxa"/>
          </w:tblCellMar>
        </w:tblPrEx>
        <w:trPr>
          <w:trHeight w:val="397" w:hRule="atLeast"/>
        </w:trPr>
        <w:tc>
          <w:tcPr>
            <w:tcW w:w="848" w:type="dxa"/>
            <w:vMerge w:val="restart"/>
            <w:tcBorders>
              <w:top w:val="single" w:color="000000" w:sz="4" w:space="0"/>
              <w:left w:val="single" w:color="000000" w:sz="4" w:space="0"/>
              <w:bottom w:val="single" w:color="000000" w:sz="4" w:space="0"/>
              <w:right w:val="single" w:color="000000" w:sz="4" w:space="0"/>
            </w:tcBorders>
            <w:noWrap/>
            <w:vAlign w:val="center"/>
          </w:tcPr>
          <w:p w14:paraId="728C00C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2.1.</w:t>
            </w:r>
            <w:r>
              <w:rPr>
                <w:rFonts w:ascii="宋体" w:hAnsi="宋体"/>
                <w:color w:val="auto"/>
                <w:kern w:val="1"/>
                <w:szCs w:val="21"/>
                <w:highlight w:val="none"/>
              </w:rPr>
              <w:t>3</w:t>
            </w:r>
            <w:r>
              <w:rPr>
                <w:rFonts w:hint="eastAsia" w:ascii="宋体" w:hAnsi="宋体"/>
                <w:color w:val="auto"/>
                <w:kern w:val="1"/>
                <w:szCs w:val="21"/>
                <w:highlight w:val="none"/>
                <w:lang w:eastAsia="zh-CN"/>
              </w:rPr>
              <w:t>（</w:t>
            </w:r>
            <w:r>
              <w:rPr>
                <w:rFonts w:hint="eastAsia" w:ascii="宋体" w:hAnsi="宋体"/>
                <w:color w:val="auto"/>
                <w:kern w:val="1"/>
                <w:szCs w:val="21"/>
                <w:highlight w:val="none"/>
                <w:lang w:val="en-US" w:eastAsia="zh-CN"/>
              </w:rPr>
              <w:t>2</w:t>
            </w:r>
            <w:r>
              <w:rPr>
                <w:rFonts w:hint="eastAsia" w:ascii="宋体" w:hAnsi="宋体"/>
                <w:color w:val="auto"/>
                <w:kern w:val="1"/>
                <w:szCs w:val="21"/>
                <w:highlight w:val="none"/>
                <w:lang w:eastAsia="zh-CN"/>
              </w:rPr>
              <w:t>）</w:t>
            </w:r>
          </w:p>
        </w:tc>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14:paraId="6A2FC7B5">
            <w:pPr>
              <w:spacing w:line="360" w:lineRule="auto"/>
              <w:jc w:val="center"/>
              <w:rPr>
                <w:rFonts w:hint="eastAsia" w:ascii="宋体" w:hAnsi="宋体"/>
                <w:color w:val="auto"/>
                <w:kern w:val="1"/>
                <w:szCs w:val="21"/>
                <w:highlight w:val="none"/>
                <w:lang w:val="en-US" w:eastAsia="zh-CN"/>
              </w:rPr>
            </w:pPr>
            <w:r>
              <w:rPr>
                <w:rFonts w:hint="eastAsia" w:ascii="宋体" w:hAnsi="宋体"/>
                <w:color w:val="auto"/>
                <w:kern w:val="1"/>
                <w:szCs w:val="21"/>
                <w:highlight w:val="none"/>
                <w:lang w:val="en-US" w:eastAsia="zh-CN"/>
              </w:rPr>
              <w:t>工程总承包实施方案</w:t>
            </w:r>
            <w:r>
              <w:rPr>
                <w:rFonts w:hint="eastAsia" w:ascii="宋体" w:hAnsi="宋体"/>
                <w:color w:val="auto"/>
                <w:kern w:val="1"/>
                <w:szCs w:val="21"/>
                <w:highlight w:val="none"/>
              </w:rPr>
              <w:t>响应性评审标准</w:t>
            </w:r>
          </w:p>
        </w:tc>
        <w:tc>
          <w:tcPr>
            <w:tcW w:w="2340" w:type="dxa"/>
            <w:tcBorders>
              <w:top w:val="single" w:color="000000" w:sz="6" w:space="0"/>
              <w:left w:val="single" w:color="000000" w:sz="4" w:space="0"/>
              <w:bottom w:val="single" w:color="000000" w:sz="6" w:space="0"/>
              <w:right w:val="single" w:color="000000" w:sz="4" w:space="0"/>
            </w:tcBorders>
            <w:noWrap/>
            <w:vAlign w:val="center"/>
          </w:tcPr>
          <w:p w14:paraId="6F1394C3">
            <w:pPr>
              <w:spacing w:line="360" w:lineRule="auto"/>
              <w:jc w:val="left"/>
              <w:rPr>
                <w:rFonts w:hint="eastAsia" w:ascii="宋体" w:hAnsi="宋体"/>
                <w:color w:val="auto"/>
                <w:highlight w:val="none"/>
              </w:rPr>
            </w:pPr>
            <w:r>
              <w:rPr>
                <w:rFonts w:hint="eastAsia" w:ascii="宋体" w:hAnsi="宋体"/>
                <w:color w:val="auto"/>
                <w:highlight w:val="none"/>
              </w:rPr>
              <w:t>投标报价</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34C40590">
            <w:pPr>
              <w:spacing w:line="360" w:lineRule="auto"/>
              <w:jc w:val="left"/>
              <w:rPr>
                <w:rFonts w:hint="eastAsia" w:ascii="宋体" w:hAnsi="宋体"/>
                <w:color w:val="auto"/>
                <w:highlight w:val="none"/>
              </w:rPr>
            </w:pPr>
            <w:r>
              <w:rPr>
                <w:rFonts w:hint="eastAsia" w:ascii="宋体" w:hAnsi="宋体"/>
                <w:color w:val="auto"/>
                <w:highlight w:val="none"/>
              </w:rPr>
              <w:t>符合第二章“投标人须知”第</w:t>
            </w:r>
            <w:r>
              <w:rPr>
                <w:rFonts w:ascii="宋体" w:hAnsi="宋体"/>
                <w:color w:val="auto"/>
                <w:highlight w:val="none"/>
              </w:rPr>
              <w:t>3.2</w:t>
            </w:r>
            <w:r>
              <w:rPr>
                <w:rFonts w:hint="eastAsia" w:ascii="宋体" w:hAnsi="宋体"/>
                <w:color w:val="auto"/>
                <w:highlight w:val="none"/>
              </w:rPr>
              <w:t>项规定</w:t>
            </w:r>
          </w:p>
        </w:tc>
      </w:tr>
      <w:tr w14:paraId="12228F04">
        <w:tblPrEx>
          <w:tblCellMar>
            <w:top w:w="0" w:type="dxa"/>
            <w:left w:w="108" w:type="dxa"/>
            <w:bottom w:w="0" w:type="dxa"/>
            <w:right w:w="108" w:type="dxa"/>
          </w:tblCellMar>
        </w:tblPrEx>
        <w:trPr>
          <w:trHeight w:val="406" w:hRule="atLeast"/>
        </w:trPr>
        <w:tc>
          <w:tcPr>
            <w:tcW w:w="848" w:type="dxa"/>
            <w:vMerge w:val="continue"/>
            <w:tcBorders>
              <w:top w:val="single" w:color="000000" w:sz="4" w:space="0"/>
              <w:left w:val="single" w:color="000000" w:sz="4" w:space="0"/>
              <w:bottom w:val="single" w:color="000000" w:sz="4" w:space="0"/>
              <w:right w:val="single" w:color="000000" w:sz="4" w:space="0"/>
            </w:tcBorders>
            <w:noWrap/>
            <w:vAlign w:val="center"/>
          </w:tcPr>
          <w:p w14:paraId="41E20625">
            <w:pPr>
              <w:spacing w:line="360" w:lineRule="auto"/>
              <w:jc w:val="center"/>
              <w:rPr>
                <w:rFonts w:ascii="宋体" w:hAnsi="宋体"/>
                <w:color w:val="auto"/>
                <w:kern w:val="1"/>
                <w:szCs w:val="21"/>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10EBAC5C">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4" w:space="0"/>
              <w:bottom w:val="single" w:color="000000" w:sz="6" w:space="0"/>
              <w:right w:val="single" w:color="000000" w:sz="4" w:space="0"/>
            </w:tcBorders>
            <w:noWrap/>
            <w:vAlign w:val="center"/>
          </w:tcPr>
          <w:p w14:paraId="069B161C">
            <w:pPr>
              <w:spacing w:line="360" w:lineRule="auto"/>
              <w:jc w:val="left"/>
              <w:rPr>
                <w:rFonts w:hint="eastAsia" w:ascii="宋体" w:hAnsi="宋体"/>
                <w:color w:val="auto"/>
                <w:highlight w:val="none"/>
              </w:rPr>
            </w:pPr>
            <w:r>
              <w:rPr>
                <w:rFonts w:hint="eastAsia" w:ascii="宋体" w:hAnsi="宋体"/>
                <w:color w:val="auto"/>
                <w:highlight w:val="none"/>
              </w:rPr>
              <w:t>投标总工期</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5AFC20DA">
            <w:pPr>
              <w:spacing w:line="360" w:lineRule="auto"/>
              <w:jc w:val="left"/>
              <w:rPr>
                <w:rFonts w:hint="eastAsia" w:ascii="宋体" w:hAnsi="宋体"/>
                <w:color w:val="auto"/>
                <w:highlight w:val="none"/>
              </w:rPr>
            </w:pPr>
            <w:r>
              <w:rPr>
                <w:rFonts w:hint="eastAsia" w:ascii="宋体" w:hAnsi="宋体"/>
                <w:color w:val="auto"/>
                <w:highlight w:val="none"/>
              </w:rPr>
              <w:t>符合第二章“投标人须知”第</w:t>
            </w:r>
            <w:r>
              <w:rPr>
                <w:rFonts w:ascii="宋体" w:hAnsi="宋体"/>
                <w:color w:val="auto"/>
                <w:highlight w:val="none"/>
              </w:rPr>
              <w:t>1.3.2</w:t>
            </w:r>
            <w:r>
              <w:rPr>
                <w:rFonts w:hint="eastAsia" w:ascii="宋体" w:hAnsi="宋体"/>
                <w:color w:val="auto"/>
                <w:highlight w:val="none"/>
              </w:rPr>
              <w:t>项规定</w:t>
            </w:r>
          </w:p>
        </w:tc>
      </w:tr>
      <w:tr w14:paraId="2A8D386D">
        <w:tblPrEx>
          <w:tblCellMar>
            <w:top w:w="0" w:type="dxa"/>
            <w:left w:w="108" w:type="dxa"/>
            <w:bottom w:w="0" w:type="dxa"/>
            <w:right w:w="108" w:type="dxa"/>
          </w:tblCellMar>
        </w:tblPrEx>
        <w:trPr>
          <w:trHeight w:val="354" w:hRule="atLeast"/>
        </w:trPr>
        <w:tc>
          <w:tcPr>
            <w:tcW w:w="848" w:type="dxa"/>
            <w:vMerge w:val="continue"/>
            <w:tcBorders>
              <w:top w:val="single" w:color="000000" w:sz="4" w:space="0"/>
              <w:left w:val="single" w:color="000000" w:sz="4" w:space="0"/>
              <w:bottom w:val="single" w:color="000000" w:sz="4" w:space="0"/>
              <w:right w:val="single" w:color="000000" w:sz="4" w:space="0"/>
            </w:tcBorders>
            <w:noWrap/>
            <w:vAlign w:val="center"/>
          </w:tcPr>
          <w:p w14:paraId="50AB2306">
            <w:pPr>
              <w:spacing w:line="360" w:lineRule="auto"/>
              <w:jc w:val="center"/>
              <w:rPr>
                <w:rFonts w:ascii="宋体" w:hAnsi="宋体"/>
                <w:color w:val="auto"/>
                <w:kern w:val="1"/>
                <w:szCs w:val="21"/>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04255880">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4" w:space="0"/>
              <w:bottom w:val="single" w:color="000000" w:sz="6" w:space="0"/>
              <w:right w:val="single" w:color="000000" w:sz="4" w:space="0"/>
            </w:tcBorders>
            <w:noWrap/>
            <w:vAlign w:val="center"/>
          </w:tcPr>
          <w:p w14:paraId="4E39A3F8">
            <w:pPr>
              <w:spacing w:line="360" w:lineRule="auto"/>
              <w:jc w:val="left"/>
              <w:rPr>
                <w:rFonts w:hint="eastAsia" w:ascii="宋体" w:hAnsi="宋体"/>
                <w:color w:val="auto"/>
                <w:highlight w:val="none"/>
              </w:rPr>
            </w:pPr>
            <w:r>
              <w:rPr>
                <w:rFonts w:hint="eastAsia" w:ascii="宋体" w:hAnsi="宋体"/>
                <w:color w:val="auto"/>
                <w:highlight w:val="none"/>
              </w:rPr>
              <w:t>质量标准</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61D295E0">
            <w:pPr>
              <w:spacing w:line="360" w:lineRule="auto"/>
              <w:jc w:val="left"/>
              <w:rPr>
                <w:rFonts w:hint="eastAsia" w:ascii="宋体" w:hAnsi="宋体"/>
                <w:color w:val="auto"/>
                <w:highlight w:val="none"/>
              </w:rPr>
            </w:pPr>
            <w:r>
              <w:rPr>
                <w:rFonts w:hint="eastAsia" w:ascii="宋体" w:hAnsi="宋体"/>
                <w:color w:val="auto"/>
                <w:highlight w:val="none"/>
              </w:rPr>
              <w:t>符合第二章“投标人须知”第</w:t>
            </w:r>
            <w:r>
              <w:rPr>
                <w:rFonts w:ascii="宋体" w:hAnsi="宋体"/>
                <w:color w:val="auto"/>
                <w:highlight w:val="none"/>
              </w:rPr>
              <w:t>1.3.3</w:t>
            </w:r>
            <w:r>
              <w:rPr>
                <w:rFonts w:hint="eastAsia" w:ascii="宋体" w:hAnsi="宋体"/>
                <w:color w:val="auto"/>
                <w:highlight w:val="none"/>
              </w:rPr>
              <w:t>项规定</w:t>
            </w:r>
          </w:p>
        </w:tc>
      </w:tr>
      <w:tr w14:paraId="3EA79A50">
        <w:tblPrEx>
          <w:tblCellMar>
            <w:top w:w="0" w:type="dxa"/>
            <w:left w:w="108" w:type="dxa"/>
            <w:bottom w:w="0" w:type="dxa"/>
            <w:right w:w="108" w:type="dxa"/>
          </w:tblCellMar>
        </w:tblPrEx>
        <w:trPr>
          <w:trHeight w:val="406" w:hRule="atLeast"/>
        </w:trPr>
        <w:tc>
          <w:tcPr>
            <w:tcW w:w="848" w:type="dxa"/>
            <w:vMerge w:val="continue"/>
            <w:tcBorders>
              <w:top w:val="single" w:color="000000" w:sz="4" w:space="0"/>
              <w:left w:val="single" w:color="000000" w:sz="4" w:space="0"/>
              <w:bottom w:val="single" w:color="000000" w:sz="4" w:space="0"/>
              <w:right w:val="single" w:color="000000" w:sz="4" w:space="0"/>
            </w:tcBorders>
            <w:noWrap/>
            <w:vAlign w:val="center"/>
          </w:tcPr>
          <w:p w14:paraId="2F263906">
            <w:pPr>
              <w:spacing w:line="360" w:lineRule="auto"/>
              <w:jc w:val="center"/>
              <w:rPr>
                <w:rFonts w:ascii="宋体" w:hAnsi="宋体"/>
                <w:color w:val="auto"/>
                <w:kern w:val="1"/>
                <w:szCs w:val="21"/>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4054F696">
            <w:pPr>
              <w:spacing w:line="360" w:lineRule="auto"/>
              <w:jc w:val="center"/>
              <w:rPr>
                <w:rFonts w:ascii="宋体" w:hAnsi="宋体"/>
                <w:color w:val="auto"/>
                <w:kern w:val="1"/>
                <w:szCs w:val="21"/>
                <w:highlight w:val="none"/>
              </w:rPr>
            </w:pPr>
          </w:p>
        </w:tc>
        <w:tc>
          <w:tcPr>
            <w:tcW w:w="2340" w:type="dxa"/>
            <w:tcBorders>
              <w:top w:val="single" w:color="000000" w:sz="6" w:space="0"/>
              <w:left w:val="single" w:color="000000" w:sz="4" w:space="0"/>
              <w:bottom w:val="single" w:color="000000" w:sz="4" w:space="0"/>
              <w:right w:val="single" w:color="000000" w:sz="4" w:space="0"/>
            </w:tcBorders>
            <w:noWrap/>
            <w:vAlign w:val="center"/>
          </w:tcPr>
          <w:p w14:paraId="0F68082B">
            <w:pPr>
              <w:spacing w:line="360" w:lineRule="auto"/>
              <w:jc w:val="left"/>
              <w:rPr>
                <w:rFonts w:hint="eastAsia" w:ascii="宋体" w:hAnsi="宋体"/>
                <w:color w:val="auto"/>
                <w:highlight w:val="none"/>
              </w:rPr>
            </w:pPr>
            <w:r>
              <w:rPr>
                <w:rFonts w:hint="eastAsia" w:ascii="宋体" w:hAnsi="宋体"/>
                <w:color w:val="auto"/>
                <w:highlight w:val="none"/>
              </w:rPr>
              <w:t>保修期限</w:t>
            </w:r>
          </w:p>
        </w:tc>
        <w:tc>
          <w:tcPr>
            <w:tcW w:w="5359" w:type="dxa"/>
            <w:tcBorders>
              <w:top w:val="single" w:color="000000" w:sz="6" w:space="0"/>
              <w:left w:val="single" w:color="000000" w:sz="4" w:space="0"/>
              <w:bottom w:val="single" w:color="000000" w:sz="4" w:space="0"/>
              <w:right w:val="single" w:color="000000" w:sz="4" w:space="0"/>
            </w:tcBorders>
            <w:noWrap/>
            <w:vAlign w:val="center"/>
          </w:tcPr>
          <w:p w14:paraId="57AB4B29">
            <w:pPr>
              <w:spacing w:line="360" w:lineRule="auto"/>
              <w:jc w:val="left"/>
              <w:rPr>
                <w:rFonts w:hint="eastAsia" w:ascii="宋体" w:hAnsi="宋体"/>
                <w:color w:val="auto"/>
                <w:highlight w:val="none"/>
              </w:rPr>
            </w:pPr>
            <w:r>
              <w:rPr>
                <w:rFonts w:hint="eastAsia" w:ascii="宋体" w:hAnsi="宋体"/>
                <w:color w:val="auto"/>
                <w:highlight w:val="none"/>
              </w:rPr>
              <w:t>符合第二章“投标人须知前附表”第</w:t>
            </w:r>
            <w:r>
              <w:rPr>
                <w:rFonts w:ascii="宋体" w:hAnsi="宋体"/>
                <w:color w:val="auto"/>
                <w:highlight w:val="none"/>
              </w:rPr>
              <w:t>9.2</w:t>
            </w:r>
            <w:r>
              <w:rPr>
                <w:rFonts w:hint="eastAsia" w:ascii="宋体" w:hAnsi="宋体"/>
                <w:color w:val="auto"/>
                <w:highlight w:val="none"/>
              </w:rPr>
              <w:t>项规定</w:t>
            </w:r>
          </w:p>
        </w:tc>
      </w:tr>
      <w:tr w14:paraId="547D1369">
        <w:tblPrEx>
          <w:tblCellMar>
            <w:top w:w="0" w:type="dxa"/>
            <w:left w:w="108" w:type="dxa"/>
            <w:bottom w:w="0" w:type="dxa"/>
            <w:right w:w="108" w:type="dxa"/>
          </w:tblCellMar>
        </w:tblPrEx>
        <w:trPr>
          <w:trHeight w:val="451" w:hRule="atLeast"/>
        </w:trPr>
        <w:tc>
          <w:tcPr>
            <w:tcW w:w="848" w:type="dxa"/>
            <w:vMerge w:val="continue"/>
            <w:tcBorders>
              <w:top w:val="single" w:color="000000" w:sz="4" w:space="0"/>
              <w:left w:val="single" w:color="000000" w:sz="4" w:space="0"/>
              <w:bottom w:val="single" w:color="000000" w:sz="4" w:space="0"/>
              <w:right w:val="single" w:color="000000" w:sz="4" w:space="0"/>
            </w:tcBorders>
            <w:noWrap/>
            <w:vAlign w:val="center"/>
          </w:tcPr>
          <w:p w14:paraId="53956C5C">
            <w:pPr>
              <w:spacing w:line="360" w:lineRule="auto"/>
              <w:jc w:val="center"/>
              <w:rPr>
                <w:rFonts w:ascii="宋体" w:hAnsi="宋体"/>
                <w:color w:val="auto"/>
                <w:kern w:val="1"/>
                <w:szCs w:val="21"/>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752FEBCF">
            <w:pPr>
              <w:spacing w:line="360" w:lineRule="auto"/>
              <w:jc w:val="center"/>
              <w:rPr>
                <w:rFonts w:ascii="宋体" w:hAnsi="宋体"/>
                <w:color w:val="auto"/>
                <w:kern w:val="1"/>
                <w:szCs w:val="21"/>
                <w:highlight w:val="none"/>
              </w:rPr>
            </w:pPr>
          </w:p>
        </w:tc>
        <w:tc>
          <w:tcPr>
            <w:tcW w:w="2340" w:type="dxa"/>
            <w:tcBorders>
              <w:top w:val="single" w:color="000000" w:sz="4" w:space="0"/>
              <w:left w:val="single" w:color="000000" w:sz="4" w:space="0"/>
              <w:bottom w:val="single" w:color="000000" w:sz="6" w:space="0"/>
              <w:right w:val="single" w:color="000000" w:sz="4" w:space="0"/>
            </w:tcBorders>
            <w:noWrap/>
            <w:vAlign w:val="center"/>
          </w:tcPr>
          <w:p w14:paraId="592D26F3">
            <w:pPr>
              <w:spacing w:line="360" w:lineRule="auto"/>
              <w:jc w:val="left"/>
              <w:rPr>
                <w:rFonts w:hint="eastAsia" w:ascii="宋体" w:hAnsi="宋体"/>
                <w:color w:val="auto"/>
                <w:highlight w:val="none"/>
              </w:rPr>
            </w:pPr>
            <w:r>
              <w:rPr>
                <w:rFonts w:hint="eastAsia" w:ascii="宋体" w:hAnsi="宋体"/>
                <w:color w:val="auto"/>
                <w:highlight w:val="none"/>
              </w:rPr>
              <w:t>投标有效期</w:t>
            </w:r>
          </w:p>
        </w:tc>
        <w:tc>
          <w:tcPr>
            <w:tcW w:w="5359" w:type="dxa"/>
            <w:tcBorders>
              <w:top w:val="single" w:color="000000" w:sz="4" w:space="0"/>
              <w:left w:val="single" w:color="000000" w:sz="4" w:space="0"/>
              <w:bottom w:val="single" w:color="000000" w:sz="6" w:space="0"/>
              <w:right w:val="single" w:color="000000" w:sz="4" w:space="0"/>
            </w:tcBorders>
            <w:noWrap/>
            <w:vAlign w:val="center"/>
          </w:tcPr>
          <w:p w14:paraId="15B51A90">
            <w:pPr>
              <w:spacing w:line="360" w:lineRule="auto"/>
              <w:jc w:val="left"/>
              <w:rPr>
                <w:rFonts w:hint="eastAsia" w:ascii="宋体" w:hAnsi="宋体"/>
                <w:color w:val="auto"/>
                <w:highlight w:val="none"/>
              </w:rPr>
            </w:pPr>
            <w:r>
              <w:rPr>
                <w:rFonts w:hint="eastAsia" w:ascii="宋体" w:hAnsi="宋体"/>
                <w:color w:val="auto"/>
                <w:highlight w:val="none"/>
              </w:rPr>
              <w:t>符合第二章“投标人须知”第</w:t>
            </w:r>
            <w:r>
              <w:rPr>
                <w:rFonts w:ascii="宋体" w:hAnsi="宋体"/>
                <w:color w:val="auto"/>
                <w:highlight w:val="none"/>
              </w:rPr>
              <w:t>3.3.1</w:t>
            </w:r>
            <w:r>
              <w:rPr>
                <w:rFonts w:hint="eastAsia" w:ascii="宋体" w:hAnsi="宋体"/>
                <w:color w:val="auto"/>
                <w:highlight w:val="none"/>
              </w:rPr>
              <w:t>项规定</w:t>
            </w:r>
          </w:p>
        </w:tc>
      </w:tr>
      <w:tr w14:paraId="77AD98A5">
        <w:tblPrEx>
          <w:tblCellMar>
            <w:top w:w="0" w:type="dxa"/>
            <w:left w:w="108" w:type="dxa"/>
            <w:bottom w:w="0" w:type="dxa"/>
            <w:right w:w="108" w:type="dxa"/>
          </w:tblCellMar>
        </w:tblPrEx>
        <w:trPr>
          <w:trHeight w:val="451" w:hRule="atLeast"/>
        </w:trPr>
        <w:tc>
          <w:tcPr>
            <w:tcW w:w="848" w:type="dxa"/>
            <w:vMerge w:val="continue"/>
            <w:tcBorders>
              <w:top w:val="single" w:color="000000" w:sz="4" w:space="0"/>
              <w:left w:val="single" w:color="000000" w:sz="4" w:space="0"/>
              <w:bottom w:val="single" w:color="000000" w:sz="4" w:space="0"/>
              <w:right w:val="single" w:color="000000" w:sz="4" w:space="0"/>
            </w:tcBorders>
            <w:noWrap/>
            <w:vAlign w:val="center"/>
          </w:tcPr>
          <w:p w14:paraId="269B872C">
            <w:pPr>
              <w:spacing w:line="360" w:lineRule="auto"/>
              <w:jc w:val="center"/>
              <w:rPr>
                <w:rFonts w:ascii="宋体" w:hAnsi="宋体"/>
                <w:color w:val="auto"/>
                <w:kern w:val="1"/>
                <w:szCs w:val="21"/>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546AB3C0">
            <w:pPr>
              <w:spacing w:line="360" w:lineRule="auto"/>
              <w:jc w:val="center"/>
              <w:rPr>
                <w:rFonts w:ascii="宋体" w:hAnsi="宋体"/>
                <w:color w:val="auto"/>
                <w:kern w:val="1"/>
                <w:szCs w:val="21"/>
                <w:highlight w:val="none"/>
              </w:rPr>
            </w:pPr>
          </w:p>
        </w:tc>
        <w:tc>
          <w:tcPr>
            <w:tcW w:w="2340" w:type="dxa"/>
            <w:tcBorders>
              <w:top w:val="single" w:color="000000" w:sz="4" w:space="0"/>
              <w:left w:val="single" w:color="000000" w:sz="4" w:space="0"/>
              <w:bottom w:val="single" w:color="000000" w:sz="6" w:space="0"/>
              <w:right w:val="single" w:color="000000" w:sz="4" w:space="0"/>
            </w:tcBorders>
            <w:noWrap/>
            <w:vAlign w:val="center"/>
          </w:tcPr>
          <w:p w14:paraId="2E8AD2DB">
            <w:pPr>
              <w:spacing w:line="360" w:lineRule="auto"/>
              <w:jc w:val="left"/>
              <w:rPr>
                <w:rFonts w:hint="eastAsia" w:ascii="宋体" w:hAnsi="宋体"/>
                <w:color w:val="auto"/>
                <w:highlight w:val="none"/>
              </w:rPr>
            </w:pPr>
            <w:r>
              <w:rPr>
                <w:rFonts w:hint="eastAsia" w:ascii="宋体" w:hAnsi="宋体"/>
                <w:color w:val="auto"/>
                <w:highlight w:val="none"/>
              </w:rPr>
              <w:t>串通投标情形</w:t>
            </w:r>
          </w:p>
        </w:tc>
        <w:tc>
          <w:tcPr>
            <w:tcW w:w="5359" w:type="dxa"/>
            <w:tcBorders>
              <w:top w:val="single" w:color="000000" w:sz="4" w:space="0"/>
              <w:left w:val="single" w:color="000000" w:sz="4" w:space="0"/>
              <w:bottom w:val="single" w:color="000000" w:sz="6" w:space="0"/>
              <w:right w:val="single" w:color="000000" w:sz="4" w:space="0"/>
            </w:tcBorders>
            <w:noWrap/>
            <w:vAlign w:val="center"/>
          </w:tcPr>
          <w:p w14:paraId="710D57F4">
            <w:pPr>
              <w:spacing w:line="360" w:lineRule="auto"/>
              <w:jc w:val="left"/>
              <w:rPr>
                <w:rFonts w:hint="eastAsia" w:ascii="宋体" w:hAnsi="宋体"/>
                <w:color w:val="auto"/>
                <w:highlight w:val="none"/>
              </w:rPr>
            </w:pPr>
            <w:r>
              <w:rPr>
                <w:rFonts w:hint="eastAsia" w:ascii="宋体" w:hAnsi="宋体"/>
                <w:color w:val="auto"/>
                <w:highlight w:val="none"/>
              </w:rPr>
              <w:t>不存在串通投标情形（串通投标情形以《中华人民共和国招标投标法实施条例》的规定为准）</w:t>
            </w:r>
          </w:p>
        </w:tc>
      </w:tr>
      <w:tr w14:paraId="78D0F3C9">
        <w:tblPrEx>
          <w:tblCellMar>
            <w:top w:w="0" w:type="dxa"/>
            <w:left w:w="108" w:type="dxa"/>
            <w:bottom w:w="0" w:type="dxa"/>
            <w:right w:w="108" w:type="dxa"/>
          </w:tblCellMar>
        </w:tblPrEx>
        <w:trPr>
          <w:trHeight w:val="359" w:hRule="atLeast"/>
        </w:trPr>
        <w:tc>
          <w:tcPr>
            <w:tcW w:w="1867" w:type="dxa"/>
            <w:gridSpan w:val="2"/>
            <w:tcBorders>
              <w:top w:val="single" w:color="000000" w:sz="4" w:space="0"/>
              <w:left w:val="single" w:color="000000" w:sz="4" w:space="0"/>
              <w:bottom w:val="single" w:color="000000" w:sz="6" w:space="0"/>
              <w:right w:val="single" w:color="000000" w:sz="6" w:space="0"/>
            </w:tcBorders>
            <w:noWrap/>
            <w:vAlign w:val="center"/>
          </w:tcPr>
          <w:p w14:paraId="7CDB4558">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条款号</w:t>
            </w:r>
          </w:p>
        </w:tc>
        <w:tc>
          <w:tcPr>
            <w:tcW w:w="2340" w:type="dxa"/>
            <w:tcBorders>
              <w:top w:val="single" w:color="000000" w:sz="6" w:space="0"/>
              <w:left w:val="single" w:color="000000" w:sz="6" w:space="0"/>
              <w:bottom w:val="single" w:color="000000" w:sz="6" w:space="0"/>
              <w:right w:val="single" w:color="000000" w:sz="6" w:space="0"/>
            </w:tcBorders>
            <w:noWrap/>
            <w:vAlign w:val="center"/>
          </w:tcPr>
          <w:p w14:paraId="49D909CF">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条款内容</w:t>
            </w:r>
          </w:p>
        </w:tc>
        <w:tc>
          <w:tcPr>
            <w:tcW w:w="5359" w:type="dxa"/>
            <w:tcBorders>
              <w:top w:val="single" w:color="000000" w:sz="6" w:space="0"/>
              <w:left w:val="single" w:color="000000" w:sz="6" w:space="0"/>
              <w:bottom w:val="single" w:color="000000" w:sz="6" w:space="0"/>
              <w:right w:val="single" w:color="000000" w:sz="4" w:space="0"/>
            </w:tcBorders>
            <w:noWrap/>
            <w:vAlign w:val="center"/>
          </w:tcPr>
          <w:p w14:paraId="582A0C45">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编列内容</w:t>
            </w:r>
          </w:p>
        </w:tc>
      </w:tr>
      <w:tr w14:paraId="1DAD419B">
        <w:tblPrEx>
          <w:tblCellMar>
            <w:top w:w="0" w:type="dxa"/>
            <w:left w:w="108" w:type="dxa"/>
            <w:bottom w:w="0" w:type="dxa"/>
            <w:right w:w="108" w:type="dxa"/>
          </w:tblCellMar>
        </w:tblPrEx>
        <w:trPr>
          <w:trHeight w:val="420" w:hRule="atLeast"/>
        </w:trPr>
        <w:tc>
          <w:tcPr>
            <w:tcW w:w="1867" w:type="dxa"/>
            <w:gridSpan w:val="2"/>
            <w:tcBorders>
              <w:top w:val="single" w:color="000000" w:sz="6" w:space="0"/>
              <w:left w:val="single" w:color="000000" w:sz="4" w:space="0"/>
              <w:bottom w:val="single" w:color="000000" w:sz="6" w:space="0"/>
              <w:right w:val="single" w:color="000000" w:sz="6" w:space="0"/>
            </w:tcBorders>
            <w:noWrap/>
            <w:vAlign w:val="center"/>
          </w:tcPr>
          <w:p w14:paraId="64A1414C">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2.2.1</w:t>
            </w:r>
          </w:p>
        </w:tc>
        <w:tc>
          <w:tcPr>
            <w:tcW w:w="2340" w:type="dxa"/>
            <w:tcBorders>
              <w:top w:val="single" w:color="000000" w:sz="6" w:space="0"/>
              <w:left w:val="single" w:color="000000" w:sz="6" w:space="0"/>
              <w:bottom w:val="single" w:color="000000" w:sz="6" w:space="0"/>
              <w:right w:val="single" w:color="000000" w:sz="6" w:space="0"/>
            </w:tcBorders>
            <w:noWrap/>
            <w:vAlign w:val="center"/>
          </w:tcPr>
          <w:p w14:paraId="7808F7D0">
            <w:pPr>
              <w:spacing w:line="360" w:lineRule="auto"/>
              <w:jc w:val="left"/>
              <w:rPr>
                <w:rFonts w:hint="eastAsia" w:ascii="宋体" w:hAnsi="宋体"/>
                <w:color w:val="auto"/>
                <w:kern w:val="1"/>
                <w:szCs w:val="21"/>
                <w:highlight w:val="none"/>
              </w:rPr>
            </w:pPr>
            <w:r>
              <w:rPr>
                <w:rFonts w:hint="eastAsia" w:ascii="宋体" w:hAnsi="宋体"/>
                <w:color w:val="auto"/>
                <w:kern w:val="1"/>
                <w:szCs w:val="21"/>
                <w:highlight w:val="none"/>
              </w:rPr>
              <w:t>分值构成及权重</w:t>
            </w:r>
          </w:p>
        </w:tc>
        <w:tc>
          <w:tcPr>
            <w:tcW w:w="5359" w:type="dxa"/>
            <w:tcBorders>
              <w:top w:val="single" w:color="000000" w:sz="6" w:space="0"/>
              <w:left w:val="single" w:color="000000" w:sz="6" w:space="0"/>
              <w:bottom w:val="single" w:color="000000" w:sz="6" w:space="0"/>
              <w:right w:val="single" w:color="000000" w:sz="4" w:space="0"/>
            </w:tcBorders>
            <w:noWrap/>
            <w:vAlign w:val="center"/>
          </w:tcPr>
          <w:p w14:paraId="040D8EBF">
            <w:pPr>
              <w:spacing w:line="360" w:lineRule="auto"/>
              <w:jc w:val="left"/>
              <w:rPr>
                <w:rFonts w:hint="eastAsia" w:ascii="宋体" w:hAnsi="宋体" w:eastAsia="宋体"/>
                <w:color w:val="auto"/>
                <w:kern w:val="1"/>
                <w:sz w:val="21"/>
                <w:szCs w:val="21"/>
                <w:highlight w:val="none"/>
                <w:lang w:val="en-US" w:eastAsia="zh-CN" w:bidi="ar-SA"/>
              </w:rPr>
            </w:pPr>
            <w:r>
              <w:rPr>
                <w:rFonts w:hint="eastAsia" w:ascii="宋体" w:hAnsi="宋体" w:eastAsia="宋体"/>
                <w:color w:val="auto"/>
                <w:kern w:val="1"/>
                <w:sz w:val="21"/>
                <w:szCs w:val="21"/>
                <w:highlight w:val="none"/>
                <w:lang w:val="en-US" w:eastAsia="zh-CN" w:bidi="ar-SA"/>
              </w:rPr>
              <w:t>投标人总得分100分=设计方案得分×权重10%+（工程总承包实施方案部分得分×权重50%+投标报价得分×权重50%）×权重90%</w:t>
            </w:r>
          </w:p>
        </w:tc>
      </w:tr>
      <w:tr w14:paraId="255C9390">
        <w:tblPrEx>
          <w:tblCellMar>
            <w:top w:w="0" w:type="dxa"/>
            <w:left w:w="108" w:type="dxa"/>
            <w:bottom w:w="0" w:type="dxa"/>
            <w:right w:w="108" w:type="dxa"/>
          </w:tblCellMar>
        </w:tblPrEx>
        <w:trPr>
          <w:trHeight w:val="627" w:hRule="atLeast"/>
        </w:trPr>
        <w:tc>
          <w:tcPr>
            <w:tcW w:w="1867" w:type="dxa"/>
            <w:gridSpan w:val="2"/>
            <w:tcBorders>
              <w:top w:val="single" w:color="000000" w:sz="6" w:space="0"/>
              <w:left w:val="single" w:color="000000" w:sz="4" w:space="0"/>
              <w:bottom w:val="single" w:color="000000" w:sz="6" w:space="0"/>
              <w:right w:val="single" w:color="000000" w:sz="6" w:space="0"/>
            </w:tcBorders>
            <w:noWrap/>
            <w:vAlign w:val="center"/>
          </w:tcPr>
          <w:p w14:paraId="2772C74A">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w:t>
            </w:r>
            <w:r>
              <w:rPr>
                <w:rFonts w:ascii="宋体" w:hAnsi="宋体"/>
                <w:color w:val="auto"/>
                <w:kern w:val="1"/>
                <w:szCs w:val="21"/>
                <w:highlight w:val="none"/>
              </w:rPr>
              <w:t>.2.2</w:t>
            </w:r>
          </w:p>
        </w:tc>
        <w:tc>
          <w:tcPr>
            <w:tcW w:w="2340" w:type="dxa"/>
            <w:tcBorders>
              <w:top w:val="single" w:color="000000" w:sz="6" w:space="0"/>
              <w:left w:val="single" w:color="000000" w:sz="6" w:space="0"/>
              <w:bottom w:val="single" w:color="000000" w:sz="6" w:space="0"/>
              <w:right w:val="single" w:color="000000" w:sz="6" w:space="0"/>
            </w:tcBorders>
            <w:noWrap/>
            <w:vAlign w:val="center"/>
          </w:tcPr>
          <w:p w14:paraId="29F1ABAD">
            <w:pPr>
              <w:spacing w:line="360" w:lineRule="auto"/>
              <w:jc w:val="left"/>
              <w:rPr>
                <w:rFonts w:hint="eastAsia" w:ascii="宋体" w:hAnsi="宋体"/>
                <w:color w:val="auto"/>
                <w:highlight w:val="none"/>
              </w:rPr>
            </w:pPr>
            <w:r>
              <w:rPr>
                <w:rFonts w:hint="eastAsia" w:ascii="宋体" w:hAnsi="宋体"/>
                <w:color w:val="auto"/>
                <w:highlight w:val="none"/>
              </w:rPr>
              <w:t>评标基准价计算方法</w:t>
            </w:r>
          </w:p>
        </w:tc>
        <w:tc>
          <w:tcPr>
            <w:tcW w:w="5359" w:type="dxa"/>
            <w:tcBorders>
              <w:top w:val="single" w:color="000000" w:sz="6" w:space="0"/>
              <w:left w:val="single" w:color="000000" w:sz="6" w:space="0"/>
              <w:bottom w:val="single" w:color="000000" w:sz="6" w:space="0"/>
              <w:right w:val="single" w:color="000000" w:sz="4" w:space="0"/>
            </w:tcBorders>
            <w:noWrap/>
            <w:vAlign w:val="center"/>
          </w:tcPr>
          <w:p w14:paraId="290CF9D3">
            <w:pPr>
              <w:spacing w:line="360" w:lineRule="auto"/>
              <w:jc w:val="left"/>
              <w:rPr>
                <w:rFonts w:hint="eastAsia" w:ascii="宋体" w:hAnsi="宋体"/>
                <w:color w:val="auto"/>
                <w:szCs w:val="21"/>
                <w:highlight w:val="none"/>
              </w:rPr>
            </w:pPr>
            <w:r>
              <w:rPr>
                <w:rFonts w:hint="eastAsia" w:ascii="宋体" w:hAnsi="宋体"/>
                <w:color w:val="auto"/>
                <w:szCs w:val="21"/>
                <w:highlight w:val="none"/>
              </w:rPr>
              <w:t>通过设计方案和工程总承包实施方案响应性审查</w:t>
            </w:r>
            <w:r>
              <w:rPr>
                <w:rFonts w:hint="eastAsia" w:ascii="宋体" w:hAnsi="宋体"/>
                <w:color w:val="auto"/>
                <w:szCs w:val="21"/>
                <w:highlight w:val="none"/>
                <w:u w:val="none"/>
              </w:rPr>
              <w:t>且经算术校核后投标</w:t>
            </w:r>
            <w:r>
              <w:rPr>
                <w:rFonts w:hint="eastAsia" w:ascii="宋体" w:hAnsi="宋体"/>
                <w:color w:val="auto"/>
                <w:szCs w:val="21"/>
                <w:highlight w:val="none"/>
                <w:u w:val="none"/>
                <w:lang w:val="en-US" w:eastAsia="zh-CN"/>
              </w:rPr>
              <w:t>总</w:t>
            </w:r>
            <w:r>
              <w:rPr>
                <w:rFonts w:hint="eastAsia" w:ascii="宋体" w:hAnsi="宋体"/>
                <w:color w:val="auto"/>
                <w:szCs w:val="21"/>
                <w:highlight w:val="none"/>
                <w:u w:val="none"/>
              </w:rPr>
              <w:t>报价位于[</w:t>
            </w:r>
            <w:r>
              <w:rPr>
                <w:rFonts w:hint="eastAsia" w:ascii="宋体" w:hAnsi="宋体" w:eastAsia="宋体"/>
                <w:color w:val="auto"/>
                <w:highlight w:val="none"/>
              </w:rPr>
              <w:t>最高投标总限价</w:t>
            </w:r>
            <w:r>
              <w:rPr>
                <w:rFonts w:hint="eastAsia" w:ascii="宋体" w:hAnsi="宋体"/>
                <w:color w:val="auto"/>
                <w:szCs w:val="21"/>
                <w:highlight w:val="none"/>
                <w:u w:val="none"/>
              </w:rPr>
              <w:t>×90%，</w:t>
            </w:r>
            <w:r>
              <w:rPr>
                <w:rFonts w:hint="eastAsia" w:ascii="宋体" w:hAnsi="宋体" w:eastAsia="宋体"/>
                <w:color w:val="auto"/>
                <w:highlight w:val="none"/>
              </w:rPr>
              <w:t>最高投标总限价</w:t>
            </w:r>
            <w:r>
              <w:rPr>
                <w:rFonts w:hint="eastAsia" w:ascii="宋体" w:hAnsi="宋体"/>
                <w:color w:val="auto"/>
                <w:szCs w:val="21"/>
                <w:highlight w:val="none"/>
                <w:u w:val="none"/>
              </w:rPr>
              <w:t>]区间的投标人家数小于5家的，</w:t>
            </w:r>
            <w:r>
              <w:rPr>
                <w:rFonts w:hint="eastAsia" w:ascii="宋体" w:hAnsi="宋体"/>
                <w:color w:val="auto"/>
                <w:szCs w:val="21"/>
                <w:highlight w:val="none"/>
                <w:u w:val="none"/>
                <w:lang w:val="en-US" w:eastAsia="zh-CN"/>
              </w:rPr>
              <w:t>位于区间的投标</w:t>
            </w:r>
            <w:r>
              <w:rPr>
                <w:rFonts w:hint="eastAsia" w:ascii="宋体" w:hAnsi="宋体"/>
                <w:color w:val="auto"/>
                <w:szCs w:val="21"/>
                <w:highlight w:val="none"/>
                <w:u w:val="none"/>
              </w:rPr>
              <w:t>报价的算术平均值为评标</w:t>
            </w:r>
            <w:r>
              <w:rPr>
                <w:rFonts w:hint="eastAsia" w:ascii="宋体" w:hAnsi="宋体"/>
                <w:color w:val="auto"/>
                <w:szCs w:val="21"/>
                <w:highlight w:val="none"/>
                <w:u w:val="none"/>
                <w:lang w:val="en-US" w:eastAsia="zh-CN"/>
              </w:rPr>
              <w:t>基准</w:t>
            </w:r>
            <w:r>
              <w:rPr>
                <w:rFonts w:hint="eastAsia" w:ascii="宋体" w:hAnsi="宋体"/>
                <w:color w:val="auto"/>
                <w:szCs w:val="21"/>
                <w:highlight w:val="none"/>
                <w:u w:val="none"/>
              </w:rPr>
              <w:t>价；当</w:t>
            </w:r>
            <w:r>
              <w:rPr>
                <w:rFonts w:hint="eastAsia" w:ascii="宋体" w:hAnsi="宋体"/>
                <w:color w:val="auto"/>
                <w:szCs w:val="21"/>
                <w:highlight w:val="none"/>
              </w:rPr>
              <w:t>通过设计方案和工程总承包实施方案响应性审查</w:t>
            </w:r>
            <w:r>
              <w:rPr>
                <w:rFonts w:hint="eastAsia" w:ascii="宋体" w:hAnsi="宋体"/>
                <w:color w:val="auto"/>
                <w:szCs w:val="21"/>
                <w:highlight w:val="none"/>
                <w:u w:val="none"/>
              </w:rPr>
              <w:t>且经算术校核后投标</w:t>
            </w:r>
            <w:r>
              <w:rPr>
                <w:rFonts w:hint="eastAsia" w:ascii="宋体" w:hAnsi="宋体"/>
                <w:color w:val="auto"/>
                <w:szCs w:val="21"/>
                <w:highlight w:val="none"/>
                <w:u w:val="none"/>
                <w:lang w:val="en-US" w:eastAsia="zh-CN"/>
              </w:rPr>
              <w:t>总</w:t>
            </w:r>
            <w:r>
              <w:rPr>
                <w:rFonts w:hint="eastAsia" w:ascii="宋体" w:hAnsi="宋体"/>
                <w:color w:val="auto"/>
                <w:szCs w:val="21"/>
                <w:highlight w:val="none"/>
                <w:u w:val="none"/>
              </w:rPr>
              <w:t>报价位于[</w:t>
            </w:r>
            <w:r>
              <w:rPr>
                <w:rFonts w:hint="eastAsia" w:ascii="宋体" w:hAnsi="宋体" w:eastAsia="宋体"/>
                <w:color w:val="auto"/>
                <w:highlight w:val="none"/>
              </w:rPr>
              <w:t>最高投标总限价</w:t>
            </w:r>
            <w:r>
              <w:rPr>
                <w:rFonts w:hint="eastAsia" w:ascii="宋体" w:hAnsi="宋体"/>
                <w:color w:val="auto"/>
                <w:szCs w:val="21"/>
                <w:highlight w:val="none"/>
                <w:u w:val="none"/>
              </w:rPr>
              <w:t>×90%，</w:t>
            </w:r>
            <w:r>
              <w:rPr>
                <w:rFonts w:hint="eastAsia" w:ascii="宋体" w:hAnsi="宋体" w:eastAsia="宋体"/>
                <w:color w:val="auto"/>
                <w:highlight w:val="none"/>
              </w:rPr>
              <w:t>最高投标总限价</w:t>
            </w:r>
            <w:r>
              <w:rPr>
                <w:rFonts w:hint="eastAsia" w:ascii="宋体" w:hAnsi="宋体"/>
                <w:color w:val="auto"/>
                <w:szCs w:val="21"/>
                <w:highlight w:val="none"/>
                <w:u w:val="none"/>
              </w:rPr>
              <w:t>]区间的投标人家数大于或等于5家的，去一个最高价和一个最低价后，位于区间的剩余</w:t>
            </w:r>
            <w:r>
              <w:rPr>
                <w:rFonts w:hint="eastAsia" w:ascii="宋体" w:hAnsi="宋体"/>
                <w:color w:val="auto"/>
                <w:szCs w:val="21"/>
                <w:highlight w:val="none"/>
                <w:u w:val="none"/>
                <w:lang w:val="en-US" w:eastAsia="zh-CN"/>
              </w:rPr>
              <w:t>投标</w:t>
            </w:r>
            <w:r>
              <w:rPr>
                <w:rFonts w:hint="eastAsia" w:ascii="宋体" w:hAnsi="宋体"/>
                <w:color w:val="auto"/>
                <w:szCs w:val="21"/>
                <w:highlight w:val="none"/>
                <w:u w:val="none"/>
              </w:rPr>
              <w:t>报价的算术平均值为评标</w:t>
            </w:r>
            <w:r>
              <w:rPr>
                <w:rFonts w:hint="eastAsia" w:ascii="宋体" w:hAnsi="宋体"/>
                <w:color w:val="auto"/>
                <w:szCs w:val="21"/>
                <w:highlight w:val="none"/>
                <w:u w:val="none"/>
                <w:lang w:val="en-US" w:eastAsia="zh-CN"/>
              </w:rPr>
              <w:t>基准</w:t>
            </w:r>
            <w:r>
              <w:rPr>
                <w:rFonts w:hint="eastAsia" w:ascii="宋体" w:hAnsi="宋体"/>
                <w:color w:val="auto"/>
                <w:szCs w:val="21"/>
                <w:highlight w:val="none"/>
                <w:u w:val="none"/>
              </w:rPr>
              <w:t>价</w:t>
            </w:r>
            <w:r>
              <w:rPr>
                <w:rFonts w:hint="eastAsia" w:ascii="宋体" w:hAnsi="宋体"/>
                <w:color w:val="auto"/>
                <w:highlight w:val="none"/>
                <w:u w:val="none"/>
              </w:rPr>
              <w:t>。</w:t>
            </w:r>
          </w:p>
          <w:p w14:paraId="3FD9AD05">
            <w:pPr>
              <w:spacing w:line="360" w:lineRule="auto"/>
              <w:jc w:val="left"/>
              <w:rPr>
                <w:rFonts w:hint="eastAsia" w:ascii="宋体" w:hAnsi="宋体"/>
                <w:color w:val="auto"/>
                <w:highlight w:val="none"/>
                <w:u w:val="none"/>
              </w:rPr>
            </w:pPr>
            <w:r>
              <w:rPr>
                <w:rFonts w:hint="eastAsia" w:ascii="宋体" w:hAnsi="宋体"/>
                <w:color w:val="auto"/>
                <w:highlight w:val="none"/>
                <w:u w:val="none"/>
              </w:rPr>
              <w:t>若在</w:t>
            </w:r>
            <w:r>
              <w:rPr>
                <w:rFonts w:hint="eastAsia" w:ascii="宋体" w:hAnsi="宋体"/>
                <w:color w:val="auto"/>
                <w:szCs w:val="21"/>
                <w:highlight w:val="none"/>
              </w:rPr>
              <w:t>通过设计方案和工程总承包实施方案响应性审查</w:t>
            </w:r>
            <w:r>
              <w:rPr>
                <w:rFonts w:hint="eastAsia" w:ascii="宋体" w:hAnsi="宋体"/>
                <w:color w:val="auto"/>
                <w:szCs w:val="21"/>
                <w:highlight w:val="none"/>
                <w:u w:val="none"/>
              </w:rPr>
              <w:t>且经算术校核后</w:t>
            </w:r>
            <w:r>
              <w:rPr>
                <w:rFonts w:hint="eastAsia" w:ascii="宋体" w:hAnsi="宋体"/>
                <w:color w:val="auto"/>
                <w:highlight w:val="none"/>
                <w:u w:val="none"/>
              </w:rPr>
              <w:t>的投标</w:t>
            </w:r>
            <w:r>
              <w:rPr>
                <w:rFonts w:hint="eastAsia" w:ascii="宋体" w:hAnsi="宋体"/>
                <w:color w:val="auto"/>
                <w:highlight w:val="none"/>
                <w:u w:val="none"/>
                <w:lang w:val="en-US" w:eastAsia="zh-CN"/>
              </w:rPr>
              <w:t>总</w:t>
            </w:r>
            <w:r>
              <w:rPr>
                <w:rFonts w:hint="eastAsia" w:ascii="宋体" w:hAnsi="宋体"/>
                <w:color w:val="auto"/>
                <w:highlight w:val="none"/>
                <w:u w:val="none"/>
              </w:rPr>
              <w:t>报价中，没有报价位于[</w:t>
            </w:r>
            <w:r>
              <w:rPr>
                <w:rFonts w:hint="eastAsia" w:ascii="宋体" w:hAnsi="宋体" w:eastAsia="宋体"/>
                <w:color w:val="auto"/>
                <w:highlight w:val="none"/>
              </w:rPr>
              <w:t>最高投标总限价</w:t>
            </w:r>
            <w:r>
              <w:rPr>
                <w:rFonts w:hint="eastAsia" w:ascii="宋体" w:hAnsi="宋体"/>
                <w:color w:val="auto"/>
                <w:highlight w:val="none"/>
                <w:u w:val="none"/>
              </w:rPr>
              <w:t>×90%，</w:t>
            </w:r>
            <w:r>
              <w:rPr>
                <w:rFonts w:hint="eastAsia" w:ascii="宋体" w:hAnsi="宋体" w:eastAsia="宋体"/>
                <w:color w:val="auto"/>
                <w:highlight w:val="none"/>
              </w:rPr>
              <w:t>最高投标总限价</w:t>
            </w:r>
            <w:r>
              <w:rPr>
                <w:rFonts w:hint="eastAsia" w:ascii="宋体" w:hAnsi="宋体" w:eastAsia="宋体"/>
                <w:color w:val="auto"/>
                <w:highlight w:val="none"/>
                <w:u w:val="none"/>
              </w:rPr>
              <w:t>]区间，</w:t>
            </w:r>
            <w:r>
              <w:rPr>
                <w:rFonts w:hint="eastAsia" w:ascii="宋体" w:hAnsi="宋体"/>
                <w:color w:val="auto"/>
                <w:highlight w:val="none"/>
                <w:u w:val="none"/>
                <w:lang w:val="en-US" w:eastAsia="zh-CN"/>
              </w:rPr>
              <w:t>则按</w:t>
            </w:r>
            <w:r>
              <w:rPr>
                <w:rFonts w:hint="eastAsia" w:ascii="宋体" w:hAnsi="宋体" w:eastAsia="宋体"/>
                <w:color w:val="auto"/>
                <w:highlight w:val="none"/>
              </w:rPr>
              <w:t>最高投标总限价</w:t>
            </w:r>
            <w:r>
              <w:rPr>
                <w:rFonts w:hint="eastAsia" w:ascii="宋体" w:hAnsi="宋体"/>
                <w:color w:val="auto"/>
                <w:highlight w:val="none"/>
                <w:u w:val="none"/>
              </w:rPr>
              <w:t>×90%</w:t>
            </w:r>
            <w:r>
              <w:rPr>
                <w:rFonts w:hint="eastAsia" w:ascii="宋体" w:hAnsi="宋体"/>
                <w:color w:val="auto"/>
                <w:szCs w:val="21"/>
                <w:highlight w:val="none"/>
                <w:u w:val="none"/>
              </w:rPr>
              <w:t>为评标</w:t>
            </w:r>
            <w:r>
              <w:rPr>
                <w:rFonts w:hint="eastAsia" w:ascii="宋体" w:hAnsi="宋体"/>
                <w:color w:val="auto"/>
                <w:szCs w:val="21"/>
                <w:highlight w:val="none"/>
                <w:u w:val="none"/>
                <w:lang w:val="en-US" w:eastAsia="zh-CN"/>
              </w:rPr>
              <w:t>基准</w:t>
            </w:r>
            <w:r>
              <w:rPr>
                <w:rFonts w:hint="eastAsia" w:ascii="宋体" w:hAnsi="宋体"/>
                <w:color w:val="auto"/>
                <w:szCs w:val="21"/>
                <w:highlight w:val="none"/>
                <w:u w:val="none"/>
              </w:rPr>
              <w:t>价</w:t>
            </w:r>
            <w:r>
              <w:rPr>
                <w:rFonts w:hint="eastAsia" w:ascii="宋体" w:hAnsi="宋体" w:eastAsia="宋体"/>
                <w:color w:val="auto"/>
                <w:highlight w:val="none"/>
                <w:u w:val="none"/>
              </w:rPr>
              <w:t>。</w:t>
            </w:r>
          </w:p>
          <w:p w14:paraId="661E4701">
            <w:pPr>
              <w:spacing w:line="360" w:lineRule="auto"/>
              <w:rPr>
                <w:rFonts w:hint="eastAsia" w:ascii="宋体" w:hAnsi="宋体" w:eastAsia="宋体"/>
                <w:color w:val="auto"/>
                <w:highlight w:val="none"/>
              </w:rPr>
            </w:pPr>
            <w:r>
              <w:rPr>
                <w:rFonts w:hint="eastAsia" w:ascii="宋体" w:hAnsi="宋体" w:eastAsia="宋体"/>
                <w:color w:val="auto"/>
                <w:highlight w:val="none"/>
              </w:rPr>
              <w:t>在</w:t>
            </w:r>
            <w:r>
              <w:rPr>
                <w:rFonts w:hint="eastAsia" w:ascii="宋体" w:hAnsi="宋体" w:eastAsia="宋体"/>
                <w:color w:val="auto"/>
                <w:highlight w:val="none"/>
                <w:lang w:val="en-US"/>
              </w:rPr>
              <w:t>首次评标过程中，投标人未被发现存在串通投标、弄虚作假、行贿等情形的，无论是否重评，经确定的评标参考价不变。</w:t>
            </w:r>
          </w:p>
        </w:tc>
      </w:tr>
      <w:tr w14:paraId="4768B6BC">
        <w:tblPrEx>
          <w:tblCellMar>
            <w:top w:w="0" w:type="dxa"/>
            <w:left w:w="108" w:type="dxa"/>
            <w:bottom w:w="0" w:type="dxa"/>
            <w:right w:w="108" w:type="dxa"/>
          </w:tblCellMar>
        </w:tblPrEx>
        <w:trPr>
          <w:trHeight w:val="595" w:hRule="atLeast"/>
        </w:trPr>
        <w:tc>
          <w:tcPr>
            <w:tcW w:w="1867" w:type="dxa"/>
            <w:gridSpan w:val="2"/>
            <w:tcBorders>
              <w:top w:val="single" w:color="000000" w:sz="6" w:space="0"/>
              <w:left w:val="single" w:color="000000" w:sz="4" w:space="0"/>
              <w:bottom w:val="single" w:color="000000" w:sz="6" w:space="0"/>
              <w:right w:val="single" w:color="000000" w:sz="6" w:space="0"/>
            </w:tcBorders>
            <w:noWrap/>
            <w:vAlign w:val="center"/>
          </w:tcPr>
          <w:p w14:paraId="24717CBC">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w:t>
            </w:r>
            <w:r>
              <w:rPr>
                <w:rFonts w:ascii="宋体" w:hAnsi="宋体"/>
                <w:color w:val="auto"/>
                <w:kern w:val="1"/>
                <w:szCs w:val="21"/>
                <w:highlight w:val="none"/>
              </w:rPr>
              <w:t>.2.3</w:t>
            </w:r>
          </w:p>
        </w:tc>
        <w:tc>
          <w:tcPr>
            <w:tcW w:w="2340" w:type="dxa"/>
            <w:tcBorders>
              <w:top w:val="single" w:color="000000" w:sz="6" w:space="0"/>
              <w:left w:val="single" w:color="000000" w:sz="6" w:space="0"/>
              <w:bottom w:val="single" w:color="000000" w:sz="6" w:space="0"/>
              <w:right w:val="single" w:color="000000" w:sz="6" w:space="0"/>
            </w:tcBorders>
            <w:noWrap/>
            <w:vAlign w:val="center"/>
          </w:tcPr>
          <w:p w14:paraId="31BF58F8">
            <w:pPr>
              <w:spacing w:line="360" w:lineRule="auto"/>
              <w:jc w:val="left"/>
              <w:rPr>
                <w:rFonts w:hint="eastAsia" w:ascii="宋体" w:hAnsi="宋体"/>
                <w:color w:val="auto"/>
                <w:highlight w:val="none"/>
              </w:rPr>
            </w:pPr>
            <w:r>
              <w:rPr>
                <w:rFonts w:hint="eastAsia" w:ascii="宋体" w:hAnsi="宋体"/>
                <w:color w:val="auto"/>
                <w:highlight w:val="none"/>
              </w:rPr>
              <w:t>工程总承包实施方案经济部分的偏差率计算公式</w:t>
            </w:r>
          </w:p>
        </w:tc>
        <w:tc>
          <w:tcPr>
            <w:tcW w:w="5359" w:type="dxa"/>
            <w:tcBorders>
              <w:top w:val="single" w:color="000000" w:sz="6" w:space="0"/>
              <w:left w:val="single" w:color="000000" w:sz="6" w:space="0"/>
              <w:bottom w:val="single" w:color="000000" w:sz="6" w:space="0"/>
              <w:right w:val="single" w:color="000000" w:sz="4" w:space="0"/>
            </w:tcBorders>
            <w:noWrap/>
            <w:vAlign w:val="center"/>
          </w:tcPr>
          <w:p w14:paraId="2152420D">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偏差</w:t>
            </w:r>
            <w:r>
              <w:rPr>
                <w:rFonts w:hint="eastAsia" w:ascii="宋体" w:hAnsi="宋体"/>
                <w:color w:val="auto"/>
                <w:highlight w:val="none"/>
              </w:rPr>
              <w:t>率</w:t>
            </w:r>
            <w:r>
              <w:rPr>
                <w:rFonts w:ascii="宋体" w:hAnsi="宋体"/>
                <w:color w:val="auto"/>
                <w:highlight w:val="none"/>
              </w:rPr>
              <w:t xml:space="preserve">=100% </w:t>
            </w:r>
            <w:r>
              <w:rPr>
                <w:rFonts w:hint="eastAsia" w:ascii="宋体" w:hAnsi="宋体"/>
                <w:color w:val="auto"/>
                <w:highlight w:val="none"/>
              </w:rPr>
              <w:t>×（</w:t>
            </w:r>
            <w:r>
              <w:rPr>
                <w:rFonts w:hint="eastAsia" w:ascii="宋体" w:hAnsi="宋体"/>
                <w:color w:val="auto"/>
                <w:szCs w:val="21"/>
                <w:highlight w:val="none"/>
                <w:u w:val="none"/>
              </w:rPr>
              <w:t>投标报价</w:t>
            </w:r>
            <w:r>
              <w:rPr>
                <w:rFonts w:hint="eastAsia" w:ascii="宋体" w:hAnsi="宋体"/>
                <w:color w:val="auto"/>
                <w:highlight w:val="none"/>
              </w:rPr>
              <w:t>－评标基准价）</w:t>
            </w:r>
            <w:r>
              <w:rPr>
                <w:rFonts w:ascii="宋体" w:hAnsi="宋体"/>
                <w:color w:val="auto"/>
                <w:highlight w:val="none"/>
              </w:rPr>
              <w:t>/</w:t>
            </w:r>
            <w:r>
              <w:rPr>
                <w:rFonts w:hint="eastAsia" w:ascii="宋体" w:hAnsi="宋体"/>
                <w:color w:val="auto"/>
                <w:highlight w:val="none"/>
              </w:rPr>
              <w:t>评标基准价</w:t>
            </w:r>
          </w:p>
        </w:tc>
      </w:tr>
      <w:tr w14:paraId="3CD268EE">
        <w:tblPrEx>
          <w:tblCellMar>
            <w:top w:w="0" w:type="dxa"/>
            <w:left w:w="108" w:type="dxa"/>
            <w:bottom w:w="0" w:type="dxa"/>
            <w:right w:w="108" w:type="dxa"/>
          </w:tblCellMar>
        </w:tblPrEx>
        <w:trPr>
          <w:trHeight w:val="553" w:hRule="atLeast"/>
        </w:trPr>
        <w:tc>
          <w:tcPr>
            <w:tcW w:w="1867" w:type="dxa"/>
            <w:gridSpan w:val="2"/>
            <w:tcBorders>
              <w:top w:val="single" w:color="000000" w:sz="6" w:space="0"/>
              <w:left w:val="single" w:color="000000" w:sz="4" w:space="0"/>
              <w:bottom w:val="single" w:color="000000" w:sz="6" w:space="0"/>
              <w:right w:val="single" w:color="000000" w:sz="6" w:space="0"/>
            </w:tcBorders>
            <w:noWrap/>
            <w:vAlign w:val="center"/>
          </w:tcPr>
          <w:p w14:paraId="40A6AFCF">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条款号</w:t>
            </w:r>
          </w:p>
        </w:tc>
        <w:tc>
          <w:tcPr>
            <w:tcW w:w="2340" w:type="dxa"/>
            <w:tcBorders>
              <w:top w:val="single" w:color="000000" w:sz="6" w:space="0"/>
              <w:left w:val="single" w:color="000000" w:sz="6" w:space="0"/>
              <w:bottom w:val="single" w:color="000000" w:sz="6" w:space="0"/>
              <w:right w:val="single" w:color="000000" w:sz="4" w:space="0"/>
            </w:tcBorders>
            <w:noWrap/>
            <w:vAlign w:val="center"/>
          </w:tcPr>
          <w:p w14:paraId="7DB1555B">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评分因素</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23F9FC11">
            <w:pPr>
              <w:spacing w:line="360" w:lineRule="auto"/>
              <w:jc w:val="center"/>
              <w:rPr>
                <w:rFonts w:hint="eastAsia" w:ascii="宋体" w:hAnsi="宋体"/>
                <w:b/>
                <w:color w:val="auto"/>
                <w:kern w:val="1"/>
                <w:szCs w:val="21"/>
                <w:highlight w:val="none"/>
              </w:rPr>
            </w:pPr>
            <w:r>
              <w:rPr>
                <w:rFonts w:hint="eastAsia" w:ascii="宋体" w:hAnsi="宋体"/>
                <w:b/>
                <w:color w:val="auto"/>
                <w:kern w:val="1"/>
                <w:szCs w:val="21"/>
                <w:highlight w:val="none"/>
              </w:rPr>
              <w:t>评分标准</w:t>
            </w:r>
          </w:p>
        </w:tc>
      </w:tr>
      <w:tr w14:paraId="3EC988E3">
        <w:tblPrEx>
          <w:tblCellMar>
            <w:top w:w="0" w:type="dxa"/>
            <w:left w:w="108" w:type="dxa"/>
            <w:bottom w:w="0" w:type="dxa"/>
            <w:right w:w="108" w:type="dxa"/>
          </w:tblCellMar>
        </w:tblPrEx>
        <w:trPr>
          <w:trHeight w:val="90" w:hRule="atLeast"/>
        </w:trPr>
        <w:tc>
          <w:tcPr>
            <w:tcW w:w="848" w:type="dxa"/>
            <w:tcBorders>
              <w:top w:val="single" w:color="000000" w:sz="6" w:space="0"/>
              <w:left w:val="single" w:color="000000" w:sz="4" w:space="0"/>
              <w:bottom w:val="single" w:color="000000" w:sz="4" w:space="0"/>
              <w:right w:val="single" w:color="000000" w:sz="4" w:space="0"/>
            </w:tcBorders>
            <w:noWrap/>
            <w:vAlign w:val="center"/>
          </w:tcPr>
          <w:p w14:paraId="0D9AD6AC">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2.2.</w:t>
            </w:r>
            <w:r>
              <w:rPr>
                <w:rFonts w:ascii="宋体" w:hAnsi="宋体"/>
                <w:color w:val="auto"/>
                <w:kern w:val="1"/>
                <w:szCs w:val="21"/>
                <w:highlight w:val="none"/>
              </w:rPr>
              <w:t>4</w:t>
            </w:r>
            <w:r>
              <w:rPr>
                <w:rFonts w:hint="eastAsia" w:ascii="宋体" w:hAnsi="宋体"/>
                <w:color w:val="auto"/>
                <w:kern w:val="1"/>
                <w:szCs w:val="21"/>
                <w:highlight w:val="none"/>
              </w:rPr>
              <w:t>（</w:t>
            </w:r>
            <w:r>
              <w:rPr>
                <w:rFonts w:hint="eastAsia" w:ascii="宋体" w:hAnsi="宋体"/>
                <w:color w:val="auto"/>
                <w:kern w:val="1"/>
                <w:szCs w:val="21"/>
                <w:highlight w:val="none"/>
                <w:lang w:val="en-US" w:eastAsia="zh-CN"/>
              </w:rPr>
              <w:t>1</w:t>
            </w:r>
            <w:r>
              <w:rPr>
                <w:rFonts w:ascii="宋体" w:hAnsi="宋体"/>
                <w:color w:val="auto"/>
                <w:kern w:val="1"/>
                <w:szCs w:val="21"/>
                <w:highlight w:val="none"/>
              </w:rPr>
              <w:t>）</w:t>
            </w:r>
          </w:p>
        </w:tc>
        <w:tc>
          <w:tcPr>
            <w:tcW w:w="1019" w:type="dxa"/>
            <w:tcBorders>
              <w:top w:val="single" w:color="000000" w:sz="6" w:space="0"/>
              <w:left w:val="single" w:color="000000" w:sz="4" w:space="0"/>
              <w:bottom w:val="single" w:color="000000" w:sz="4" w:space="0"/>
              <w:right w:val="single" w:color="000000" w:sz="6" w:space="0"/>
            </w:tcBorders>
            <w:noWrap/>
            <w:vAlign w:val="center"/>
          </w:tcPr>
          <w:p w14:paraId="2C03ED0B">
            <w:pPr>
              <w:spacing w:line="360" w:lineRule="auto"/>
              <w:jc w:val="center"/>
              <w:rPr>
                <w:rFonts w:hint="eastAsia" w:ascii="宋体" w:hAnsi="宋体"/>
                <w:color w:val="auto"/>
                <w:kern w:val="1"/>
                <w:szCs w:val="21"/>
                <w:highlight w:val="none"/>
                <w:lang w:val="en-US" w:eastAsia="zh-CN"/>
              </w:rPr>
            </w:pPr>
            <w:r>
              <w:rPr>
                <w:rFonts w:hint="eastAsia" w:ascii="宋体" w:hAnsi="宋体"/>
                <w:color w:val="auto"/>
                <w:kern w:val="1"/>
                <w:szCs w:val="21"/>
                <w:highlight w:val="none"/>
                <w:lang w:val="en-US" w:eastAsia="zh-CN"/>
              </w:rPr>
              <w:t>设计</w:t>
            </w:r>
            <w:r>
              <w:rPr>
                <w:rFonts w:hint="eastAsia" w:ascii="宋体" w:hAnsi="宋体"/>
                <w:color w:val="auto"/>
                <w:kern w:val="1"/>
                <w:szCs w:val="21"/>
                <w:highlight w:val="none"/>
              </w:rPr>
              <w:t>方案评分标准</w:t>
            </w:r>
          </w:p>
        </w:tc>
        <w:tc>
          <w:tcPr>
            <w:tcW w:w="2340" w:type="dxa"/>
            <w:tcBorders>
              <w:top w:val="single" w:color="000000" w:sz="6" w:space="0"/>
              <w:left w:val="single" w:color="000000" w:sz="6" w:space="0"/>
              <w:bottom w:val="single" w:color="000000" w:sz="4" w:space="0"/>
              <w:right w:val="single" w:color="000000" w:sz="4" w:space="0"/>
            </w:tcBorders>
            <w:noWrap/>
            <w:vAlign w:val="center"/>
          </w:tcPr>
          <w:p w14:paraId="3445BD4F">
            <w:pPr>
              <w:spacing w:line="360" w:lineRule="auto"/>
              <w:jc w:val="left"/>
              <w:rPr>
                <w:rFonts w:hint="eastAsia" w:ascii="宋体" w:hAnsi="宋体"/>
                <w:color w:val="auto"/>
                <w:kern w:val="1"/>
                <w:szCs w:val="21"/>
                <w:highlight w:val="none"/>
                <w:lang w:val="en-US" w:eastAsia="zh-CN"/>
              </w:rPr>
            </w:pPr>
            <w:r>
              <w:rPr>
                <w:rFonts w:hint="eastAsia" w:ascii="宋体" w:hAnsi="宋体"/>
                <w:color w:val="auto"/>
                <w:kern w:val="1"/>
                <w:szCs w:val="21"/>
                <w:highlight w:val="none"/>
                <w:lang w:val="en-US" w:eastAsia="zh-CN"/>
              </w:rPr>
              <w:t>设计方案</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42A6EF7B">
            <w:pPr>
              <w:spacing w:line="360" w:lineRule="auto"/>
              <w:jc w:val="left"/>
              <w:rPr>
                <w:rFonts w:hint="eastAsia" w:ascii="宋体" w:hAnsi="宋体"/>
                <w:color w:val="auto"/>
                <w:kern w:val="1"/>
                <w:szCs w:val="21"/>
                <w:highlight w:val="none"/>
                <w:u w:val="none"/>
              </w:rPr>
            </w:pPr>
            <w:r>
              <w:rPr>
                <w:rFonts w:hint="eastAsia" w:ascii="宋体" w:hAnsi="宋体"/>
                <w:color w:val="auto"/>
                <w:kern w:val="1"/>
                <w:szCs w:val="21"/>
                <w:highlight w:val="none"/>
                <w:u w:val="none"/>
              </w:rPr>
              <w:t>见</w:t>
            </w:r>
            <w:r>
              <w:rPr>
                <w:rFonts w:hint="eastAsia" w:ascii="宋体" w:hAnsi="宋体" w:eastAsia="宋体"/>
                <w:color w:val="auto"/>
                <w:kern w:val="1"/>
                <w:szCs w:val="21"/>
                <w:highlight w:val="none"/>
                <w:u w:val="none"/>
              </w:rPr>
              <w:t>附表</w:t>
            </w:r>
            <w:r>
              <w:rPr>
                <w:rFonts w:hint="eastAsia" w:ascii="宋体" w:hAnsi="宋体" w:eastAsia="宋体"/>
                <w:color w:val="auto"/>
                <w:kern w:val="1"/>
                <w:szCs w:val="21"/>
                <w:highlight w:val="none"/>
                <w:u w:val="none"/>
                <w:lang w:val="en-US" w:eastAsia="zh-CN"/>
              </w:rPr>
              <w:t>2</w:t>
            </w:r>
            <w:r>
              <w:rPr>
                <w:rFonts w:hint="eastAsia" w:ascii="宋体" w:hAnsi="宋体"/>
                <w:color w:val="auto"/>
                <w:kern w:val="1"/>
                <w:szCs w:val="21"/>
                <w:highlight w:val="none"/>
                <w:u w:val="none"/>
              </w:rPr>
              <w:t>《</w:t>
            </w:r>
            <w:r>
              <w:rPr>
                <w:rFonts w:hint="eastAsia" w:ascii="宋体" w:hAnsi="宋体"/>
                <w:color w:val="auto"/>
                <w:kern w:val="1"/>
                <w:szCs w:val="21"/>
                <w:highlight w:val="none"/>
                <w:u w:val="none"/>
                <w:lang w:val="en-US" w:eastAsia="zh-CN"/>
              </w:rPr>
              <w:t>设计</w:t>
            </w:r>
            <w:r>
              <w:rPr>
                <w:rFonts w:hint="eastAsia" w:ascii="宋体" w:hAnsi="宋体"/>
                <w:color w:val="auto"/>
                <w:kern w:val="1"/>
                <w:szCs w:val="21"/>
                <w:highlight w:val="none"/>
                <w:u w:val="none"/>
              </w:rPr>
              <w:t>方案评分表》</w:t>
            </w:r>
          </w:p>
        </w:tc>
      </w:tr>
      <w:tr w14:paraId="6047DDEF">
        <w:tblPrEx>
          <w:tblCellMar>
            <w:top w:w="0" w:type="dxa"/>
            <w:left w:w="108" w:type="dxa"/>
            <w:bottom w:w="0" w:type="dxa"/>
            <w:right w:w="108" w:type="dxa"/>
          </w:tblCellMar>
        </w:tblPrEx>
        <w:trPr>
          <w:trHeight w:val="90" w:hRule="atLeast"/>
        </w:trPr>
        <w:tc>
          <w:tcPr>
            <w:tcW w:w="848" w:type="dxa"/>
            <w:tcBorders>
              <w:top w:val="single" w:color="000000" w:sz="6" w:space="0"/>
              <w:left w:val="single" w:color="000000" w:sz="4" w:space="0"/>
              <w:bottom w:val="single" w:color="000000" w:sz="4" w:space="0"/>
              <w:right w:val="single" w:color="000000" w:sz="4" w:space="0"/>
            </w:tcBorders>
            <w:noWrap/>
            <w:vAlign w:val="center"/>
          </w:tcPr>
          <w:p w14:paraId="2E0CB929">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2.2.</w:t>
            </w:r>
            <w:r>
              <w:rPr>
                <w:rFonts w:ascii="宋体" w:hAnsi="宋体"/>
                <w:color w:val="auto"/>
                <w:kern w:val="1"/>
                <w:szCs w:val="21"/>
                <w:highlight w:val="none"/>
              </w:rPr>
              <w:t>4</w:t>
            </w:r>
            <w:r>
              <w:rPr>
                <w:rFonts w:hint="eastAsia" w:ascii="宋体" w:hAnsi="宋体"/>
                <w:color w:val="auto"/>
                <w:kern w:val="1"/>
                <w:szCs w:val="21"/>
                <w:highlight w:val="none"/>
              </w:rPr>
              <w:t>（</w:t>
            </w:r>
            <w:r>
              <w:rPr>
                <w:rFonts w:hint="eastAsia" w:ascii="宋体" w:hAnsi="宋体"/>
                <w:color w:val="auto"/>
                <w:kern w:val="1"/>
                <w:szCs w:val="21"/>
                <w:highlight w:val="none"/>
                <w:lang w:val="en-US" w:eastAsia="zh-CN"/>
              </w:rPr>
              <w:t>2</w:t>
            </w:r>
            <w:r>
              <w:rPr>
                <w:rFonts w:ascii="宋体" w:hAnsi="宋体"/>
                <w:color w:val="auto"/>
                <w:kern w:val="1"/>
                <w:szCs w:val="21"/>
                <w:highlight w:val="none"/>
              </w:rPr>
              <w:t>）</w:t>
            </w:r>
          </w:p>
        </w:tc>
        <w:tc>
          <w:tcPr>
            <w:tcW w:w="1019" w:type="dxa"/>
            <w:tcBorders>
              <w:top w:val="single" w:color="000000" w:sz="6" w:space="0"/>
              <w:left w:val="single" w:color="000000" w:sz="4" w:space="0"/>
              <w:bottom w:val="single" w:color="000000" w:sz="4" w:space="0"/>
              <w:right w:val="single" w:color="000000" w:sz="6" w:space="0"/>
            </w:tcBorders>
            <w:noWrap/>
            <w:vAlign w:val="center"/>
          </w:tcPr>
          <w:p w14:paraId="12FB576E">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工程总承包实施方案评分标准</w:t>
            </w:r>
          </w:p>
        </w:tc>
        <w:tc>
          <w:tcPr>
            <w:tcW w:w="2340" w:type="dxa"/>
            <w:tcBorders>
              <w:top w:val="single" w:color="000000" w:sz="6" w:space="0"/>
              <w:left w:val="single" w:color="000000" w:sz="6" w:space="0"/>
              <w:bottom w:val="single" w:color="000000" w:sz="4" w:space="0"/>
              <w:right w:val="single" w:color="000000" w:sz="4" w:space="0"/>
            </w:tcBorders>
            <w:noWrap/>
            <w:vAlign w:val="center"/>
          </w:tcPr>
          <w:p w14:paraId="412F8635">
            <w:pPr>
              <w:spacing w:line="360" w:lineRule="auto"/>
              <w:jc w:val="left"/>
              <w:rPr>
                <w:rFonts w:hint="eastAsia" w:ascii="宋体" w:hAnsi="宋体"/>
                <w:color w:val="auto"/>
                <w:kern w:val="1"/>
                <w:szCs w:val="21"/>
                <w:highlight w:val="none"/>
              </w:rPr>
            </w:pPr>
            <w:r>
              <w:rPr>
                <w:rFonts w:hint="eastAsia" w:ascii="宋体" w:hAnsi="宋体"/>
                <w:color w:val="auto"/>
                <w:kern w:val="1"/>
                <w:szCs w:val="21"/>
                <w:highlight w:val="none"/>
              </w:rPr>
              <w:t>工程总承包实施方案</w:t>
            </w:r>
            <w:r>
              <w:rPr>
                <w:rFonts w:hint="eastAsia" w:ascii="宋体"/>
                <w:color w:val="auto"/>
                <w:szCs w:val="21"/>
                <w:highlight w:val="none"/>
              </w:rPr>
              <w:t>资信资料、实施方案</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6E99E190">
            <w:pPr>
              <w:spacing w:line="360" w:lineRule="auto"/>
              <w:jc w:val="left"/>
              <w:rPr>
                <w:rFonts w:hint="eastAsia" w:ascii="宋体" w:hAnsi="宋体"/>
                <w:color w:val="auto"/>
                <w:kern w:val="1"/>
                <w:szCs w:val="21"/>
                <w:highlight w:val="none"/>
                <w:u w:val="none"/>
              </w:rPr>
            </w:pPr>
            <w:r>
              <w:rPr>
                <w:rFonts w:hint="eastAsia" w:ascii="宋体" w:hAnsi="宋体"/>
                <w:color w:val="auto"/>
                <w:kern w:val="1"/>
                <w:szCs w:val="21"/>
                <w:highlight w:val="none"/>
                <w:u w:val="none"/>
              </w:rPr>
              <w:t>见</w:t>
            </w:r>
            <w:r>
              <w:rPr>
                <w:rFonts w:hint="eastAsia" w:ascii="宋体" w:hAnsi="宋体" w:eastAsia="宋体"/>
                <w:color w:val="auto"/>
                <w:kern w:val="1"/>
                <w:szCs w:val="21"/>
                <w:highlight w:val="none"/>
                <w:u w:val="none"/>
              </w:rPr>
              <w:t>附表</w:t>
            </w:r>
            <w:r>
              <w:rPr>
                <w:rFonts w:hint="eastAsia" w:ascii="宋体" w:hAnsi="宋体" w:eastAsia="宋体"/>
                <w:color w:val="auto"/>
                <w:kern w:val="1"/>
                <w:szCs w:val="21"/>
                <w:highlight w:val="none"/>
                <w:u w:val="none"/>
                <w:lang w:val="en-US" w:eastAsia="zh-CN"/>
              </w:rPr>
              <w:t>3</w:t>
            </w:r>
            <w:r>
              <w:rPr>
                <w:rFonts w:hint="eastAsia" w:ascii="宋体" w:hAnsi="宋体"/>
                <w:color w:val="auto"/>
                <w:kern w:val="1"/>
                <w:szCs w:val="21"/>
                <w:highlight w:val="none"/>
                <w:u w:val="none"/>
              </w:rPr>
              <w:t>《工程总承包实施方案评分表》</w:t>
            </w:r>
          </w:p>
        </w:tc>
      </w:tr>
      <w:tr w14:paraId="4CD4DC84">
        <w:tblPrEx>
          <w:tblCellMar>
            <w:top w:w="0" w:type="dxa"/>
            <w:left w:w="108" w:type="dxa"/>
            <w:bottom w:w="0" w:type="dxa"/>
            <w:right w:w="108" w:type="dxa"/>
          </w:tblCellMar>
        </w:tblPrEx>
        <w:trPr>
          <w:trHeight w:val="90" w:hRule="atLeast"/>
        </w:trPr>
        <w:tc>
          <w:tcPr>
            <w:tcW w:w="848" w:type="dxa"/>
            <w:tcBorders>
              <w:top w:val="single" w:color="000000" w:sz="4" w:space="0"/>
              <w:left w:val="single" w:color="000000" w:sz="4" w:space="0"/>
              <w:bottom w:val="single" w:color="000000" w:sz="6" w:space="0"/>
              <w:right w:val="single" w:color="000000" w:sz="4" w:space="0"/>
            </w:tcBorders>
            <w:noWrap/>
            <w:vAlign w:val="center"/>
          </w:tcPr>
          <w:p w14:paraId="1BA23D74">
            <w:pPr>
              <w:spacing w:line="360" w:lineRule="auto"/>
              <w:jc w:val="center"/>
              <w:rPr>
                <w:rFonts w:hint="eastAsia" w:ascii="宋体" w:hAnsi="宋体"/>
                <w:color w:val="auto"/>
                <w:kern w:val="1"/>
                <w:szCs w:val="21"/>
                <w:highlight w:val="none"/>
              </w:rPr>
            </w:pPr>
            <w:r>
              <w:rPr>
                <w:rFonts w:hint="eastAsia" w:ascii="宋体" w:hAnsi="宋体"/>
                <w:color w:val="auto"/>
                <w:kern w:val="1"/>
                <w:szCs w:val="21"/>
                <w:highlight w:val="none"/>
              </w:rPr>
              <w:t>2.2.</w:t>
            </w:r>
            <w:r>
              <w:rPr>
                <w:rFonts w:ascii="宋体" w:hAnsi="宋体"/>
                <w:color w:val="auto"/>
                <w:kern w:val="1"/>
                <w:szCs w:val="21"/>
                <w:highlight w:val="none"/>
              </w:rPr>
              <w:t>4</w:t>
            </w:r>
            <w:r>
              <w:rPr>
                <w:rFonts w:hint="eastAsia" w:ascii="宋体" w:hAnsi="宋体"/>
                <w:color w:val="auto"/>
                <w:kern w:val="1"/>
                <w:szCs w:val="21"/>
                <w:highlight w:val="none"/>
              </w:rPr>
              <w:t>（</w:t>
            </w:r>
            <w:r>
              <w:rPr>
                <w:rFonts w:hint="eastAsia" w:ascii="宋体" w:hAnsi="宋体"/>
                <w:color w:val="auto"/>
                <w:kern w:val="1"/>
                <w:szCs w:val="21"/>
                <w:highlight w:val="none"/>
                <w:lang w:val="en-US" w:eastAsia="zh-CN"/>
              </w:rPr>
              <w:t>3</w:t>
            </w:r>
            <w:r>
              <w:rPr>
                <w:rFonts w:hint="eastAsia" w:ascii="宋体" w:hAnsi="宋体"/>
                <w:color w:val="auto"/>
                <w:kern w:val="1"/>
                <w:szCs w:val="21"/>
                <w:highlight w:val="none"/>
              </w:rPr>
              <w:t>）</w:t>
            </w:r>
          </w:p>
        </w:tc>
        <w:tc>
          <w:tcPr>
            <w:tcW w:w="1019" w:type="dxa"/>
            <w:tcBorders>
              <w:top w:val="single" w:color="000000" w:sz="4" w:space="0"/>
              <w:left w:val="single" w:color="000000" w:sz="4" w:space="0"/>
              <w:bottom w:val="single" w:color="000000" w:sz="6" w:space="0"/>
              <w:right w:val="single" w:color="000000" w:sz="6" w:space="0"/>
            </w:tcBorders>
            <w:noWrap/>
            <w:vAlign w:val="center"/>
          </w:tcPr>
          <w:p w14:paraId="12CB09BB">
            <w:pPr>
              <w:spacing w:line="360" w:lineRule="auto"/>
              <w:jc w:val="center"/>
              <w:rPr>
                <w:rFonts w:hint="eastAsia" w:ascii="宋体" w:hAnsi="宋体"/>
                <w:color w:val="auto"/>
                <w:kern w:val="1"/>
                <w:szCs w:val="21"/>
                <w:highlight w:val="none"/>
                <w:lang w:val="en-US" w:eastAsia="zh-CN"/>
              </w:rPr>
            </w:pPr>
            <w:r>
              <w:rPr>
                <w:rFonts w:hint="eastAsia" w:ascii="宋体" w:hAnsi="宋体"/>
                <w:color w:val="auto"/>
                <w:kern w:val="1"/>
                <w:szCs w:val="21"/>
                <w:highlight w:val="none"/>
                <w:lang w:val="en-US" w:eastAsia="zh-CN"/>
              </w:rPr>
              <w:t>投标报价评分标准</w:t>
            </w:r>
          </w:p>
        </w:tc>
        <w:tc>
          <w:tcPr>
            <w:tcW w:w="2340" w:type="dxa"/>
            <w:tcBorders>
              <w:top w:val="single" w:color="000000" w:sz="4" w:space="0"/>
              <w:left w:val="single" w:color="000000" w:sz="6" w:space="0"/>
              <w:bottom w:val="single" w:color="000000" w:sz="6" w:space="0"/>
              <w:right w:val="single" w:color="000000" w:sz="4" w:space="0"/>
            </w:tcBorders>
            <w:noWrap/>
            <w:vAlign w:val="center"/>
          </w:tcPr>
          <w:p w14:paraId="1F00C954">
            <w:pPr>
              <w:spacing w:line="360" w:lineRule="auto"/>
              <w:jc w:val="left"/>
              <w:rPr>
                <w:rFonts w:hint="eastAsia" w:ascii="宋体" w:hAnsi="宋体"/>
                <w:color w:val="auto"/>
                <w:kern w:val="1"/>
                <w:szCs w:val="21"/>
                <w:highlight w:val="none"/>
                <w:lang w:val="en-US" w:eastAsia="zh-CN"/>
              </w:rPr>
            </w:pPr>
            <w:r>
              <w:rPr>
                <w:rFonts w:hint="eastAsia" w:ascii="宋体" w:hAnsi="宋体"/>
                <w:color w:val="auto"/>
                <w:kern w:val="1"/>
                <w:szCs w:val="21"/>
                <w:highlight w:val="none"/>
                <w:lang w:val="en-US" w:eastAsia="zh-CN"/>
              </w:rPr>
              <w:t>投标报价</w:t>
            </w:r>
          </w:p>
        </w:tc>
        <w:tc>
          <w:tcPr>
            <w:tcW w:w="5359" w:type="dxa"/>
            <w:tcBorders>
              <w:top w:val="single" w:color="000000" w:sz="6" w:space="0"/>
              <w:left w:val="single" w:color="000000" w:sz="4" w:space="0"/>
              <w:bottom w:val="single" w:color="000000" w:sz="6" w:space="0"/>
              <w:right w:val="single" w:color="000000" w:sz="4" w:space="0"/>
            </w:tcBorders>
            <w:noWrap/>
            <w:vAlign w:val="center"/>
          </w:tcPr>
          <w:p w14:paraId="4907644E">
            <w:pPr>
              <w:spacing w:line="360" w:lineRule="auto"/>
              <w:jc w:val="left"/>
              <w:rPr>
                <w:rFonts w:hint="eastAsia" w:ascii="宋体" w:hAnsi="宋体"/>
                <w:color w:val="auto"/>
                <w:highlight w:val="none"/>
                <w:u w:val="none"/>
              </w:rPr>
            </w:pPr>
            <w:r>
              <w:rPr>
                <w:rFonts w:hint="eastAsia" w:ascii="宋体" w:hAnsi="宋体"/>
                <w:color w:val="auto"/>
                <w:highlight w:val="none"/>
                <w:u w:val="none"/>
              </w:rPr>
              <w:t>当投标</w:t>
            </w:r>
            <w:r>
              <w:rPr>
                <w:rFonts w:hint="eastAsia" w:ascii="宋体" w:hAnsi="宋体"/>
                <w:color w:val="auto"/>
                <w:highlight w:val="none"/>
                <w:u w:val="none"/>
                <w:lang w:val="en-US" w:eastAsia="zh-CN"/>
              </w:rPr>
              <w:t>总</w:t>
            </w:r>
            <w:r>
              <w:rPr>
                <w:rFonts w:hint="eastAsia" w:ascii="宋体" w:hAnsi="宋体"/>
                <w:color w:val="auto"/>
                <w:highlight w:val="none"/>
                <w:u w:val="none"/>
              </w:rPr>
              <w:t>报价等于评标</w:t>
            </w:r>
            <w:r>
              <w:rPr>
                <w:rFonts w:hint="eastAsia" w:ascii="宋体" w:hAnsi="宋体"/>
                <w:color w:val="auto"/>
                <w:highlight w:val="none"/>
                <w:u w:val="none"/>
                <w:lang w:val="en-US" w:eastAsia="zh-CN"/>
              </w:rPr>
              <w:t>基准</w:t>
            </w:r>
            <w:r>
              <w:rPr>
                <w:rFonts w:hint="eastAsia" w:ascii="宋体" w:hAnsi="宋体"/>
                <w:color w:val="auto"/>
                <w:highlight w:val="none"/>
                <w:u w:val="none"/>
              </w:rPr>
              <w:t>价时得100分，投标</w:t>
            </w:r>
            <w:r>
              <w:rPr>
                <w:rFonts w:hint="eastAsia" w:ascii="宋体" w:hAnsi="宋体"/>
                <w:color w:val="auto"/>
                <w:highlight w:val="none"/>
                <w:u w:val="none"/>
                <w:lang w:val="en-US" w:eastAsia="zh-CN"/>
              </w:rPr>
              <w:t>总</w:t>
            </w:r>
            <w:r>
              <w:rPr>
                <w:rFonts w:hint="eastAsia" w:ascii="宋体" w:hAnsi="宋体"/>
                <w:color w:val="auto"/>
                <w:highlight w:val="none"/>
                <w:u w:val="none"/>
              </w:rPr>
              <w:t>报价每高于评标</w:t>
            </w:r>
            <w:r>
              <w:rPr>
                <w:rFonts w:hint="eastAsia" w:ascii="宋体" w:hAnsi="宋体"/>
                <w:color w:val="auto"/>
                <w:highlight w:val="none"/>
                <w:u w:val="none"/>
                <w:lang w:val="en-US" w:eastAsia="zh-CN"/>
              </w:rPr>
              <w:t>基准</w:t>
            </w:r>
            <w:r>
              <w:rPr>
                <w:rFonts w:hint="eastAsia" w:ascii="宋体" w:hAnsi="宋体"/>
                <w:color w:val="auto"/>
                <w:highlight w:val="none"/>
                <w:u w:val="none"/>
              </w:rPr>
              <w:t>价1%，扣0.</w:t>
            </w:r>
            <w:r>
              <w:rPr>
                <w:rFonts w:hint="eastAsia" w:ascii="宋体" w:hAnsi="宋体"/>
                <w:color w:val="auto"/>
                <w:highlight w:val="none"/>
                <w:u w:val="none"/>
                <w:lang w:val="en-US" w:eastAsia="zh-CN"/>
              </w:rPr>
              <w:t>2</w:t>
            </w:r>
            <w:r>
              <w:rPr>
                <w:rFonts w:hint="eastAsia" w:ascii="宋体" w:hAnsi="宋体"/>
                <w:color w:val="auto"/>
                <w:highlight w:val="none"/>
                <w:u w:val="none"/>
              </w:rPr>
              <w:t>分，每低于评标</w:t>
            </w:r>
            <w:r>
              <w:rPr>
                <w:rFonts w:hint="eastAsia" w:ascii="宋体" w:hAnsi="宋体"/>
                <w:color w:val="auto"/>
                <w:highlight w:val="none"/>
                <w:u w:val="none"/>
                <w:lang w:val="en-US" w:eastAsia="zh-CN"/>
              </w:rPr>
              <w:t>基准</w:t>
            </w:r>
            <w:r>
              <w:rPr>
                <w:rFonts w:hint="eastAsia" w:ascii="宋体" w:hAnsi="宋体"/>
                <w:color w:val="auto"/>
                <w:highlight w:val="none"/>
                <w:u w:val="none"/>
              </w:rPr>
              <w:t>价1%，扣0.</w:t>
            </w:r>
            <w:r>
              <w:rPr>
                <w:rFonts w:hint="eastAsia" w:ascii="宋体" w:hAnsi="宋体"/>
                <w:color w:val="auto"/>
                <w:highlight w:val="none"/>
                <w:u w:val="none"/>
                <w:lang w:val="en-US" w:eastAsia="zh-CN"/>
              </w:rPr>
              <w:t>1</w:t>
            </w:r>
            <w:r>
              <w:rPr>
                <w:rFonts w:hint="eastAsia" w:ascii="宋体" w:hAnsi="宋体"/>
                <w:color w:val="auto"/>
                <w:highlight w:val="none"/>
                <w:u w:val="none"/>
              </w:rPr>
              <w:t>分，最多扣100分，精确到小数点后两位。</w:t>
            </w:r>
          </w:p>
        </w:tc>
      </w:tr>
      <w:tr w14:paraId="1D01D765">
        <w:tblPrEx>
          <w:tblCellMar>
            <w:top w:w="0" w:type="dxa"/>
            <w:left w:w="108" w:type="dxa"/>
            <w:bottom w:w="0" w:type="dxa"/>
            <w:right w:w="108" w:type="dxa"/>
          </w:tblCellMar>
        </w:tblPrEx>
        <w:trPr>
          <w:trHeight w:val="406" w:hRule="atLeast"/>
        </w:trPr>
        <w:tc>
          <w:tcPr>
            <w:tcW w:w="9566" w:type="dxa"/>
            <w:gridSpan w:val="4"/>
            <w:tcBorders>
              <w:top w:val="single" w:color="000000" w:sz="6" w:space="0"/>
              <w:left w:val="single" w:color="000000" w:sz="4" w:space="0"/>
              <w:bottom w:val="single" w:color="000000" w:sz="6" w:space="0"/>
              <w:right w:val="single" w:color="000000" w:sz="4" w:space="0"/>
            </w:tcBorders>
            <w:noWrap/>
            <w:vAlign w:val="center"/>
          </w:tcPr>
          <w:p w14:paraId="72F334C9">
            <w:pPr>
              <w:spacing w:line="360" w:lineRule="auto"/>
              <w:jc w:val="left"/>
              <w:rPr>
                <w:rFonts w:hint="eastAsia" w:ascii="宋体" w:hAnsi="宋体"/>
                <w:b/>
                <w:color w:val="auto"/>
                <w:kern w:val="1"/>
                <w:szCs w:val="21"/>
                <w:highlight w:val="none"/>
              </w:rPr>
            </w:pPr>
            <w:r>
              <w:rPr>
                <w:rFonts w:hint="eastAsia" w:ascii="宋体" w:hAnsi="宋体"/>
                <w:b/>
                <w:color w:val="auto"/>
                <w:kern w:val="1"/>
                <w:szCs w:val="21"/>
                <w:highlight w:val="none"/>
              </w:rPr>
              <w:t>需要补充的其他内容</w:t>
            </w:r>
          </w:p>
        </w:tc>
      </w:tr>
      <w:tr w14:paraId="58318F5E">
        <w:tblPrEx>
          <w:tblCellMar>
            <w:top w:w="0" w:type="dxa"/>
            <w:left w:w="108" w:type="dxa"/>
            <w:bottom w:w="0" w:type="dxa"/>
            <w:right w:w="108" w:type="dxa"/>
          </w:tblCellMar>
        </w:tblPrEx>
        <w:trPr>
          <w:trHeight w:val="1448" w:hRule="atLeast"/>
        </w:trPr>
        <w:tc>
          <w:tcPr>
            <w:tcW w:w="9566" w:type="dxa"/>
            <w:gridSpan w:val="4"/>
            <w:tcBorders>
              <w:top w:val="single" w:color="000000" w:sz="6" w:space="0"/>
              <w:left w:val="single" w:color="000000" w:sz="4" w:space="0"/>
              <w:bottom w:val="single" w:color="000000" w:sz="4" w:space="0"/>
              <w:right w:val="single" w:color="000000" w:sz="4" w:space="0"/>
            </w:tcBorders>
            <w:noWrap/>
            <w:vAlign w:val="center"/>
          </w:tcPr>
          <w:p w14:paraId="552732FD">
            <w:pPr>
              <w:spacing w:line="360" w:lineRule="auto"/>
              <w:jc w:val="left"/>
              <w:rPr>
                <w:rFonts w:hint="eastAsia" w:ascii="宋体" w:hAnsi="宋体"/>
                <w:color w:val="auto"/>
                <w:kern w:val="1"/>
                <w:szCs w:val="21"/>
                <w:highlight w:val="none"/>
              </w:rPr>
            </w:pPr>
            <w:r>
              <w:rPr>
                <w:rFonts w:hint="eastAsia" w:ascii="宋体" w:hAnsi="宋体"/>
                <w:color w:val="auto"/>
                <w:kern w:val="1"/>
                <w:szCs w:val="21"/>
                <w:highlight w:val="none"/>
              </w:rPr>
              <w:t>关于联合体投标人评标的相关规定：</w:t>
            </w:r>
          </w:p>
          <w:p w14:paraId="7407E667">
            <w:pPr>
              <w:spacing w:line="360" w:lineRule="auto"/>
              <w:jc w:val="left"/>
              <w:rPr>
                <w:rFonts w:ascii="宋体" w:hAnsi="宋体"/>
                <w:color w:val="auto"/>
                <w:kern w:val="1"/>
                <w:szCs w:val="21"/>
                <w:highlight w:val="none"/>
              </w:rPr>
            </w:pPr>
            <w:r>
              <w:rPr>
                <w:rFonts w:ascii="宋体" w:hAnsi="宋体"/>
                <w:color w:val="auto"/>
                <w:kern w:val="1"/>
                <w:szCs w:val="21"/>
                <w:highlight w:val="none"/>
              </w:rPr>
              <w:t>1）如投标人组成联合体，</w:t>
            </w:r>
            <w:r>
              <w:rPr>
                <w:rFonts w:hint="eastAsia" w:ascii="宋体" w:hAnsi="宋体"/>
                <w:color w:val="auto"/>
                <w:szCs w:val="21"/>
                <w:highlight w:val="none"/>
              </w:rPr>
              <w:t>以承接</w:t>
            </w:r>
            <w:r>
              <w:rPr>
                <w:rFonts w:hint="eastAsia" w:ascii="宋体" w:hAnsi="宋体" w:eastAsia="宋体"/>
                <w:color w:val="auto"/>
                <w:szCs w:val="21"/>
                <w:highlight w:val="none"/>
                <w:u w:val="single"/>
                <w:lang w:val="en-US" w:eastAsia="zh-CN"/>
              </w:rPr>
              <w:t>施工任务</w:t>
            </w:r>
            <w:r>
              <w:rPr>
                <w:rFonts w:hint="eastAsia" w:ascii="宋体" w:hAnsi="宋体"/>
                <w:color w:val="auto"/>
                <w:szCs w:val="21"/>
                <w:highlight w:val="none"/>
                <w:u w:val="single"/>
                <w:lang w:val="en-US" w:eastAsia="zh-CN"/>
              </w:rPr>
              <w:t>一方</w:t>
            </w:r>
            <w:r>
              <w:rPr>
                <w:rFonts w:hint="eastAsia" w:ascii="宋体" w:hAnsi="宋体"/>
                <w:color w:val="auto"/>
                <w:szCs w:val="21"/>
                <w:highlight w:val="none"/>
              </w:rPr>
              <w:t>的单位为牵头方</w:t>
            </w:r>
            <w:r>
              <w:rPr>
                <w:rFonts w:hint="eastAsia" w:ascii="宋体" w:hAnsi="宋体"/>
                <w:color w:val="auto"/>
                <w:kern w:val="1"/>
                <w:szCs w:val="21"/>
                <w:highlight w:val="none"/>
              </w:rPr>
              <w:t>，并签订联合体共同投标协议。联合体共同投标协议应明确约定各方拟承担的工作和责任，投标人拟任本工程项目负责人应为牵头方正式员工。</w:t>
            </w:r>
          </w:p>
          <w:p w14:paraId="170DF262">
            <w:pPr>
              <w:spacing w:line="360" w:lineRule="auto"/>
              <w:jc w:val="left"/>
              <w:rPr>
                <w:rFonts w:ascii="宋体" w:hAnsi="宋体"/>
                <w:color w:val="auto"/>
                <w:kern w:val="1"/>
                <w:szCs w:val="21"/>
                <w:highlight w:val="none"/>
              </w:rPr>
            </w:pPr>
            <w:r>
              <w:rPr>
                <w:rFonts w:ascii="宋体" w:hAnsi="宋体"/>
                <w:color w:val="auto"/>
                <w:kern w:val="1"/>
                <w:szCs w:val="21"/>
                <w:highlight w:val="none"/>
              </w:rPr>
              <w:t>2）如组成联合体投标的</w:t>
            </w:r>
            <w:r>
              <w:rPr>
                <w:rFonts w:hint="eastAsia" w:ascii="宋体" w:hAnsi="宋体"/>
                <w:color w:val="auto"/>
                <w:kern w:val="1"/>
                <w:szCs w:val="21"/>
                <w:highlight w:val="none"/>
              </w:rPr>
              <w:t>，</w:t>
            </w:r>
            <w:r>
              <w:rPr>
                <w:rFonts w:ascii="宋体" w:hAnsi="宋体"/>
                <w:color w:val="auto"/>
                <w:kern w:val="1"/>
                <w:szCs w:val="21"/>
                <w:highlight w:val="none"/>
              </w:rPr>
              <w:t>设计部分评分以承接设计任务的单位为准</w:t>
            </w:r>
            <w:r>
              <w:rPr>
                <w:rFonts w:hint="eastAsia" w:ascii="宋体" w:hAnsi="宋体"/>
                <w:color w:val="auto"/>
                <w:kern w:val="1"/>
                <w:szCs w:val="21"/>
                <w:highlight w:val="none"/>
              </w:rPr>
              <w:t>，</w:t>
            </w:r>
            <w:r>
              <w:rPr>
                <w:rFonts w:ascii="宋体" w:hAnsi="宋体"/>
                <w:color w:val="auto"/>
                <w:kern w:val="1"/>
                <w:szCs w:val="21"/>
                <w:highlight w:val="none"/>
              </w:rPr>
              <w:t>施工部分评分以</w:t>
            </w:r>
            <w:r>
              <w:rPr>
                <w:rFonts w:hint="eastAsia" w:ascii="宋体" w:hAnsi="宋体"/>
                <w:color w:val="auto"/>
                <w:kern w:val="1"/>
                <w:szCs w:val="21"/>
                <w:highlight w:val="none"/>
              </w:rPr>
              <w:t>承接</w:t>
            </w:r>
            <w:r>
              <w:rPr>
                <w:rFonts w:hint="eastAsia" w:ascii="宋体" w:hAnsi="宋体"/>
                <w:color w:val="auto"/>
                <w:kern w:val="1"/>
                <w:szCs w:val="21"/>
                <w:highlight w:val="none"/>
                <w:lang w:val="en-US" w:eastAsia="zh-CN"/>
              </w:rPr>
              <w:t>施工</w:t>
            </w:r>
            <w:r>
              <w:rPr>
                <w:rFonts w:hint="eastAsia" w:ascii="宋体" w:hAnsi="宋体"/>
                <w:color w:val="auto"/>
                <w:kern w:val="1"/>
                <w:szCs w:val="21"/>
                <w:highlight w:val="none"/>
              </w:rPr>
              <w:t>任务的单位为准</w:t>
            </w:r>
            <w:r>
              <w:rPr>
                <w:rFonts w:ascii="宋体" w:hAnsi="宋体"/>
                <w:color w:val="auto"/>
                <w:kern w:val="1"/>
                <w:szCs w:val="21"/>
                <w:highlight w:val="none"/>
              </w:rPr>
              <w:t>。</w:t>
            </w:r>
          </w:p>
        </w:tc>
      </w:tr>
    </w:tbl>
    <w:p w14:paraId="4EBA08D2">
      <w:pPr>
        <w:rPr>
          <w:rFonts w:hint="eastAsia"/>
          <w:color w:val="auto"/>
          <w:highlight w:val="none"/>
        </w:rPr>
      </w:pPr>
    </w:p>
    <w:p w14:paraId="05F0451B">
      <w:pPr>
        <w:spacing w:line="360" w:lineRule="auto"/>
        <w:jc w:val="left"/>
        <w:rPr>
          <w:rFonts w:ascii="宋体" w:hAnsi="宋体"/>
          <w:color w:val="auto"/>
          <w:highlight w:val="none"/>
        </w:rPr>
        <w:sectPr>
          <w:headerReference r:id="rId7" w:type="default"/>
          <w:footerReference r:id="rId8" w:type="default"/>
          <w:pgSz w:w="11907" w:h="16840"/>
          <w:pgMar w:top="1361" w:right="1304" w:bottom="1304" w:left="1304" w:header="851" w:footer="720" w:gutter="0"/>
          <w:cols w:space="720" w:num="1"/>
          <w:docGrid w:linePitch="0" w:charSpace="0"/>
        </w:sectPr>
      </w:pPr>
    </w:p>
    <w:p w14:paraId="08CFC9AD">
      <w:pPr>
        <w:pStyle w:val="9"/>
        <w:spacing w:before="100" w:after="100" w:line="360" w:lineRule="auto"/>
        <w:rPr>
          <w:rFonts w:hint="eastAsia" w:ascii="宋体" w:hAnsi="宋体" w:eastAsia="宋体"/>
          <w:color w:val="auto"/>
          <w:sz w:val="24"/>
          <w:szCs w:val="24"/>
          <w:highlight w:val="none"/>
          <w:lang w:val="zh-CN"/>
        </w:rPr>
      </w:pPr>
      <w:bookmarkStart w:id="490" w:name="_Toc5620347"/>
      <w:bookmarkEnd w:id="490"/>
      <w:bookmarkStart w:id="491" w:name="_Toc30478"/>
      <w:bookmarkEnd w:id="491"/>
      <w:bookmarkStart w:id="492" w:name="_Toc1626"/>
      <w:bookmarkEnd w:id="492"/>
      <w:bookmarkStart w:id="493" w:name="_Toc27323"/>
      <w:bookmarkEnd w:id="493"/>
      <w:bookmarkStart w:id="494" w:name="_Toc16711"/>
      <w:bookmarkEnd w:id="494"/>
      <w:bookmarkStart w:id="495" w:name="_Toc3262"/>
      <w:bookmarkEnd w:id="495"/>
      <w:r>
        <w:rPr>
          <w:rFonts w:hint="eastAsia" w:ascii="宋体" w:hAnsi="宋体" w:eastAsia="宋体"/>
          <w:color w:val="auto"/>
          <w:sz w:val="24"/>
          <w:szCs w:val="24"/>
          <w:highlight w:val="none"/>
          <w:lang w:val="zh-CN"/>
        </w:rPr>
        <w:t>1. 评标方法</w:t>
      </w:r>
    </w:p>
    <w:p w14:paraId="23077924">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eastAsia="宋体"/>
          <w:color w:val="auto"/>
          <w:kern w:val="1"/>
          <w:szCs w:val="21"/>
          <w:highlight w:val="none"/>
          <w:u w:val="single"/>
        </w:rPr>
        <w:t>综合评分相等的，以工程总承包实施方案得分高的优先；工程总承包实施方案得分也相等的，以设计方案得分高的优先；如果设计方案得分也相等的，以投标总报价低的优先；如果投标总报价也相等的，则由评标委员会采用记名投票的方式，确定中标候选人的排序。</w:t>
      </w:r>
    </w:p>
    <w:p w14:paraId="6F07810C">
      <w:pPr>
        <w:rPr>
          <w:color w:val="auto"/>
          <w:highlight w:val="none"/>
        </w:rPr>
      </w:pPr>
    </w:p>
    <w:p w14:paraId="16A8FFAC">
      <w:pPr>
        <w:pStyle w:val="9"/>
        <w:spacing w:before="100" w:after="100" w:line="360" w:lineRule="auto"/>
        <w:rPr>
          <w:rFonts w:hint="eastAsia" w:ascii="宋体" w:hAnsi="宋体" w:eastAsia="宋体"/>
          <w:color w:val="auto"/>
          <w:sz w:val="24"/>
          <w:szCs w:val="24"/>
          <w:highlight w:val="none"/>
          <w:lang w:val="zh-CN"/>
        </w:rPr>
      </w:pPr>
      <w:bookmarkStart w:id="496" w:name="_Toc32488"/>
      <w:bookmarkEnd w:id="496"/>
      <w:r>
        <w:rPr>
          <w:rFonts w:hint="eastAsia" w:ascii="宋体" w:hAnsi="宋体" w:eastAsia="宋体"/>
          <w:color w:val="auto"/>
          <w:sz w:val="24"/>
          <w:szCs w:val="24"/>
          <w:highlight w:val="none"/>
          <w:lang w:val="zh-CN"/>
        </w:rPr>
        <w:t>2. 评审标准</w:t>
      </w:r>
    </w:p>
    <w:p w14:paraId="2F45C137">
      <w:pPr>
        <w:pStyle w:val="10"/>
        <w:spacing w:before="100" w:after="100" w:line="360" w:lineRule="auto"/>
        <w:rPr>
          <w:rFonts w:hint="eastAsia" w:ascii="宋体" w:hAnsi="宋体" w:eastAsia="宋体"/>
          <w:b/>
          <w:bCs/>
          <w:color w:val="auto"/>
          <w:sz w:val="21"/>
          <w:szCs w:val="21"/>
          <w:highlight w:val="none"/>
          <w:lang w:val="zh-CN"/>
        </w:rPr>
      </w:pPr>
      <w:bookmarkStart w:id="497" w:name="_Toc13563"/>
      <w:bookmarkEnd w:id="497"/>
      <w:r>
        <w:rPr>
          <w:rFonts w:hint="eastAsia" w:ascii="宋体" w:hAnsi="宋体" w:eastAsia="宋体"/>
          <w:b/>
          <w:bCs/>
          <w:color w:val="auto"/>
          <w:sz w:val="21"/>
          <w:szCs w:val="21"/>
          <w:highlight w:val="none"/>
          <w:lang w:val="zh-CN"/>
        </w:rPr>
        <w:t>2.1 初步评审标准</w:t>
      </w:r>
    </w:p>
    <w:p w14:paraId="08E72A3D">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 xml:space="preserve">2.1.1 </w:t>
      </w:r>
      <w:r>
        <w:rPr>
          <w:rFonts w:hint="eastAsia"/>
          <w:color w:val="auto"/>
          <w:highlight w:val="none"/>
        </w:rPr>
        <w:t>形式评审</w:t>
      </w:r>
      <w:r>
        <w:rPr>
          <w:rFonts w:hint="eastAsia" w:ascii="宋体" w:hAnsi="宋体"/>
          <w:color w:val="auto"/>
          <w:kern w:val="1"/>
          <w:szCs w:val="21"/>
          <w:highlight w:val="none"/>
        </w:rPr>
        <w:t>标准：见评标办法前附表。</w:t>
      </w:r>
    </w:p>
    <w:p w14:paraId="2141ABFE">
      <w:pPr>
        <w:spacing w:line="360" w:lineRule="auto"/>
        <w:ind w:firstLine="420"/>
        <w:rPr>
          <w:rFonts w:ascii="宋体" w:hAnsi="宋体"/>
          <w:color w:val="auto"/>
          <w:kern w:val="1"/>
          <w:szCs w:val="21"/>
          <w:highlight w:val="none"/>
        </w:rPr>
      </w:pPr>
      <w:r>
        <w:rPr>
          <w:rFonts w:ascii="宋体" w:hAnsi="宋体"/>
          <w:color w:val="auto"/>
          <w:kern w:val="1"/>
          <w:szCs w:val="21"/>
          <w:highlight w:val="none"/>
        </w:rPr>
        <w:t>2.1.2 资格评审标准：</w:t>
      </w:r>
      <w:r>
        <w:rPr>
          <w:rFonts w:hint="eastAsia" w:ascii="宋体" w:hAnsi="宋体"/>
          <w:color w:val="auto"/>
          <w:kern w:val="1"/>
          <w:szCs w:val="21"/>
          <w:highlight w:val="none"/>
        </w:rPr>
        <w:t>见评标办法前附表。</w:t>
      </w:r>
    </w:p>
    <w:p w14:paraId="44AF95B4">
      <w:pPr>
        <w:spacing w:line="360" w:lineRule="auto"/>
        <w:ind w:firstLine="420"/>
        <w:rPr>
          <w:rFonts w:ascii="宋体" w:hAnsi="宋体"/>
          <w:color w:val="auto"/>
          <w:kern w:val="1"/>
          <w:szCs w:val="21"/>
          <w:highlight w:val="none"/>
        </w:rPr>
      </w:pPr>
      <w:r>
        <w:rPr>
          <w:rFonts w:ascii="宋体" w:hAnsi="宋体"/>
          <w:color w:val="auto"/>
          <w:kern w:val="1"/>
          <w:szCs w:val="21"/>
          <w:highlight w:val="none"/>
        </w:rPr>
        <w:t>2.1.3</w:t>
      </w:r>
      <w:r>
        <w:rPr>
          <w:rFonts w:hint="eastAsia"/>
          <w:color w:val="auto"/>
          <w:highlight w:val="none"/>
        </w:rPr>
        <w:t>响应性评审标准：见评标办法前附表。</w:t>
      </w:r>
    </w:p>
    <w:p w14:paraId="65F5BA07">
      <w:pPr>
        <w:pStyle w:val="10"/>
        <w:spacing w:before="100" w:after="100" w:line="360" w:lineRule="auto"/>
        <w:rPr>
          <w:rFonts w:hint="eastAsia" w:ascii="宋体" w:hAnsi="宋体" w:eastAsia="宋体"/>
          <w:b/>
          <w:bCs/>
          <w:color w:val="auto"/>
          <w:sz w:val="21"/>
          <w:szCs w:val="21"/>
          <w:highlight w:val="none"/>
          <w:lang w:val="zh-CN"/>
        </w:rPr>
      </w:pPr>
      <w:bookmarkStart w:id="498" w:name="_Toc9707"/>
      <w:bookmarkEnd w:id="498"/>
      <w:r>
        <w:rPr>
          <w:rFonts w:hint="eastAsia" w:ascii="宋体" w:hAnsi="宋体" w:eastAsia="宋体"/>
          <w:b/>
          <w:bCs/>
          <w:color w:val="auto"/>
          <w:sz w:val="21"/>
          <w:szCs w:val="21"/>
          <w:highlight w:val="none"/>
          <w:lang w:val="zh-CN"/>
        </w:rPr>
        <w:t>2.2 分值构成与评分标准</w:t>
      </w:r>
    </w:p>
    <w:p w14:paraId="728C3CCD">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2.2.1 分值构成及权重：见评标办法前附表。</w:t>
      </w:r>
    </w:p>
    <w:p w14:paraId="08546FAD">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2.2.2 评标基准价计算</w:t>
      </w:r>
    </w:p>
    <w:p w14:paraId="7F5C749D">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评标基准价计算方法：见评标办法前附表。</w:t>
      </w:r>
    </w:p>
    <w:p w14:paraId="3FA1F837">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2.2.3 投标报价的偏差率计算</w:t>
      </w:r>
    </w:p>
    <w:p w14:paraId="48B7B5DB">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投标报价的偏差率计算公式：见评标办法前附表。</w:t>
      </w:r>
    </w:p>
    <w:p w14:paraId="5B758D8C">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2.2.4 评分标准</w:t>
      </w:r>
    </w:p>
    <w:p w14:paraId="3BB43396">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w:t>
      </w:r>
      <w:r>
        <w:rPr>
          <w:rFonts w:hint="eastAsia" w:ascii="宋体" w:hAnsi="宋体"/>
          <w:color w:val="auto"/>
          <w:kern w:val="1"/>
          <w:szCs w:val="21"/>
          <w:highlight w:val="none"/>
          <w:u w:val="single"/>
          <w:lang w:val="en-US" w:eastAsia="zh-CN"/>
        </w:rPr>
        <w:t>1</w:t>
      </w:r>
      <w:r>
        <w:rPr>
          <w:rFonts w:hint="eastAsia" w:ascii="宋体" w:hAnsi="宋体"/>
          <w:color w:val="auto"/>
          <w:kern w:val="1"/>
          <w:szCs w:val="21"/>
          <w:highlight w:val="none"/>
          <w:u w:val="single"/>
        </w:rPr>
        <w:t>）</w:t>
      </w:r>
      <w:r>
        <w:rPr>
          <w:rFonts w:hint="eastAsia" w:ascii="宋体" w:hAnsi="宋体"/>
          <w:color w:val="auto"/>
          <w:kern w:val="1"/>
          <w:szCs w:val="21"/>
          <w:highlight w:val="none"/>
          <w:u w:val="single"/>
          <w:lang w:val="en-US" w:eastAsia="zh-CN"/>
        </w:rPr>
        <w:t>设计</w:t>
      </w:r>
      <w:r>
        <w:rPr>
          <w:rFonts w:hint="eastAsia" w:ascii="宋体" w:hAnsi="宋体"/>
          <w:color w:val="auto"/>
          <w:kern w:val="1"/>
          <w:szCs w:val="21"/>
          <w:highlight w:val="none"/>
          <w:u w:val="single"/>
        </w:rPr>
        <w:t>方案</w:t>
      </w:r>
      <w:r>
        <w:rPr>
          <w:rFonts w:hint="eastAsia" w:ascii="宋体" w:hAnsi="宋体"/>
          <w:color w:val="auto"/>
          <w:kern w:val="1"/>
          <w:szCs w:val="21"/>
          <w:highlight w:val="none"/>
          <w:u w:val="single"/>
          <w:lang w:val="en-US" w:eastAsia="zh-CN"/>
        </w:rPr>
        <w:t>评分标准</w:t>
      </w:r>
      <w:r>
        <w:rPr>
          <w:rFonts w:hint="eastAsia" w:ascii="宋体" w:hAnsi="宋体"/>
          <w:color w:val="auto"/>
          <w:kern w:val="1"/>
          <w:szCs w:val="21"/>
          <w:highlight w:val="none"/>
        </w:rPr>
        <w:t>：见评标办法前附表。</w:t>
      </w:r>
    </w:p>
    <w:p w14:paraId="3BB05558">
      <w:pPr>
        <w:spacing w:line="360" w:lineRule="auto"/>
        <w:ind w:firstLine="420"/>
        <w:rPr>
          <w:rFonts w:hint="eastAsia" w:ascii="宋体" w:hAnsi="宋体"/>
          <w:color w:val="auto"/>
          <w:kern w:val="1"/>
          <w:szCs w:val="21"/>
          <w:highlight w:val="none"/>
          <w:u w:val="single"/>
        </w:rPr>
      </w:pPr>
      <w:r>
        <w:rPr>
          <w:rFonts w:hint="eastAsia" w:ascii="宋体" w:hAnsi="宋体"/>
          <w:color w:val="auto"/>
          <w:kern w:val="1"/>
          <w:szCs w:val="21"/>
          <w:highlight w:val="none"/>
          <w:u w:val="single"/>
        </w:rPr>
        <w:t>（</w:t>
      </w:r>
      <w:r>
        <w:rPr>
          <w:rFonts w:hint="eastAsia" w:ascii="宋体" w:hAnsi="宋体"/>
          <w:color w:val="auto"/>
          <w:kern w:val="1"/>
          <w:szCs w:val="21"/>
          <w:highlight w:val="none"/>
          <w:u w:val="single"/>
          <w:lang w:val="en-US" w:eastAsia="zh-CN"/>
        </w:rPr>
        <w:t>2</w:t>
      </w:r>
      <w:r>
        <w:rPr>
          <w:rFonts w:hint="eastAsia" w:ascii="宋体" w:hAnsi="宋体"/>
          <w:color w:val="auto"/>
          <w:kern w:val="1"/>
          <w:szCs w:val="21"/>
          <w:highlight w:val="none"/>
          <w:u w:val="single"/>
        </w:rPr>
        <w:t>）工程总承包实施方案</w:t>
      </w:r>
      <w:r>
        <w:rPr>
          <w:rFonts w:hint="eastAsia" w:ascii="宋体" w:hAnsi="宋体"/>
          <w:color w:val="auto"/>
          <w:kern w:val="1"/>
          <w:szCs w:val="21"/>
          <w:highlight w:val="none"/>
          <w:u w:val="single"/>
          <w:lang w:val="en-US" w:eastAsia="zh-CN"/>
        </w:rPr>
        <w:t>评标标准</w:t>
      </w:r>
      <w:r>
        <w:rPr>
          <w:rFonts w:hint="eastAsia" w:ascii="宋体" w:hAnsi="宋体"/>
          <w:color w:val="auto"/>
          <w:kern w:val="1"/>
          <w:szCs w:val="21"/>
          <w:highlight w:val="none"/>
        </w:rPr>
        <w:t>：见评标办法前附表。</w:t>
      </w:r>
    </w:p>
    <w:p w14:paraId="036A0D43">
      <w:pPr>
        <w:spacing w:line="360" w:lineRule="auto"/>
        <w:ind w:firstLine="420"/>
        <w:rPr>
          <w:rFonts w:hint="eastAsia" w:ascii="宋体" w:hAnsi="宋体" w:eastAsia="宋体"/>
          <w:color w:val="auto"/>
          <w:kern w:val="1"/>
          <w:szCs w:val="21"/>
          <w:highlight w:val="none"/>
          <w:u w:val="single"/>
          <w:lang w:val="en-US" w:eastAsia="zh-CN"/>
        </w:rPr>
      </w:pPr>
      <w:r>
        <w:rPr>
          <w:rFonts w:hint="eastAsia" w:ascii="宋体" w:hAnsi="宋体" w:eastAsia="宋体"/>
          <w:color w:val="auto"/>
          <w:kern w:val="1"/>
          <w:szCs w:val="21"/>
          <w:highlight w:val="none"/>
          <w:u w:val="single"/>
          <w:lang w:val="en-US" w:eastAsia="zh-CN"/>
        </w:rPr>
        <w:t>（3）投标报价评分标准：见评标办法前附表。</w:t>
      </w:r>
    </w:p>
    <w:p w14:paraId="494E9944">
      <w:pPr>
        <w:pStyle w:val="9"/>
        <w:spacing w:before="100" w:after="100" w:line="360" w:lineRule="auto"/>
        <w:rPr>
          <w:rFonts w:hint="eastAsia" w:ascii="宋体" w:hAnsi="宋体" w:eastAsia="宋体"/>
          <w:color w:val="auto"/>
          <w:sz w:val="24"/>
          <w:szCs w:val="24"/>
          <w:highlight w:val="none"/>
          <w:lang w:val="zh-CN"/>
        </w:rPr>
      </w:pPr>
      <w:bookmarkStart w:id="499" w:name="_Toc14718"/>
      <w:bookmarkEnd w:id="499"/>
      <w:r>
        <w:rPr>
          <w:rFonts w:hint="eastAsia" w:ascii="宋体" w:hAnsi="宋体" w:eastAsia="宋体"/>
          <w:color w:val="auto"/>
          <w:sz w:val="24"/>
          <w:szCs w:val="24"/>
          <w:highlight w:val="none"/>
          <w:lang w:val="zh-CN"/>
        </w:rPr>
        <w:t>3. 评标程序</w:t>
      </w:r>
    </w:p>
    <w:p w14:paraId="42D0CFAB">
      <w:pPr>
        <w:spacing w:line="360" w:lineRule="auto"/>
        <w:ind w:firstLine="420"/>
        <w:rPr>
          <w:rFonts w:hint="eastAsia" w:ascii="宋体" w:hAnsi="宋体" w:eastAsia="宋体"/>
          <w:color w:val="auto"/>
          <w:kern w:val="1"/>
          <w:szCs w:val="21"/>
          <w:highlight w:val="none"/>
          <w:u w:val="single"/>
        </w:rPr>
      </w:pPr>
      <w:bookmarkStart w:id="500" w:name="_Toc2700"/>
      <w:r>
        <w:rPr>
          <w:rFonts w:hint="eastAsia" w:ascii="宋体" w:hAnsi="宋体" w:eastAsia="宋体"/>
          <w:color w:val="auto"/>
          <w:kern w:val="1"/>
          <w:szCs w:val="21"/>
          <w:highlight w:val="none"/>
          <w:u w:val="single"/>
        </w:rPr>
        <w:t>投标文件设计方案由设计评审组负责，形式审查、资格审查（适用于资格后审项目）、工程总承包实施方案和投标报价的评审及评审汇总由综合评审组负责。</w:t>
      </w:r>
    </w:p>
    <w:p w14:paraId="3464C274">
      <w:pPr>
        <w:pStyle w:val="10"/>
        <w:spacing w:before="100" w:after="100" w:line="360" w:lineRule="auto"/>
        <w:rPr>
          <w:rFonts w:hint="eastAsia" w:ascii="宋体" w:hAnsi="宋体" w:eastAsia="宋体"/>
          <w:b/>
          <w:bCs/>
          <w:color w:val="auto"/>
          <w:sz w:val="21"/>
          <w:szCs w:val="21"/>
          <w:highlight w:val="none"/>
          <w:lang w:val="zh-CN"/>
        </w:rPr>
      </w:pPr>
      <w:bookmarkStart w:id="501" w:name="_Toc60859892"/>
      <w:bookmarkEnd w:id="501"/>
      <w:bookmarkStart w:id="502" w:name="_Toc65361705"/>
      <w:bookmarkEnd w:id="502"/>
      <w:r>
        <w:rPr>
          <w:rFonts w:hint="eastAsia" w:ascii="宋体" w:hAnsi="宋体" w:eastAsia="宋体"/>
          <w:b/>
          <w:bCs/>
          <w:color w:val="auto"/>
          <w:sz w:val="21"/>
          <w:szCs w:val="21"/>
          <w:highlight w:val="none"/>
          <w:lang w:val="zh-CN"/>
        </w:rPr>
        <w:t>3.1设计方案评审（由设计评审组负责）</w:t>
      </w:r>
    </w:p>
    <w:p w14:paraId="33C5A2CF">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3.1.1设计评审组评委按设计方案文件响应性审查标准（详见前附表）对所有成功解密的设计标投标文件进行评审，只有通过响应性审查的设计标投标文件方可进入下一阶段的评审。如果有否决投标提议，则设计评审组成员共同表决，按照少数服从多数的原则决定是否否决其投标。</w:t>
      </w:r>
    </w:p>
    <w:p w14:paraId="460D1572">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3.1.2设计评审组评委按设计方案评分标准（详见附表</w:t>
      </w:r>
      <w:r>
        <w:rPr>
          <w:rFonts w:hint="eastAsia" w:ascii="宋体" w:hAnsi="宋体" w:eastAsia="宋体"/>
          <w:color w:val="auto"/>
          <w:kern w:val="1"/>
          <w:szCs w:val="21"/>
          <w:highlight w:val="none"/>
          <w:u w:val="single"/>
          <w:lang w:val="en-US" w:eastAsia="zh-CN"/>
        </w:rPr>
        <w:t>2</w:t>
      </w:r>
      <w:r>
        <w:rPr>
          <w:rFonts w:hint="eastAsia" w:ascii="宋体" w:hAnsi="宋体" w:eastAsia="宋体"/>
          <w:color w:val="auto"/>
          <w:kern w:val="1"/>
          <w:szCs w:val="21"/>
          <w:highlight w:val="none"/>
          <w:u w:val="single"/>
        </w:rPr>
        <w:t>）对各设计标投标文件进行评分。</w:t>
      </w:r>
    </w:p>
    <w:p w14:paraId="4C53F023">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3.1.3算术平均各设计评审组评委评分，得出每个投标人设计方案部分得分，分数出现小数点，保留小数点后二位，第三位小数四舍五入。</w:t>
      </w:r>
    </w:p>
    <w:p w14:paraId="17E4C7DB">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3.1.4设计评审组评委揭晓投标人身份。</w:t>
      </w:r>
    </w:p>
    <w:p w14:paraId="0BA2627A">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3.1.5设计评审组评委按只有通过响应性审查的投标人的投标文件方可进入下一阶段评审的评审原则，在揭晓投标人身份后，根据响应性审查结果，否决未通过响应性评审的投标人的投标，取消其得分，且不再进入得分汇总阶段。设计评审组评委汇总各投标人设计方案部分得分、编写、签署设计方案评标报告，评标报告由设计评审组评委全体成员签名，对评标结论持有异议的评标委员会成员可以书面方式阐述其不同意见和理由。</w:t>
      </w:r>
    </w:p>
    <w:p w14:paraId="6D34A7A2">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3.1.6设计评审组评委向招标人提交书面设计方案评标报告后即告解散。</w:t>
      </w:r>
    </w:p>
    <w:p w14:paraId="02D06173">
      <w:pPr>
        <w:pStyle w:val="10"/>
        <w:spacing w:before="100" w:after="100" w:line="360" w:lineRule="auto"/>
        <w:rPr>
          <w:rFonts w:hint="eastAsia" w:ascii="宋体" w:hAnsi="宋体" w:eastAsia="宋体"/>
          <w:b/>
          <w:bCs/>
          <w:color w:val="auto"/>
          <w:sz w:val="21"/>
          <w:szCs w:val="21"/>
          <w:highlight w:val="none"/>
          <w:lang w:val="zh-CN"/>
        </w:rPr>
      </w:pPr>
      <w:bookmarkStart w:id="503" w:name="_Toc65361706"/>
      <w:bookmarkEnd w:id="503"/>
      <w:bookmarkStart w:id="504" w:name="_Toc60859893"/>
      <w:bookmarkEnd w:id="504"/>
      <w:r>
        <w:rPr>
          <w:rFonts w:hint="eastAsia" w:ascii="宋体" w:hAnsi="宋体" w:eastAsia="宋体"/>
          <w:b/>
          <w:bCs/>
          <w:color w:val="auto"/>
          <w:sz w:val="21"/>
          <w:szCs w:val="21"/>
          <w:highlight w:val="none"/>
          <w:lang w:val="zh-CN"/>
        </w:rPr>
        <w:t>3.2形式审查及资格审查（由综合评审组负责）</w:t>
      </w:r>
    </w:p>
    <w:p w14:paraId="49398477">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3.2.1 形式审查中全部符合形式评审标准（详见前附表）中规定情形的，为形式审查合格。否则为形式审查不合格，经综合评审组评委共同认定后，其投标文件将被拒绝。如综合评审组评委的评审意见不一致时，以综合评审组过半数成员的意见作为综合评审组对该情形的认定结论。</w:t>
      </w:r>
    </w:p>
    <w:p w14:paraId="3128C008">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3.2.2汇总形式审查情况，只有通过形式审查的投标人方可进入下一阶段的评审。形式审查合格的投标人少于3名的，则本项目招标失败。</w:t>
      </w:r>
    </w:p>
    <w:p w14:paraId="10220294">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3.2.3综合评审组评委对所有通过形式审查的投标人进行资格审查。资格审查文件中全部符合资格评审标准（详见附表</w:t>
      </w:r>
      <w:r>
        <w:rPr>
          <w:rFonts w:hint="eastAsia" w:ascii="宋体" w:hAnsi="宋体" w:eastAsia="宋体"/>
          <w:color w:val="auto"/>
          <w:kern w:val="1"/>
          <w:szCs w:val="21"/>
          <w:highlight w:val="none"/>
          <w:u w:val="single"/>
          <w:lang w:val="en-US" w:eastAsia="zh-CN"/>
        </w:rPr>
        <w:t>1</w:t>
      </w:r>
      <w:r>
        <w:rPr>
          <w:rFonts w:hint="eastAsia" w:ascii="宋体" w:hAnsi="宋体" w:eastAsia="宋体"/>
          <w:color w:val="auto"/>
          <w:kern w:val="1"/>
          <w:szCs w:val="21"/>
          <w:highlight w:val="none"/>
          <w:u w:val="single"/>
        </w:rPr>
        <w:t>）中规定情形的，为资格审查合格。否则为资格审查不合格，经综合评审组评委共同认定后，其投标将被拒绝。如综合评审组评委的评审意见不一致时，以综合评审组过半数成员的意见作为评标委员会对该情形的认定结论。只有通过资格审查的投标人方可进入下一阶段的评审。</w:t>
      </w:r>
    </w:p>
    <w:p w14:paraId="670B7C70">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3.2.4汇总资格审查情况，编写资格审查报告。资格审查合格的投标人少于3名的，则本项目招标失败。</w:t>
      </w:r>
    </w:p>
    <w:p w14:paraId="49DA7DEF">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3.2.5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00322EAD">
      <w:pPr>
        <w:spacing w:line="360" w:lineRule="auto"/>
        <w:ind w:firstLine="422" w:firstLineChars="200"/>
        <w:rPr>
          <w:rFonts w:hint="eastAsia" w:ascii="宋体" w:hAnsi="宋体"/>
          <w:b/>
          <w:color w:val="auto"/>
          <w:sz w:val="21"/>
          <w:szCs w:val="21"/>
          <w:highlight w:val="none"/>
          <w:u w:val="single"/>
        </w:rPr>
      </w:pPr>
      <w:r>
        <w:rPr>
          <w:rFonts w:hint="eastAsia" w:ascii="宋体" w:hAnsi="宋体"/>
          <w:b/>
          <w:color w:val="auto"/>
          <w:sz w:val="21"/>
          <w:szCs w:val="21"/>
          <w:highlight w:val="none"/>
          <w:u w:val="single"/>
        </w:rPr>
        <w:t>特别声明：资审合格后，投标人的资格发生变化而不满足投标人合格条件，在发出中标通知书前，资格问题仍未解决的，招标人将取消其中标资格。</w:t>
      </w:r>
    </w:p>
    <w:bookmarkEnd w:id="500"/>
    <w:p w14:paraId="653372E1">
      <w:pPr>
        <w:pStyle w:val="10"/>
        <w:spacing w:before="100" w:after="100" w:line="360" w:lineRule="auto"/>
        <w:rPr>
          <w:rFonts w:hint="eastAsia" w:ascii="宋体" w:hAnsi="宋体" w:eastAsia="宋体"/>
          <w:b/>
          <w:bCs/>
          <w:color w:val="auto"/>
          <w:sz w:val="21"/>
          <w:szCs w:val="21"/>
          <w:highlight w:val="none"/>
          <w:lang w:val="zh-CN"/>
        </w:rPr>
      </w:pPr>
      <w:bookmarkStart w:id="505" w:name="_Toc60859894"/>
      <w:bookmarkEnd w:id="505"/>
      <w:bookmarkStart w:id="506" w:name="_Toc65361707"/>
      <w:bookmarkEnd w:id="506"/>
      <w:r>
        <w:rPr>
          <w:rFonts w:hint="eastAsia" w:ascii="宋体" w:hAnsi="宋体" w:eastAsia="宋体"/>
          <w:b/>
          <w:bCs/>
          <w:color w:val="auto"/>
          <w:sz w:val="21"/>
          <w:szCs w:val="21"/>
          <w:highlight w:val="none"/>
          <w:lang w:val="zh-CN"/>
        </w:rPr>
        <w:t>3.3工程总承包实施方案评审（由综合评审组负责）</w:t>
      </w:r>
    </w:p>
    <w:p w14:paraId="60C37FBA">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3.3.1工程总承包实施方案的响应性审查：通过资格审查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w:t>
      </w:r>
    </w:p>
    <w:p w14:paraId="1D5A303D">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3.3.2工程总承包实施方案详细审查：综合评审组评委按照工程总承包实施方案评分标准（详见附表</w:t>
      </w:r>
      <w:r>
        <w:rPr>
          <w:rFonts w:hint="eastAsia" w:ascii="宋体" w:hAnsi="宋体" w:eastAsia="宋体"/>
          <w:color w:val="auto"/>
          <w:kern w:val="1"/>
          <w:szCs w:val="21"/>
          <w:highlight w:val="none"/>
          <w:u w:val="single"/>
          <w:lang w:val="en-US" w:eastAsia="zh-CN"/>
        </w:rPr>
        <w:t>3</w:t>
      </w:r>
      <w:r>
        <w:rPr>
          <w:rFonts w:hint="eastAsia" w:ascii="宋体" w:hAnsi="宋体" w:eastAsia="宋体"/>
          <w:color w:val="auto"/>
          <w:kern w:val="1"/>
          <w:szCs w:val="21"/>
          <w:highlight w:val="none"/>
          <w:u w:val="single"/>
        </w:rPr>
        <w:t>），对通过响应性审查的投标文件进行详细审查，评分。</w:t>
      </w:r>
    </w:p>
    <w:p w14:paraId="6A1896FC">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3.3.3各投标人工程总承包实施方案得分为各评委评分的算术平均值，综合评审组评委按此汇总每个投标人工程总承包实施方案详细审查得分，分数出现小数点，保留小数点后二位，第三位小数四舍五入。</w:t>
      </w:r>
    </w:p>
    <w:p w14:paraId="3AC914C8">
      <w:pPr>
        <w:pStyle w:val="10"/>
        <w:spacing w:before="100" w:after="100" w:line="360" w:lineRule="auto"/>
        <w:rPr>
          <w:rFonts w:hint="eastAsia" w:ascii="宋体" w:hAnsi="宋体" w:eastAsia="宋体"/>
          <w:b/>
          <w:bCs/>
          <w:color w:val="auto"/>
          <w:sz w:val="21"/>
          <w:szCs w:val="21"/>
          <w:highlight w:val="none"/>
          <w:lang w:val="zh-CN"/>
        </w:rPr>
      </w:pPr>
      <w:bookmarkStart w:id="507" w:name="_Toc60859895"/>
      <w:bookmarkEnd w:id="507"/>
      <w:bookmarkStart w:id="508" w:name="_Toc65361708"/>
      <w:bookmarkEnd w:id="508"/>
      <w:r>
        <w:rPr>
          <w:rFonts w:hint="eastAsia" w:ascii="宋体" w:hAnsi="宋体" w:eastAsia="宋体"/>
          <w:b/>
          <w:bCs/>
          <w:color w:val="auto"/>
          <w:sz w:val="21"/>
          <w:szCs w:val="21"/>
          <w:highlight w:val="none"/>
          <w:lang w:val="zh-CN"/>
        </w:rPr>
        <w:t>3.4投标报价评审（由综合评审组评委负责）</w:t>
      </w:r>
    </w:p>
    <w:p w14:paraId="4B3D2855">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3.4.1综合评审组评委汇总设计评审组的响应性评审结果，未通过设计方案响应性评审的投标人的投标报价，不再进行投标报价评审，也不参与评标基准价的计算。</w:t>
      </w:r>
    </w:p>
    <w:p w14:paraId="36319BED">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3.4.2投标报价的算术校核。综合评审组评委对通过设计方案响应性审查和工程总承包实施方案响应性审查的投标文件的投标报进行算术校核，具体标准如下：</w:t>
      </w:r>
    </w:p>
    <w:p w14:paraId="40871ABF">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（1）如果下浮率与最高投标限价乘积不等于投标报价时，以下浮率为准修正投标报价（下浮率有明显的数量级错误的除外，此时应修正下浮率），若修正后的投标报价超过最高投标限价的，作否决投标处理；</w:t>
      </w:r>
    </w:p>
    <w:p w14:paraId="1392CE6F">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（2）如果分项报价累加不等总价的，以分项报价累加为准，修正总价；</w:t>
      </w:r>
    </w:p>
    <w:p w14:paraId="3A8722A3">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（3）投标文件存在其他计算性错误的，按就低不就高计算并修正；</w:t>
      </w:r>
    </w:p>
    <w:p w14:paraId="779E03E9">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（4）按上述修正错误的原则及方法调整或修正投标文件的投标报价，调整后的投标报价对投标人起约束作用。如果投标人不接受修正后的报价，则取消其投标资格或中标资格。</w:t>
      </w:r>
    </w:p>
    <w:p w14:paraId="33B90028">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3.4.3投标报价评分</w:t>
      </w:r>
    </w:p>
    <w:p w14:paraId="026568EF">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（1）综合评审组评委按照评标办法前附表第2.2.2款、第2.2.3款评标参考价计算方法、投标报价偏差率计算方法，计算出评标参考价及投标报价偏差率。</w:t>
      </w:r>
    </w:p>
    <w:p w14:paraId="326F2214">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（2）综合评审组评委按照评标办法前附表第2.2.4（3）款，对通过初步评审且经算术复核的投标报价进行评分，评出投标报价评分。</w:t>
      </w:r>
    </w:p>
    <w:p w14:paraId="482D3C36">
      <w:pPr>
        <w:pStyle w:val="10"/>
        <w:spacing w:before="100" w:after="100" w:line="360" w:lineRule="auto"/>
        <w:rPr>
          <w:rFonts w:hint="eastAsia" w:ascii="宋体" w:hAnsi="宋体" w:eastAsia="宋体"/>
          <w:b/>
          <w:bCs/>
          <w:color w:val="auto"/>
          <w:sz w:val="21"/>
          <w:szCs w:val="21"/>
          <w:highlight w:val="none"/>
          <w:lang w:val="zh-CN"/>
        </w:rPr>
      </w:pPr>
      <w:bookmarkStart w:id="509" w:name="_Toc60859896"/>
      <w:bookmarkEnd w:id="509"/>
      <w:bookmarkStart w:id="510" w:name="_Toc65361709"/>
      <w:bookmarkEnd w:id="510"/>
      <w:r>
        <w:rPr>
          <w:rFonts w:hint="eastAsia" w:ascii="宋体" w:hAnsi="宋体" w:eastAsia="宋体"/>
          <w:b/>
          <w:bCs/>
          <w:color w:val="auto"/>
          <w:sz w:val="21"/>
          <w:szCs w:val="21"/>
          <w:highlight w:val="none"/>
          <w:lang w:val="zh-CN"/>
        </w:rPr>
        <w:t>3.5评审汇总（由综合评审组评委负责）</w:t>
      </w:r>
    </w:p>
    <w:p w14:paraId="7D7BDF20">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3.5.1投标人总得分满分为100分，各部分分值分配详见评标办法前附表。</w:t>
      </w:r>
    </w:p>
    <w:p w14:paraId="190193C9">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3.5.2综合评审组汇总各有效投标文件的总分，并按照总分从高到低排列先后次序，只有通过形式审查、资格审查、设计方案响应性审查和工程总承包实施方案响应性审查的投标文件方可计算总分。综合评分相等的，以工程总承包实施方案得分高的优先；工程总承包实施方案得分也相等的，以设计方案得分高的优先；如果设计方案得分也相等的，以投标总报价低的优先；如果投标总报价也相等的，则由评标委员会采用记名投票的方式，确定中标候选人的排序。评标委员会应按排序先后，向招标人推荐前3名投标人依次为第一中标候选人至第三中标候选人，并编写评标报告。</w:t>
      </w:r>
    </w:p>
    <w:p w14:paraId="6C28C73C">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3.5.3有效投标单位不足三家，应当依法重新组织招标。</w:t>
      </w:r>
    </w:p>
    <w:p w14:paraId="3DD2BC0C">
      <w:pPr>
        <w:pStyle w:val="10"/>
        <w:spacing w:before="100" w:after="100" w:line="360" w:lineRule="auto"/>
        <w:rPr>
          <w:rFonts w:hint="eastAsia" w:ascii="宋体" w:hAnsi="宋体" w:eastAsia="宋体"/>
          <w:b/>
          <w:bCs/>
          <w:color w:val="auto"/>
          <w:sz w:val="21"/>
          <w:szCs w:val="21"/>
          <w:highlight w:val="none"/>
          <w:lang w:val="zh-CN"/>
        </w:rPr>
      </w:pPr>
      <w:bookmarkStart w:id="511" w:name="_Toc65361710"/>
      <w:bookmarkEnd w:id="511"/>
      <w:bookmarkStart w:id="512" w:name="_Toc60859897"/>
      <w:bookmarkEnd w:id="512"/>
      <w:r>
        <w:rPr>
          <w:rFonts w:hint="eastAsia" w:ascii="宋体" w:hAnsi="宋体" w:eastAsia="宋体"/>
          <w:b/>
          <w:bCs/>
          <w:color w:val="auto"/>
          <w:sz w:val="21"/>
          <w:szCs w:val="21"/>
          <w:highlight w:val="none"/>
          <w:lang w:val="zh-CN"/>
        </w:rPr>
        <w:t>3.6投标文件的澄清和补正</w:t>
      </w:r>
    </w:p>
    <w:p w14:paraId="26A2ED13">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2563A1C1">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2129E785">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3.6.3 评标委员会成员均应当阅读投标人的澄清，但应独立参考澄清对投标文件进行评审。</w:t>
      </w:r>
    </w:p>
    <w:p w14:paraId="64A6467B">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0E430A2E">
      <w:pPr>
        <w:spacing w:line="360" w:lineRule="auto"/>
        <w:ind w:firstLine="420"/>
        <w:rPr>
          <w:rFonts w:hint="eastAsia" w:ascii="宋体" w:hAnsi="宋体" w:eastAsia="宋体"/>
          <w:b/>
          <w:bCs/>
          <w:color w:val="auto"/>
          <w:kern w:val="1"/>
          <w:szCs w:val="21"/>
          <w:highlight w:val="none"/>
          <w:u w:val="single"/>
        </w:rPr>
      </w:pPr>
      <w:r>
        <w:rPr>
          <w:rFonts w:hint="eastAsia" w:ascii="宋体" w:hAnsi="宋体" w:eastAsia="宋体"/>
          <w:b/>
          <w:bCs/>
          <w:color w:val="auto"/>
          <w:kern w:val="1"/>
          <w:szCs w:val="21"/>
          <w:highlight w:val="none"/>
          <w:u w:val="single"/>
        </w:rPr>
        <w:t>3.6.5不得将文件顺序、明显的文字错误等列为否决投标的情形。评委发现投标文件中含义不明确、对同类问题表述不一致、有明显文字和计算错误的、投标报价可能低于成本影响履约的，应当要求投标人作必要的澄清、说明后再判定投标人是否通过形式审查或资格审查或响应性审查或有效性审查，不得直接认定其不通过形式审查或资格审查或响应性审查或有效性审查。</w:t>
      </w:r>
    </w:p>
    <w:p w14:paraId="660737D2">
      <w:pPr>
        <w:pStyle w:val="10"/>
        <w:spacing w:before="100" w:after="100" w:line="360" w:lineRule="auto"/>
        <w:rPr>
          <w:rFonts w:hint="eastAsia" w:ascii="宋体" w:hAnsi="宋体" w:eastAsia="宋体"/>
          <w:b/>
          <w:bCs/>
          <w:color w:val="auto"/>
          <w:sz w:val="21"/>
          <w:szCs w:val="21"/>
          <w:highlight w:val="none"/>
          <w:lang w:val="zh-CN"/>
        </w:rPr>
      </w:pPr>
      <w:bookmarkStart w:id="513" w:name="_Toc65361711"/>
      <w:bookmarkEnd w:id="513"/>
      <w:bookmarkStart w:id="514" w:name="_Toc60859898"/>
      <w:bookmarkEnd w:id="514"/>
      <w:r>
        <w:rPr>
          <w:rFonts w:hint="eastAsia" w:ascii="宋体" w:hAnsi="宋体" w:eastAsia="宋体"/>
          <w:b/>
          <w:bCs/>
          <w:color w:val="auto"/>
          <w:sz w:val="21"/>
          <w:szCs w:val="21"/>
          <w:highlight w:val="none"/>
          <w:lang w:val="zh-CN"/>
        </w:rPr>
        <w:t>3.7评标结果</w:t>
      </w:r>
    </w:p>
    <w:p w14:paraId="3E3EDE6D">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3.7.1 除第二章“投标人须知”前附表授权直接确定中标人外，评标委员会按照得分由高到低的顺序推荐中标候选人。</w:t>
      </w:r>
    </w:p>
    <w:p w14:paraId="68D2C9AF">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3.7.2 评标委员会完成评标后，应当向招标人提交书面评标报告。</w:t>
      </w:r>
    </w:p>
    <w:p w14:paraId="2D4C233D">
      <w:pPr>
        <w:spacing w:line="360" w:lineRule="auto"/>
        <w:ind w:firstLine="420"/>
        <w:rPr>
          <w:rFonts w:hint="eastAsia" w:ascii="宋体" w:hAnsi="宋体" w:eastAsia="宋体"/>
          <w:color w:val="auto"/>
          <w:kern w:val="1"/>
          <w:szCs w:val="21"/>
          <w:highlight w:val="none"/>
          <w:u w:val="single"/>
        </w:rPr>
      </w:pPr>
      <w:r>
        <w:rPr>
          <w:rFonts w:hint="eastAsia" w:ascii="宋体" w:hAnsi="宋体" w:eastAsia="宋体"/>
          <w:color w:val="auto"/>
          <w:kern w:val="1"/>
          <w:szCs w:val="21"/>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F499CAF">
      <w:pPr>
        <w:pStyle w:val="9"/>
        <w:spacing w:before="100" w:after="100" w:line="360" w:lineRule="auto"/>
        <w:rPr>
          <w:rFonts w:hint="eastAsia" w:ascii="宋体" w:hAnsi="宋体" w:eastAsia="宋体"/>
          <w:color w:val="auto"/>
          <w:sz w:val="24"/>
          <w:szCs w:val="24"/>
          <w:highlight w:val="none"/>
          <w:lang w:val="zh-CN"/>
        </w:rPr>
      </w:pPr>
      <w:bookmarkStart w:id="515" w:name="_Toc10721"/>
      <w:bookmarkEnd w:id="515"/>
      <w:r>
        <w:rPr>
          <w:rFonts w:hint="eastAsia" w:ascii="宋体" w:hAnsi="宋体" w:eastAsia="宋体"/>
          <w:color w:val="auto"/>
          <w:sz w:val="24"/>
          <w:szCs w:val="24"/>
          <w:highlight w:val="none"/>
          <w:lang w:val="zh-CN"/>
        </w:rPr>
        <w:t>4. 评标表格</w:t>
      </w:r>
    </w:p>
    <w:p w14:paraId="6CDFA663">
      <w:pPr>
        <w:spacing w:line="360" w:lineRule="auto"/>
        <w:ind w:firstLine="420"/>
        <w:rPr>
          <w:rFonts w:hint="eastAsia" w:ascii="宋体" w:hAnsi="宋体"/>
          <w:color w:val="auto"/>
          <w:kern w:val="1"/>
          <w:szCs w:val="21"/>
          <w:highlight w:val="none"/>
        </w:rPr>
      </w:pPr>
      <w:r>
        <w:rPr>
          <w:rFonts w:hint="eastAsia" w:ascii="宋体" w:hAnsi="宋体"/>
          <w:color w:val="auto"/>
          <w:kern w:val="1"/>
          <w:szCs w:val="21"/>
          <w:highlight w:val="none"/>
        </w:rPr>
        <w:t>见附表。</w:t>
      </w:r>
    </w:p>
    <w:p w14:paraId="02417000">
      <w:pPr>
        <w:pStyle w:val="9"/>
        <w:spacing w:before="100" w:after="100" w:line="360" w:lineRule="auto"/>
        <w:rPr>
          <w:rFonts w:hint="eastAsia" w:ascii="宋体" w:hAnsi="宋体" w:eastAsia="宋体"/>
          <w:color w:val="auto"/>
          <w:sz w:val="21"/>
          <w:szCs w:val="21"/>
          <w:highlight w:val="none"/>
          <w:lang w:val="zh-CN"/>
        </w:rPr>
      </w:pPr>
      <w:bookmarkStart w:id="516" w:name="_Toc26971"/>
      <w:bookmarkEnd w:id="516"/>
      <w:r>
        <w:rPr>
          <w:rFonts w:hint="eastAsia" w:ascii="宋体" w:hAnsi="宋体" w:eastAsia="宋体"/>
          <w:color w:val="auto"/>
          <w:sz w:val="21"/>
          <w:szCs w:val="21"/>
          <w:highlight w:val="none"/>
          <w:lang w:val="zh-CN"/>
        </w:rPr>
        <w:t>5.否决性条款（详见附件：否决性条款汇总）</w:t>
      </w:r>
    </w:p>
    <w:p w14:paraId="1C881791">
      <w:pPr>
        <w:spacing w:line="360" w:lineRule="auto"/>
        <w:ind w:firstLine="420"/>
        <w:rPr>
          <w:rFonts w:hint="eastAsia" w:ascii="宋体" w:hAnsi="宋体"/>
          <w:b/>
          <w:color w:val="auto"/>
          <w:kern w:val="1"/>
          <w:highlight w:val="none"/>
          <w:lang w:val="zh-CN"/>
        </w:rPr>
      </w:pPr>
      <w:r>
        <w:rPr>
          <w:rFonts w:hint="eastAsia" w:ascii="宋体" w:hAnsi="宋体"/>
          <w:b/>
          <w:color w:val="auto"/>
          <w:kern w:val="1"/>
          <w:highlight w:val="none"/>
          <w:lang w:val="zh-CN"/>
        </w:rPr>
        <w:t>附件：否决性条款汇总</w:t>
      </w:r>
    </w:p>
    <w:p w14:paraId="4EB84BA6">
      <w:pPr>
        <w:spacing w:line="360" w:lineRule="auto"/>
        <w:ind w:firstLine="422"/>
        <w:jc w:val="center"/>
        <w:rPr>
          <w:rFonts w:hint="eastAsia" w:ascii="宋体" w:hAnsi="宋体"/>
          <w:b/>
          <w:color w:val="auto"/>
          <w:kern w:val="1"/>
          <w:highlight w:val="none"/>
          <w:lang w:val="zh-CN"/>
        </w:rPr>
      </w:pPr>
      <w:r>
        <w:rPr>
          <w:rFonts w:hint="eastAsia" w:ascii="宋体" w:hAnsi="宋体"/>
          <w:b/>
          <w:color w:val="auto"/>
          <w:kern w:val="1"/>
          <w:highlight w:val="none"/>
          <w:lang w:val="zh-CN"/>
        </w:rPr>
        <w:t>否决性条款汇总</w:t>
      </w:r>
    </w:p>
    <w:p w14:paraId="57689F28">
      <w:pPr>
        <w:spacing w:line="360" w:lineRule="auto"/>
        <w:ind w:firstLine="420"/>
        <w:rPr>
          <w:rFonts w:ascii="宋体" w:hAnsi="宋体"/>
          <w:color w:val="auto"/>
          <w:kern w:val="1"/>
          <w:highlight w:val="none"/>
        </w:rPr>
      </w:pPr>
    </w:p>
    <w:p w14:paraId="53ED1B98">
      <w:pPr>
        <w:spacing w:line="360" w:lineRule="auto"/>
        <w:ind w:firstLine="420"/>
        <w:rPr>
          <w:rFonts w:hint="eastAsia" w:ascii="宋体" w:hAnsi="宋体"/>
          <w:color w:val="auto"/>
          <w:kern w:val="1"/>
          <w:highlight w:val="none"/>
          <w:lang w:val="zh-CN"/>
        </w:rPr>
      </w:pPr>
      <w:r>
        <w:rPr>
          <w:rFonts w:hint="eastAsia" w:ascii="宋体" w:hAnsi="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75B779B6">
      <w:pPr>
        <w:spacing w:line="360" w:lineRule="auto"/>
        <w:ind w:firstLine="420"/>
        <w:rPr>
          <w:rFonts w:hint="eastAsia" w:ascii="宋体" w:hAnsi="宋体"/>
          <w:color w:val="auto"/>
          <w:kern w:val="1"/>
          <w:highlight w:val="none"/>
          <w:lang w:val="zh-CN"/>
        </w:rPr>
      </w:pPr>
      <w:r>
        <w:rPr>
          <w:rFonts w:hint="eastAsia" w:ascii="宋体" w:hAnsi="宋体"/>
          <w:color w:val="auto"/>
          <w:kern w:val="1"/>
          <w:highlight w:val="none"/>
          <w:lang w:val="zh-CN"/>
        </w:rPr>
        <w:t>否决性条款是指招标文件中规定的不予受理投标或者作无效标以及不合格标处理等否定投标文件效力的条款。</w:t>
      </w:r>
    </w:p>
    <w:p w14:paraId="2131FEA4">
      <w:pPr>
        <w:spacing w:line="360" w:lineRule="auto"/>
        <w:ind w:firstLine="420" w:firstLineChars="200"/>
        <w:rPr>
          <w:rFonts w:hint="eastAsia" w:ascii="宋体" w:hAnsi="宋体"/>
          <w:color w:val="auto"/>
          <w:kern w:val="1"/>
          <w:highlight w:val="none"/>
          <w:lang w:val="zh-CN"/>
        </w:rPr>
      </w:pPr>
      <w:r>
        <w:rPr>
          <w:rFonts w:hint="eastAsia" w:ascii="宋体" w:hAnsi="宋体"/>
          <w:color w:val="auto"/>
          <w:kern w:val="1"/>
          <w:highlight w:val="none"/>
          <w:lang w:val="zh-CN"/>
        </w:rPr>
        <w:t>一、若出现以下情况，电子招标投标交易平台将予以拒收其投标文件：</w:t>
      </w:r>
    </w:p>
    <w:p w14:paraId="03C39C99">
      <w:pPr>
        <w:spacing w:line="360" w:lineRule="auto"/>
        <w:ind w:firstLine="420"/>
        <w:rPr>
          <w:rFonts w:hint="eastAsia" w:ascii="宋体" w:hAnsi="宋体"/>
          <w:color w:val="auto"/>
          <w:kern w:val="1"/>
          <w:highlight w:val="none"/>
          <w:lang w:val="zh-CN"/>
        </w:rPr>
      </w:pPr>
      <w:r>
        <w:rPr>
          <w:rFonts w:hint="eastAsia" w:ascii="宋体" w:hAnsi="宋体"/>
          <w:color w:val="auto"/>
          <w:kern w:val="1"/>
          <w:highlight w:val="none"/>
          <w:lang w:val="zh-CN"/>
        </w:rPr>
        <w:t xml:space="preserve">  在招标文件规定的投标截止时间后递交投标文件的。</w:t>
      </w:r>
    </w:p>
    <w:p w14:paraId="1BB4B7FA">
      <w:pPr>
        <w:spacing w:line="360" w:lineRule="auto"/>
        <w:ind w:firstLine="420" w:firstLineChars="200"/>
        <w:rPr>
          <w:rFonts w:hint="eastAsia" w:ascii="宋体" w:hAnsi="宋体"/>
          <w:color w:val="auto"/>
          <w:kern w:val="1"/>
          <w:highlight w:val="none"/>
          <w:lang w:val="zh-CN"/>
        </w:rPr>
      </w:pPr>
      <w:r>
        <w:rPr>
          <w:rFonts w:hint="eastAsia" w:ascii="宋体" w:hAnsi="宋体"/>
          <w:color w:val="auto"/>
          <w:kern w:val="1"/>
          <w:highlight w:val="none"/>
          <w:lang w:val="zh-CN"/>
        </w:rPr>
        <w:t>二、若出现不符合形式评审、资格评审、响应性评审的评审因素，当无效标处理。</w:t>
      </w:r>
    </w:p>
    <w:p w14:paraId="2F3B2D8A">
      <w:pPr>
        <w:spacing w:line="360" w:lineRule="auto"/>
        <w:ind w:firstLine="420" w:firstLineChars="200"/>
        <w:rPr>
          <w:rFonts w:ascii="宋体" w:hAnsi="宋体"/>
          <w:color w:val="auto"/>
          <w:kern w:val="1"/>
          <w:highlight w:val="none"/>
          <w:lang w:val="zh-CN"/>
        </w:rPr>
        <w:sectPr>
          <w:headerReference r:id="rId9" w:type="default"/>
          <w:footerReference r:id="rId10" w:type="default"/>
          <w:pgSz w:w="11907" w:h="16840"/>
          <w:pgMar w:top="1361" w:right="1304" w:bottom="1304" w:left="1304" w:header="851" w:footer="720" w:gutter="0"/>
          <w:cols w:space="720" w:num="1"/>
          <w:docGrid w:linePitch="0" w:charSpace="0"/>
        </w:sectPr>
      </w:pPr>
    </w:p>
    <w:p w14:paraId="317487BF">
      <w:pPr>
        <w:widowControl/>
        <w:jc w:val="left"/>
        <w:rPr>
          <w:rFonts w:hint="eastAsia" w:ascii="宋体" w:hAnsi="宋体"/>
          <w:b/>
          <w:color w:val="auto"/>
          <w:kern w:val="1"/>
          <w:sz w:val="24"/>
          <w:szCs w:val="24"/>
          <w:highlight w:val="none"/>
        </w:rPr>
      </w:pPr>
      <w:r>
        <w:rPr>
          <w:rFonts w:hint="eastAsia" w:ascii="宋体" w:hAnsi="宋体"/>
          <w:b/>
          <w:color w:val="auto"/>
          <w:kern w:val="1"/>
          <w:sz w:val="24"/>
          <w:szCs w:val="24"/>
          <w:highlight w:val="none"/>
        </w:rPr>
        <w:t>附表1</w:t>
      </w:r>
    </w:p>
    <w:p w14:paraId="5C585FB0">
      <w:pPr>
        <w:spacing w:line="400" w:lineRule="exact"/>
        <w:jc w:val="center"/>
        <w:rPr>
          <w:rFonts w:ascii="宋体" w:hAnsi="宋体"/>
          <w:b/>
          <w:color w:val="auto"/>
          <w:sz w:val="36"/>
          <w:szCs w:val="36"/>
          <w:highlight w:val="none"/>
        </w:rPr>
      </w:pPr>
      <w:r>
        <w:rPr>
          <w:rFonts w:ascii="宋体" w:hAnsi="宋体"/>
          <w:b/>
          <w:color w:val="auto"/>
          <w:sz w:val="36"/>
          <w:szCs w:val="36"/>
          <w:highlight w:val="none"/>
        </w:rPr>
        <w:t>资格审</w:t>
      </w:r>
      <w:r>
        <w:rPr>
          <w:rFonts w:hint="eastAsia" w:ascii="宋体" w:hAnsi="宋体"/>
          <w:b/>
          <w:color w:val="auto"/>
          <w:sz w:val="36"/>
          <w:szCs w:val="36"/>
          <w:highlight w:val="none"/>
        </w:rPr>
        <w:t>查表</w:t>
      </w:r>
    </w:p>
    <w:tbl>
      <w:tblPr>
        <w:tblStyle w:val="5"/>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743"/>
        <w:gridCol w:w="731"/>
        <w:gridCol w:w="731"/>
        <w:gridCol w:w="645"/>
      </w:tblGrid>
      <w:tr w14:paraId="72EB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1" w:hRule="atLeast"/>
        </w:trPr>
        <w:tc>
          <w:tcPr>
            <w:tcW w:w="530" w:type="dxa"/>
            <w:vAlign w:val="center"/>
          </w:tcPr>
          <w:p w14:paraId="0F693ACC">
            <w:pPr>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0819" w:type="dxa"/>
            <w:vAlign w:val="center"/>
          </w:tcPr>
          <w:p w14:paraId="6580CAE4">
            <w:pPr>
              <w:jc w:val="center"/>
              <w:rPr>
                <w:rFonts w:hint="eastAsia" w:ascii="宋体" w:hAnsi="宋体"/>
                <w:b/>
                <w:color w:val="auto"/>
                <w:sz w:val="18"/>
                <w:szCs w:val="18"/>
                <w:highlight w:val="none"/>
              </w:rPr>
            </w:pPr>
            <w:r>
              <w:rPr>
                <w:rFonts w:hint="eastAsia" w:ascii="宋体" w:hAnsi="宋体"/>
                <w:b/>
                <w:color w:val="auto"/>
                <w:sz w:val="18"/>
                <w:szCs w:val="18"/>
                <w:highlight w:val="none"/>
              </w:rPr>
              <w:t>评审内容</w:t>
            </w:r>
          </w:p>
        </w:tc>
        <w:tc>
          <w:tcPr>
            <w:tcW w:w="743" w:type="dxa"/>
            <w:vAlign w:val="top"/>
          </w:tcPr>
          <w:p w14:paraId="32160BF0">
            <w:pPr>
              <w:rPr>
                <w:rFonts w:ascii="宋体" w:hAnsi="宋体"/>
                <w:b/>
                <w:color w:val="auto"/>
                <w:sz w:val="18"/>
                <w:szCs w:val="18"/>
                <w:highlight w:val="none"/>
              </w:rPr>
            </w:pPr>
          </w:p>
        </w:tc>
        <w:tc>
          <w:tcPr>
            <w:tcW w:w="731" w:type="dxa"/>
            <w:vAlign w:val="top"/>
          </w:tcPr>
          <w:p w14:paraId="306EA601">
            <w:pPr>
              <w:rPr>
                <w:rFonts w:ascii="宋体" w:hAnsi="宋体"/>
                <w:b/>
                <w:color w:val="auto"/>
                <w:sz w:val="18"/>
                <w:szCs w:val="18"/>
                <w:highlight w:val="none"/>
              </w:rPr>
            </w:pPr>
          </w:p>
        </w:tc>
        <w:tc>
          <w:tcPr>
            <w:tcW w:w="731" w:type="dxa"/>
            <w:vAlign w:val="top"/>
          </w:tcPr>
          <w:p w14:paraId="4C8F8714">
            <w:pPr>
              <w:rPr>
                <w:rFonts w:ascii="宋体" w:hAnsi="宋体"/>
                <w:b/>
                <w:color w:val="auto"/>
                <w:sz w:val="18"/>
                <w:szCs w:val="18"/>
                <w:highlight w:val="none"/>
              </w:rPr>
            </w:pPr>
          </w:p>
        </w:tc>
        <w:tc>
          <w:tcPr>
            <w:tcW w:w="645" w:type="dxa"/>
            <w:vAlign w:val="top"/>
          </w:tcPr>
          <w:p w14:paraId="6AA0C542">
            <w:pPr>
              <w:rPr>
                <w:rFonts w:ascii="宋体" w:hAnsi="宋体"/>
                <w:b/>
                <w:color w:val="auto"/>
                <w:sz w:val="18"/>
                <w:szCs w:val="18"/>
                <w:highlight w:val="none"/>
              </w:rPr>
            </w:pPr>
          </w:p>
        </w:tc>
      </w:tr>
      <w:tr w14:paraId="51702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6D116D44">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0819" w:type="dxa"/>
            <w:vAlign w:val="center"/>
          </w:tcPr>
          <w:p w14:paraId="279634C2">
            <w:pPr>
              <w:rPr>
                <w:rFonts w:hint="eastAsia"/>
                <w:color w:val="auto"/>
                <w:sz w:val="18"/>
                <w:szCs w:val="18"/>
                <w:highlight w:val="none"/>
              </w:rPr>
            </w:pPr>
            <w:r>
              <w:rPr>
                <w:rFonts w:hint="eastAsia"/>
                <w:color w:val="auto"/>
                <w:sz w:val="18"/>
                <w:szCs w:val="18"/>
                <w:highlight w:val="none"/>
              </w:rPr>
              <w:t>投标人（若为联合体，指联合体各方）均具有独立法人资格，持有工商行政（市场监督）管理部门核发的法人营业执照或各级政府事业单位登记管理机关颁发的事业单位法人证书（香港企业的，需持有在香港进行商业登记的证明文书），按国家法律经营</w:t>
            </w:r>
          </w:p>
        </w:tc>
        <w:tc>
          <w:tcPr>
            <w:tcW w:w="743" w:type="dxa"/>
            <w:vAlign w:val="top"/>
          </w:tcPr>
          <w:p w14:paraId="38928465">
            <w:pPr>
              <w:spacing w:line="400" w:lineRule="exact"/>
              <w:rPr>
                <w:rFonts w:ascii="宋体" w:hAnsi="宋体"/>
                <w:color w:val="auto"/>
                <w:sz w:val="18"/>
                <w:szCs w:val="18"/>
                <w:highlight w:val="none"/>
              </w:rPr>
            </w:pPr>
          </w:p>
        </w:tc>
        <w:tc>
          <w:tcPr>
            <w:tcW w:w="731" w:type="dxa"/>
            <w:vAlign w:val="top"/>
          </w:tcPr>
          <w:p w14:paraId="3E5D0428">
            <w:pPr>
              <w:spacing w:line="400" w:lineRule="exact"/>
              <w:rPr>
                <w:rFonts w:ascii="宋体" w:hAnsi="宋体"/>
                <w:color w:val="auto"/>
                <w:sz w:val="18"/>
                <w:szCs w:val="18"/>
                <w:highlight w:val="none"/>
              </w:rPr>
            </w:pPr>
          </w:p>
        </w:tc>
        <w:tc>
          <w:tcPr>
            <w:tcW w:w="731" w:type="dxa"/>
            <w:vAlign w:val="top"/>
          </w:tcPr>
          <w:p w14:paraId="36F3B794">
            <w:pPr>
              <w:spacing w:line="400" w:lineRule="exact"/>
              <w:rPr>
                <w:rFonts w:ascii="宋体" w:hAnsi="宋体"/>
                <w:color w:val="auto"/>
                <w:sz w:val="18"/>
                <w:szCs w:val="18"/>
                <w:highlight w:val="none"/>
              </w:rPr>
            </w:pPr>
          </w:p>
        </w:tc>
        <w:tc>
          <w:tcPr>
            <w:tcW w:w="645" w:type="dxa"/>
            <w:vAlign w:val="top"/>
          </w:tcPr>
          <w:p w14:paraId="72286C45">
            <w:pPr>
              <w:spacing w:line="400" w:lineRule="exact"/>
              <w:rPr>
                <w:rFonts w:ascii="宋体" w:hAnsi="宋体"/>
                <w:color w:val="auto"/>
                <w:sz w:val="18"/>
                <w:szCs w:val="18"/>
                <w:highlight w:val="none"/>
              </w:rPr>
            </w:pPr>
          </w:p>
        </w:tc>
      </w:tr>
      <w:tr w14:paraId="1F365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79976DB4">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0819" w:type="dxa"/>
            <w:vAlign w:val="center"/>
          </w:tcPr>
          <w:p w14:paraId="54E44602">
            <w:pPr>
              <w:rPr>
                <w:rFonts w:hint="eastAsia"/>
                <w:color w:val="auto"/>
                <w:sz w:val="18"/>
                <w:szCs w:val="18"/>
                <w:highlight w:val="none"/>
              </w:rPr>
            </w:pPr>
            <w:r>
              <w:rPr>
                <w:rFonts w:hint="eastAsia"/>
                <w:color w:val="auto"/>
                <w:sz w:val="18"/>
                <w:szCs w:val="18"/>
                <w:highlight w:val="none"/>
              </w:rPr>
              <w:t>投标人（若为联合体，指联合体各方）企业资质符合招标公告要求。</w:t>
            </w:r>
          </w:p>
        </w:tc>
        <w:tc>
          <w:tcPr>
            <w:tcW w:w="743" w:type="dxa"/>
            <w:vAlign w:val="top"/>
          </w:tcPr>
          <w:p w14:paraId="064C53CA">
            <w:pPr>
              <w:spacing w:line="400" w:lineRule="exact"/>
              <w:rPr>
                <w:rFonts w:ascii="宋体" w:hAnsi="宋体"/>
                <w:color w:val="auto"/>
                <w:sz w:val="18"/>
                <w:szCs w:val="18"/>
                <w:highlight w:val="none"/>
              </w:rPr>
            </w:pPr>
          </w:p>
        </w:tc>
        <w:tc>
          <w:tcPr>
            <w:tcW w:w="731" w:type="dxa"/>
            <w:vAlign w:val="top"/>
          </w:tcPr>
          <w:p w14:paraId="16C2397F">
            <w:pPr>
              <w:spacing w:line="400" w:lineRule="exact"/>
              <w:rPr>
                <w:rFonts w:ascii="宋体" w:hAnsi="宋体"/>
                <w:color w:val="auto"/>
                <w:sz w:val="18"/>
                <w:szCs w:val="18"/>
                <w:highlight w:val="none"/>
              </w:rPr>
            </w:pPr>
          </w:p>
        </w:tc>
        <w:tc>
          <w:tcPr>
            <w:tcW w:w="731" w:type="dxa"/>
            <w:vAlign w:val="top"/>
          </w:tcPr>
          <w:p w14:paraId="46A1C07D">
            <w:pPr>
              <w:spacing w:line="400" w:lineRule="exact"/>
              <w:rPr>
                <w:rFonts w:ascii="宋体" w:hAnsi="宋体"/>
                <w:color w:val="auto"/>
                <w:sz w:val="18"/>
                <w:szCs w:val="18"/>
                <w:highlight w:val="none"/>
              </w:rPr>
            </w:pPr>
          </w:p>
        </w:tc>
        <w:tc>
          <w:tcPr>
            <w:tcW w:w="645" w:type="dxa"/>
            <w:vAlign w:val="top"/>
          </w:tcPr>
          <w:p w14:paraId="0FCA4C57">
            <w:pPr>
              <w:spacing w:line="400" w:lineRule="exact"/>
              <w:rPr>
                <w:rFonts w:ascii="宋体" w:hAnsi="宋体"/>
                <w:color w:val="auto"/>
                <w:sz w:val="18"/>
                <w:szCs w:val="18"/>
                <w:highlight w:val="none"/>
              </w:rPr>
            </w:pPr>
          </w:p>
        </w:tc>
      </w:tr>
      <w:tr w14:paraId="0E4B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8" w:hRule="atLeast"/>
        </w:trPr>
        <w:tc>
          <w:tcPr>
            <w:tcW w:w="530" w:type="dxa"/>
            <w:vAlign w:val="center"/>
          </w:tcPr>
          <w:p w14:paraId="20F1EBA9">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0819" w:type="dxa"/>
            <w:vAlign w:val="center"/>
          </w:tcPr>
          <w:p w14:paraId="4594B40E">
            <w:pPr>
              <w:rPr>
                <w:rFonts w:hint="eastAsia"/>
                <w:color w:val="auto"/>
                <w:sz w:val="18"/>
                <w:szCs w:val="18"/>
                <w:highlight w:val="none"/>
              </w:rPr>
            </w:pPr>
            <w:r>
              <w:rPr>
                <w:rFonts w:hint="eastAsia"/>
                <w:color w:val="auto"/>
                <w:sz w:val="18"/>
                <w:szCs w:val="18"/>
                <w:highlight w:val="none"/>
              </w:rPr>
              <w:t>投标人（若为联合体，指联合体</w:t>
            </w:r>
            <w:r>
              <w:rPr>
                <w:rFonts w:hint="eastAsia"/>
                <w:color w:val="auto"/>
                <w:sz w:val="18"/>
                <w:szCs w:val="18"/>
                <w:highlight w:val="none"/>
                <w:lang w:eastAsia="zh-CN"/>
              </w:rPr>
              <w:t>施工</w:t>
            </w:r>
            <w:r>
              <w:rPr>
                <w:rFonts w:hint="eastAsia"/>
                <w:color w:val="auto"/>
                <w:sz w:val="18"/>
                <w:szCs w:val="18"/>
                <w:highlight w:val="none"/>
              </w:rPr>
              <w:t>方）持有有效的建设行政主管部门颁发的安全生产许可证。</w:t>
            </w:r>
          </w:p>
        </w:tc>
        <w:tc>
          <w:tcPr>
            <w:tcW w:w="743" w:type="dxa"/>
            <w:vAlign w:val="top"/>
          </w:tcPr>
          <w:p w14:paraId="58E65BAA">
            <w:pPr>
              <w:spacing w:line="400" w:lineRule="exact"/>
              <w:rPr>
                <w:rFonts w:ascii="宋体" w:hAnsi="宋体"/>
                <w:color w:val="auto"/>
                <w:sz w:val="18"/>
                <w:szCs w:val="18"/>
                <w:highlight w:val="none"/>
              </w:rPr>
            </w:pPr>
          </w:p>
        </w:tc>
        <w:tc>
          <w:tcPr>
            <w:tcW w:w="731" w:type="dxa"/>
            <w:vAlign w:val="top"/>
          </w:tcPr>
          <w:p w14:paraId="32A91110">
            <w:pPr>
              <w:spacing w:line="400" w:lineRule="exact"/>
              <w:rPr>
                <w:rFonts w:ascii="宋体" w:hAnsi="宋体"/>
                <w:color w:val="auto"/>
                <w:sz w:val="18"/>
                <w:szCs w:val="18"/>
                <w:highlight w:val="none"/>
              </w:rPr>
            </w:pPr>
          </w:p>
        </w:tc>
        <w:tc>
          <w:tcPr>
            <w:tcW w:w="731" w:type="dxa"/>
            <w:vAlign w:val="top"/>
          </w:tcPr>
          <w:p w14:paraId="209AC78C">
            <w:pPr>
              <w:spacing w:line="400" w:lineRule="exact"/>
              <w:rPr>
                <w:rFonts w:ascii="宋体" w:hAnsi="宋体"/>
                <w:color w:val="auto"/>
                <w:sz w:val="18"/>
                <w:szCs w:val="18"/>
                <w:highlight w:val="none"/>
              </w:rPr>
            </w:pPr>
          </w:p>
        </w:tc>
        <w:tc>
          <w:tcPr>
            <w:tcW w:w="645" w:type="dxa"/>
            <w:vAlign w:val="top"/>
          </w:tcPr>
          <w:p w14:paraId="46CC84BB">
            <w:pPr>
              <w:spacing w:line="400" w:lineRule="exact"/>
              <w:rPr>
                <w:rFonts w:ascii="宋体" w:hAnsi="宋体"/>
                <w:color w:val="auto"/>
                <w:sz w:val="18"/>
                <w:szCs w:val="18"/>
                <w:highlight w:val="none"/>
              </w:rPr>
            </w:pPr>
          </w:p>
        </w:tc>
      </w:tr>
      <w:tr w14:paraId="6F68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76C551F2">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4</w:t>
            </w:r>
          </w:p>
        </w:tc>
        <w:tc>
          <w:tcPr>
            <w:tcW w:w="10819" w:type="dxa"/>
            <w:vAlign w:val="center"/>
          </w:tcPr>
          <w:p w14:paraId="3443598C">
            <w:pPr>
              <w:rPr>
                <w:rFonts w:hint="eastAsia"/>
                <w:color w:val="auto"/>
                <w:sz w:val="18"/>
                <w:szCs w:val="18"/>
                <w:highlight w:val="none"/>
              </w:rPr>
            </w:pPr>
            <w:r>
              <w:rPr>
                <w:rFonts w:hint="eastAsia"/>
                <w:color w:val="auto"/>
                <w:sz w:val="18"/>
                <w:szCs w:val="18"/>
                <w:highlight w:val="none"/>
              </w:rPr>
              <w:t>投标人拟担任本项目的项目负责人</w:t>
            </w:r>
            <w:r>
              <w:rPr>
                <w:rFonts w:hint="eastAsia"/>
                <w:color w:val="auto"/>
                <w:sz w:val="18"/>
                <w:szCs w:val="18"/>
                <w:highlight w:val="none"/>
                <w:lang w:eastAsia="zh-CN"/>
              </w:rPr>
              <w:t>，</w:t>
            </w:r>
            <w:r>
              <w:rPr>
                <w:rFonts w:hint="eastAsia"/>
                <w:color w:val="auto"/>
                <w:sz w:val="18"/>
                <w:szCs w:val="18"/>
                <w:highlight w:val="none"/>
                <w:lang w:val="en-US" w:eastAsia="zh-CN"/>
              </w:rPr>
              <w:t>施工</w:t>
            </w:r>
            <w:r>
              <w:rPr>
                <w:rFonts w:hint="eastAsia"/>
                <w:color w:val="auto"/>
                <w:sz w:val="18"/>
                <w:szCs w:val="18"/>
                <w:highlight w:val="none"/>
              </w:rPr>
              <w:t>负责人资格满足招标公告要求。</w:t>
            </w:r>
          </w:p>
        </w:tc>
        <w:tc>
          <w:tcPr>
            <w:tcW w:w="743" w:type="dxa"/>
            <w:vAlign w:val="top"/>
          </w:tcPr>
          <w:p w14:paraId="0713920B">
            <w:pPr>
              <w:spacing w:line="400" w:lineRule="exact"/>
              <w:rPr>
                <w:rFonts w:ascii="宋体" w:hAnsi="宋体"/>
                <w:color w:val="auto"/>
                <w:sz w:val="18"/>
                <w:szCs w:val="18"/>
                <w:highlight w:val="none"/>
              </w:rPr>
            </w:pPr>
          </w:p>
        </w:tc>
        <w:tc>
          <w:tcPr>
            <w:tcW w:w="731" w:type="dxa"/>
            <w:vAlign w:val="top"/>
          </w:tcPr>
          <w:p w14:paraId="40156368">
            <w:pPr>
              <w:spacing w:line="400" w:lineRule="exact"/>
              <w:rPr>
                <w:rFonts w:ascii="宋体" w:hAnsi="宋体"/>
                <w:color w:val="auto"/>
                <w:sz w:val="18"/>
                <w:szCs w:val="18"/>
                <w:highlight w:val="none"/>
              </w:rPr>
            </w:pPr>
          </w:p>
        </w:tc>
        <w:tc>
          <w:tcPr>
            <w:tcW w:w="731" w:type="dxa"/>
            <w:vAlign w:val="top"/>
          </w:tcPr>
          <w:p w14:paraId="142E4D4A">
            <w:pPr>
              <w:spacing w:line="400" w:lineRule="exact"/>
              <w:rPr>
                <w:rFonts w:ascii="宋体" w:hAnsi="宋体"/>
                <w:color w:val="auto"/>
                <w:sz w:val="18"/>
                <w:szCs w:val="18"/>
                <w:highlight w:val="none"/>
              </w:rPr>
            </w:pPr>
          </w:p>
        </w:tc>
        <w:tc>
          <w:tcPr>
            <w:tcW w:w="645" w:type="dxa"/>
            <w:vAlign w:val="top"/>
          </w:tcPr>
          <w:p w14:paraId="0DF359BE">
            <w:pPr>
              <w:spacing w:line="400" w:lineRule="exact"/>
              <w:rPr>
                <w:rFonts w:ascii="宋体" w:hAnsi="宋体"/>
                <w:color w:val="auto"/>
                <w:sz w:val="18"/>
                <w:szCs w:val="18"/>
                <w:highlight w:val="none"/>
              </w:rPr>
            </w:pPr>
          </w:p>
        </w:tc>
      </w:tr>
      <w:tr w14:paraId="736D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2" w:hRule="atLeast"/>
        </w:trPr>
        <w:tc>
          <w:tcPr>
            <w:tcW w:w="530" w:type="dxa"/>
            <w:vAlign w:val="center"/>
          </w:tcPr>
          <w:p w14:paraId="2317396F">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5</w:t>
            </w:r>
          </w:p>
        </w:tc>
        <w:tc>
          <w:tcPr>
            <w:tcW w:w="10819" w:type="dxa"/>
            <w:vAlign w:val="center"/>
          </w:tcPr>
          <w:p w14:paraId="7A9BF6D2">
            <w:pPr>
              <w:rPr>
                <w:rFonts w:hint="eastAsia"/>
                <w:color w:val="auto"/>
                <w:sz w:val="18"/>
                <w:szCs w:val="18"/>
                <w:highlight w:val="none"/>
              </w:rPr>
            </w:pPr>
            <w:r>
              <w:rPr>
                <w:rFonts w:hint="eastAsia"/>
                <w:color w:val="auto"/>
                <w:sz w:val="18"/>
                <w:szCs w:val="18"/>
                <w:highlight w:val="none"/>
              </w:rPr>
              <w:t>投标人拟担任本项目的项目负责人业绩证明满足招标公告要求。</w:t>
            </w:r>
          </w:p>
        </w:tc>
        <w:tc>
          <w:tcPr>
            <w:tcW w:w="743" w:type="dxa"/>
            <w:vAlign w:val="top"/>
          </w:tcPr>
          <w:p w14:paraId="6A0FF471">
            <w:pPr>
              <w:spacing w:line="400" w:lineRule="exact"/>
              <w:rPr>
                <w:rFonts w:ascii="宋体" w:hAnsi="宋体"/>
                <w:color w:val="auto"/>
                <w:sz w:val="18"/>
                <w:szCs w:val="18"/>
                <w:highlight w:val="none"/>
              </w:rPr>
            </w:pPr>
          </w:p>
        </w:tc>
        <w:tc>
          <w:tcPr>
            <w:tcW w:w="731" w:type="dxa"/>
            <w:vAlign w:val="top"/>
          </w:tcPr>
          <w:p w14:paraId="29A29F29">
            <w:pPr>
              <w:spacing w:line="400" w:lineRule="exact"/>
              <w:rPr>
                <w:rFonts w:ascii="宋体" w:hAnsi="宋体"/>
                <w:color w:val="auto"/>
                <w:sz w:val="18"/>
                <w:szCs w:val="18"/>
                <w:highlight w:val="none"/>
              </w:rPr>
            </w:pPr>
          </w:p>
        </w:tc>
        <w:tc>
          <w:tcPr>
            <w:tcW w:w="731" w:type="dxa"/>
            <w:vAlign w:val="top"/>
          </w:tcPr>
          <w:p w14:paraId="3736BF56">
            <w:pPr>
              <w:spacing w:line="400" w:lineRule="exact"/>
              <w:rPr>
                <w:rFonts w:ascii="宋体" w:hAnsi="宋体"/>
                <w:color w:val="auto"/>
                <w:sz w:val="18"/>
                <w:szCs w:val="18"/>
                <w:highlight w:val="none"/>
              </w:rPr>
            </w:pPr>
          </w:p>
        </w:tc>
        <w:tc>
          <w:tcPr>
            <w:tcW w:w="645" w:type="dxa"/>
            <w:vAlign w:val="top"/>
          </w:tcPr>
          <w:p w14:paraId="33453F27">
            <w:pPr>
              <w:spacing w:line="400" w:lineRule="exact"/>
              <w:rPr>
                <w:rFonts w:ascii="宋体" w:hAnsi="宋体"/>
                <w:color w:val="auto"/>
                <w:sz w:val="18"/>
                <w:szCs w:val="18"/>
                <w:highlight w:val="none"/>
              </w:rPr>
            </w:pPr>
          </w:p>
        </w:tc>
      </w:tr>
      <w:tr w14:paraId="34E8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5318274A">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w:t>
            </w:r>
          </w:p>
        </w:tc>
        <w:tc>
          <w:tcPr>
            <w:tcW w:w="10819" w:type="dxa"/>
            <w:vAlign w:val="center"/>
          </w:tcPr>
          <w:p w14:paraId="16E088DF">
            <w:pPr>
              <w:rPr>
                <w:rFonts w:hint="eastAsia"/>
                <w:color w:val="auto"/>
                <w:sz w:val="18"/>
                <w:szCs w:val="18"/>
                <w:highlight w:val="none"/>
              </w:rPr>
            </w:pPr>
            <w:r>
              <w:rPr>
                <w:rFonts w:hint="eastAsia"/>
                <w:color w:val="auto"/>
                <w:sz w:val="18"/>
                <w:szCs w:val="18"/>
                <w:highlight w:val="none"/>
              </w:rPr>
              <w:t>投标人拟担任本项目的设计负责人资格满足招标公告要求。</w:t>
            </w:r>
          </w:p>
        </w:tc>
        <w:tc>
          <w:tcPr>
            <w:tcW w:w="743" w:type="dxa"/>
            <w:vAlign w:val="top"/>
          </w:tcPr>
          <w:p w14:paraId="7898BFA9">
            <w:pPr>
              <w:spacing w:line="400" w:lineRule="exact"/>
              <w:rPr>
                <w:rFonts w:ascii="宋体" w:hAnsi="宋体"/>
                <w:color w:val="auto"/>
                <w:sz w:val="18"/>
                <w:szCs w:val="18"/>
                <w:highlight w:val="none"/>
              </w:rPr>
            </w:pPr>
          </w:p>
        </w:tc>
        <w:tc>
          <w:tcPr>
            <w:tcW w:w="731" w:type="dxa"/>
            <w:vAlign w:val="top"/>
          </w:tcPr>
          <w:p w14:paraId="47DB6B66">
            <w:pPr>
              <w:spacing w:line="400" w:lineRule="exact"/>
              <w:rPr>
                <w:rFonts w:ascii="宋体" w:hAnsi="宋体"/>
                <w:color w:val="auto"/>
                <w:sz w:val="18"/>
                <w:szCs w:val="18"/>
                <w:highlight w:val="none"/>
              </w:rPr>
            </w:pPr>
          </w:p>
        </w:tc>
        <w:tc>
          <w:tcPr>
            <w:tcW w:w="731" w:type="dxa"/>
            <w:vAlign w:val="top"/>
          </w:tcPr>
          <w:p w14:paraId="558DE91E">
            <w:pPr>
              <w:spacing w:line="400" w:lineRule="exact"/>
              <w:rPr>
                <w:rFonts w:ascii="宋体" w:hAnsi="宋体"/>
                <w:color w:val="auto"/>
                <w:sz w:val="18"/>
                <w:szCs w:val="18"/>
                <w:highlight w:val="none"/>
              </w:rPr>
            </w:pPr>
          </w:p>
        </w:tc>
        <w:tc>
          <w:tcPr>
            <w:tcW w:w="645" w:type="dxa"/>
            <w:vAlign w:val="top"/>
          </w:tcPr>
          <w:p w14:paraId="137A7330">
            <w:pPr>
              <w:spacing w:line="400" w:lineRule="exact"/>
              <w:rPr>
                <w:rFonts w:ascii="宋体" w:hAnsi="宋体"/>
                <w:color w:val="auto"/>
                <w:sz w:val="18"/>
                <w:szCs w:val="18"/>
                <w:highlight w:val="none"/>
              </w:rPr>
            </w:pPr>
          </w:p>
        </w:tc>
      </w:tr>
      <w:tr w14:paraId="337E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73373D7B">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7</w:t>
            </w:r>
          </w:p>
        </w:tc>
        <w:tc>
          <w:tcPr>
            <w:tcW w:w="10819" w:type="dxa"/>
            <w:vAlign w:val="center"/>
          </w:tcPr>
          <w:p w14:paraId="0844295D">
            <w:pPr>
              <w:rPr>
                <w:rFonts w:hint="eastAsia"/>
                <w:color w:val="auto"/>
                <w:sz w:val="18"/>
                <w:szCs w:val="18"/>
                <w:highlight w:val="none"/>
              </w:rPr>
            </w:pPr>
            <w:r>
              <w:rPr>
                <w:rFonts w:hint="eastAsia"/>
                <w:color w:val="auto"/>
                <w:sz w:val="18"/>
                <w:szCs w:val="18"/>
                <w:highlight w:val="none"/>
              </w:rPr>
              <w:t>投标人拟担任本项目的</w:t>
            </w:r>
            <w:r>
              <w:rPr>
                <w:rFonts w:hint="eastAsia"/>
                <w:color w:val="auto"/>
                <w:sz w:val="18"/>
                <w:szCs w:val="18"/>
                <w:highlight w:val="none"/>
                <w:lang w:val="en-US" w:eastAsia="zh-CN"/>
              </w:rPr>
              <w:t>技术</w:t>
            </w:r>
            <w:r>
              <w:rPr>
                <w:rFonts w:hint="eastAsia"/>
                <w:color w:val="auto"/>
                <w:sz w:val="18"/>
                <w:szCs w:val="18"/>
                <w:highlight w:val="none"/>
              </w:rPr>
              <w:t>负责人资格满足招标公告要求。</w:t>
            </w:r>
          </w:p>
        </w:tc>
        <w:tc>
          <w:tcPr>
            <w:tcW w:w="743" w:type="dxa"/>
            <w:vAlign w:val="top"/>
          </w:tcPr>
          <w:p w14:paraId="076E6252">
            <w:pPr>
              <w:spacing w:line="400" w:lineRule="exact"/>
              <w:rPr>
                <w:rFonts w:ascii="宋体" w:hAnsi="宋体"/>
                <w:color w:val="auto"/>
                <w:sz w:val="18"/>
                <w:szCs w:val="18"/>
                <w:highlight w:val="none"/>
              </w:rPr>
            </w:pPr>
          </w:p>
        </w:tc>
        <w:tc>
          <w:tcPr>
            <w:tcW w:w="731" w:type="dxa"/>
            <w:vAlign w:val="top"/>
          </w:tcPr>
          <w:p w14:paraId="67B438B3">
            <w:pPr>
              <w:spacing w:line="400" w:lineRule="exact"/>
              <w:rPr>
                <w:rFonts w:ascii="宋体" w:hAnsi="宋体"/>
                <w:color w:val="auto"/>
                <w:sz w:val="18"/>
                <w:szCs w:val="18"/>
                <w:highlight w:val="none"/>
              </w:rPr>
            </w:pPr>
          </w:p>
        </w:tc>
        <w:tc>
          <w:tcPr>
            <w:tcW w:w="731" w:type="dxa"/>
            <w:vAlign w:val="top"/>
          </w:tcPr>
          <w:p w14:paraId="248B48ED">
            <w:pPr>
              <w:spacing w:line="400" w:lineRule="exact"/>
              <w:rPr>
                <w:rFonts w:ascii="宋体" w:hAnsi="宋体"/>
                <w:color w:val="auto"/>
                <w:sz w:val="18"/>
                <w:szCs w:val="18"/>
                <w:highlight w:val="none"/>
              </w:rPr>
            </w:pPr>
          </w:p>
        </w:tc>
        <w:tc>
          <w:tcPr>
            <w:tcW w:w="645" w:type="dxa"/>
            <w:vAlign w:val="top"/>
          </w:tcPr>
          <w:p w14:paraId="724ADFC3">
            <w:pPr>
              <w:spacing w:line="400" w:lineRule="exact"/>
              <w:rPr>
                <w:rFonts w:ascii="宋体" w:hAnsi="宋体"/>
                <w:color w:val="auto"/>
                <w:sz w:val="18"/>
                <w:szCs w:val="18"/>
                <w:highlight w:val="none"/>
              </w:rPr>
            </w:pPr>
          </w:p>
        </w:tc>
      </w:tr>
      <w:tr w14:paraId="24251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07EDA67A">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8</w:t>
            </w:r>
          </w:p>
        </w:tc>
        <w:tc>
          <w:tcPr>
            <w:tcW w:w="10819" w:type="dxa"/>
            <w:vAlign w:val="center"/>
          </w:tcPr>
          <w:p w14:paraId="5815FA79">
            <w:pPr>
              <w:rPr>
                <w:rFonts w:hint="eastAsia"/>
                <w:color w:val="auto"/>
                <w:sz w:val="18"/>
                <w:szCs w:val="18"/>
                <w:highlight w:val="none"/>
              </w:rPr>
            </w:pPr>
            <w:r>
              <w:rPr>
                <w:rFonts w:hint="eastAsia"/>
                <w:color w:val="auto"/>
                <w:sz w:val="18"/>
                <w:szCs w:val="18"/>
                <w:highlight w:val="none"/>
              </w:rPr>
              <w:t>投标人（若为联合体，指联合体承担施工任务的一方）</w:t>
            </w:r>
            <w:r>
              <w:rPr>
                <w:rFonts w:hint="eastAsia"/>
                <w:color w:val="auto"/>
                <w:sz w:val="18"/>
                <w:szCs w:val="18"/>
                <w:highlight w:val="none"/>
                <w:lang w:eastAsia="zh-CN"/>
              </w:rPr>
              <w:t>施工</w:t>
            </w:r>
            <w:r>
              <w:rPr>
                <w:color w:val="auto"/>
                <w:sz w:val="18"/>
                <w:szCs w:val="18"/>
                <w:highlight w:val="none"/>
              </w:rPr>
              <w:t>负责人持有安全</w:t>
            </w:r>
            <w:r>
              <w:rPr>
                <w:rFonts w:hint="eastAsia"/>
                <w:color w:val="auto"/>
                <w:sz w:val="18"/>
                <w:szCs w:val="18"/>
                <w:highlight w:val="none"/>
              </w:rPr>
              <w:t>生产</w:t>
            </w:r>
            <w:r>
              <w:rPr>
                <w:color w:val="auto"/>
                <w:sz w:val="18"/>
                <w:szCs w:val="18"/>
                <w:highlight w:val="none"/>
              </w:rPr>
              <w:t>考核合格证（B类）或</w:t>
            </w:r>
            <w:r>
              <w:rPr>
                <w:rFonts w:hint="eastAsia"/>
                <w:color w:val="auto"/>
                <w:sz w:val="18"/>
                <w:szCs w:val="18"/>
                <w:highlight w:val="none"/>
              </w:rPr>
              <w:t>建筑施工企业项目负责人安全生产考核合格证书。</w:t>
            </w:r>
          </w:p>
        </w:tc>
        <w:tc>
          <w:tcPr>
            <w:tcW w:w="743" w:type="dxa"/>
            <w:vAlign w:val="top"/>
          </w:tcPr>
          <w:p w14:paraId="0B74EC80">
            <w:pPr>
              <w:spacing w:line="400" w:lineRule="exact"/>
              <w:rPr>
                <w:rFonts w:ascii="宋体" w:hAnsi="宋体"/>
                <w:color w:val="auto"/>
                <w:sz w:val="18"/>
                <w:szCs w:val="18"/>
                <w:highlight w:val="none"/>
              </w:rPr>
            </w:pPr>
          </w:p>
        </w:tc>
        <w:tc>
          <w:tcPr>
            <w:tcW w:w="731" w:type="dxa"/>
            <w:vAlign w:val="top"/>
          </w:tcPr>
          <w:p w14:paraId="6BDF9C48">
            <w:pPr>
              <w:spacing w:line="400" w:lineRule="exact"/>
              <w:rPr>
                <w:rFonts w:ascii="宋体" w:hAnsi="宋体"/>
                <w:color w:val="auto"/>
                <w:sz w:val="18"/>
                <w:szCs w:val="18"/>
                <w:highlight w:val="none"/>
              </w:rPr>
            </w:pPr>
          </w:p>
        </w:tc>
        <w:tc>
          <w:tcPr>
            <w:tcW w:w="731" w:type="dxa"/>
            <w:vAlign w:val="top"/>
          </w:tcPr>
          <w:p w14:paraId="34AF2B61">
            <w:pPr>
              <w:spacing w:line="400" w:lineRule="exact"/>
              <w:rPr>
                <w:rFonts w:ascii="宋体" w:hAnsi="宋体"/>
                <w:color w:val="auto"/>
                <w:sz w:val="18"/>
                <w:szCs w:val="18"/>
                <w:highlight w:val="none"/>
              </w:rPr>
            </w:pPr>
          </w:p>
        </w:tc>
        <w:tc>
          <w:tcPr>
            <w:tcW w:w="645" w:type="dxa"/>
            <w:vAlign w:val="top"/>
          </w:tcPr>
          <w:p w14:paraId="107DCF0C">
            <w:pPr>
              <w:spacing w:line="400" w:lineRule="exact"/>
              <w:rPr>
                <w:rFonts w:ascii="宋体" w:hAnsi="宋体"/>
                <w:color w:val="auto"/>
                <w:sz w:val="18"/>
                <w:szCs w:val="18"/>
                <w:highlight w:val="none"/>
              </w:rPr>
            </w:pPr>
          </w:p>
        </w:tc>
      </w:tr>
      <w:tr w14:paraId="464AF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5" w:hRule="atLeast"/>
        </w:trPr>
        <w:tc>
          <w:tcPr>
            <w:tcW w:w="530" w:type="dxa"/>
            <w:vAlign w:val="center"/>
          </w:tcPr>
          <w:p w14:paraId="52A1E623">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9</w:t>
            </w:r>
          </w:p>
        </w:tc>
        <w:tc>
          <w:tcPr>
            <w:tcW w:w="10819" w:type="dxa"/>
            <w:vAlign w:val="center"/>
          </w:tcPr>
          <w:p w14:paraId="39E0A6DB">
            <w:pPr>
              <w:rPr>
                <w:rFonts w:hint="eastAsia"/>
                <w:color w:val="auto"/>
                <w:sz w:val="18"/>
                <w:szCs w:val="18"/>
                <w:highlight w:val="none"/>
              </w:rPr>
            </w:pPr>
            <w:r>
              <w:rPr>
                <w:rFonts w:hint="eastAsia"/>
                <w:color w:val="auto"/>
                <w:sz w:val="18"/>
                <w:szCs w:val="18"/>
                <w:highlight w:val="none"/>
              </w:rPr>
              <w:t>投标人（若为联合体，指联合体承担施工任务的一方）专职安全人员须具有安全生产考核合格证（C类）或建筑施工企业专职安全生产管理人员安全生产考核合格证书。</w:t>
            </w:r>
          </w:p>
        </w:tc>
        <w:tc>
          <w:tcPr>
            <w:tcW w:w="743" w:type="dxa"/>
            <w:vAlign w:val="top"/>
          </w:tcPr>
          <w:p w14:paraId="07E80BAA">
            <w:pPr>
              <w:spacing w:line="400" w:lineRule="exact"/>
              <w:rPr>
                <w:rFonts w:ascii="宋体" w:hAnsi="宋体"/>
                <w:color w:val="auto"/>
                <w:sz w:val="18"/>
                <w:szCs w:val="18"/>
                <w:highlight w:val="none"/>
              </w:rPr>
            </w:pPr>
          </w:p>
        </w:tc>
        <w:tc>
          <w:tcPr>
            <w:tcW w:w="731" w:type="dxa"/>
            <w:vAlign w:val="top"/>
          </w:tcPr>
          <w:p w14:paraId="4F4CF9ED">
            <w:pPr>
              <w:spacing w:line="400" w:lineRule="exact"/>
              <w:rPr>
                <w:rFonts w:ascii="宋体" w:hAnsi="宋体"/>
                <w:color w:val="auto"/>
                <w:sz w:val="18"/>
                <w:szCs w:val="18"/>
                <w:highlight w:val="none"/>
              </w:rPr>
            </w:pPr>
          </w:p>
        </w:tc>
        <w:tc>
          <w:tcPr>
            <w:tcW w:w="731" w:type="dxa"/>
            <w:vAlign w:val="top"/>
          </w:tcPr>
          <w:p w14:paraId="6B93DB0D">
            <w:pPr>
              <w:spacing w:line="400" w:lineRule="exact"/>
              <w:rPr>
                <w:rFonts w:ascii="宋体" w:hAnsi="宋体"/>
                <w:color w:val="auto"/>
                <w:sz w:val="18"/>
                <w:szCs w:val="18"/>
                <w:highlight w:val="none"/>
              </w:rPr>
            </w:pPr>
          </w:p>
        </w:tc>
        <w:tc>
          <w:tcPr>
            <w:tcW w:w="645" w:type="dxa"/>
            <w:vAlign w:val="top"/>
          </w:tcPr>
          <w:p w14:paraId="525805C4">
            <w:pPr>
              <w:spacing w:line="400" w:lineRule="exact"/>
              <w:rPr>
                <w:rFonts w:ascii="宋体" w:hAnsi="宋体"/>
                <w:color w:val="auto"/>
                <w:sz w:val="18"/>
                <w:szCs w:val="18"/>
                <w:highlight w:val="none"/>
              </w:rPr>
            </w:pPr>
          </w:p>
        </w:tc>
      </w:tr>
      <w:tr w14:paraId="6611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3940C96E">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10</w:t>
            </w:r>
          </w:p>
        </w:tc>
        <w:tc>
          <w:tcPr>
            <w:tcW w:w="10819" w:type="dxa"/>
            <w:vAlign w:val="center"/>
          </w:tcPr>
          <w:p w14:paraId="24C2BD10">
            <w:pPr>
              <w:rPr>
                <w:rFonts w:hint="eastAsia"/>
                <w:color w:val="auto"/>
                <w:sz w:val="18"/>
                <w:szCs w:val="18"/>
                <w:highlight w:val="none"/>
              </w:rPr>
            </w:pPr>
            <w:r>
              <w:rPr>
                <w:rFonts w:hint="eastAsia"/>
                <w:color w:val="auto"/>
                <w:sz w:val="18"/>
                <w:szCs w:val="18"/>
                <w:highlight w:val="none"/>
              </w:rPr>
              <w:t>资格审查前，投标人（若为联合体，指联合体各</w:t>
            </w:r>
            <w:r>
              <w:rPr>
                <w:rFonts w:hint="eastAsia" w:eastAsia="宋体"/>
                <w:color w:val="auto"/>
                <w:sz w:val="18"/>
                <w:szCs w:val="18"/>
                <w:highlight w:val="none"/>
              </w:rPr>
              <w:t>方）在</w:t>
            </w:r>
            <w:r>
              <w:rPr>
                <w:rFonts w:hint="eastAsia" w:ascii="Calibri" w:hAnsi="Calibri" w:eastAsia="宋体"/>
                <w:color w:val="auto"/>
                <w:kern w:val="0"/>
                <w:sz w:val="18"/>
                <w:szCs w:val="18"/>
                <w:highlight w:val="none"/>
                <w:u w:val="none"/>
              </w:rPr>
              <w:t>广州交易集团有限公司（广州公共资源交易中心）</w:t>
            </w:r>
            <w:r>
              <w:rPr>
                <w:rFonts w:hint="eastAsia" w:eastAsia="宋体"/>
                <w:color w:val="auto"/>
                <w:sz w:val="18"/>
                <w:szCs w:val="18"/>
                <w:highlight w:val="none"/>
              </w:rPr>
              <w:t>办理信</w:t>
            </w:r>
            <w:r>
              <w:rPr>
                <w:rFonts w:hint="eastAsia"/>
                <w:color w:val="auto"/>
                <w:sz w:val="18"/>
                <w:szCs w:val="18"/>
                <w:highlight w:val="none"/>
              </w:rPr>
              <w:t>息登记等相关投标登记手续及拟担任本工程项目负责人、</w:t>
            </w:r>
            <w:r>
              <w:rPr>
                <w:rFonts w:hint="eastAsia"/>
                <w:color w:val="auto"/>
                <w:sz w:val="18"/>
                <w:szCs w:val="18"/>
                <w:highlight w:val="none"/>
                <w:lang w:val="en-US" w:eastAsia="zh-CN"/>
              </w:rPr>
              <w:t>施工负责人、</w:t>
            </w:r>
            <w:r>
              <w:rPr>
                <w:rFonts w:hint="eastAsia"/>
                <w:color w:val="auto"/>
                <w:sz w:val="18"/>
                <w:szCs w:val="18"/>
                <w:highlight w:val="none"/>
              </w:rPr>
              <w:t>专职安全员、设计负责人须是</w:t>
            </w:r>
            <w:r>
              <w:rPr>
                <w:rFonts w:hint="eastAsia" w:ascii="宋体" w:hAnsi="宋体"/>
                <w:color w:val="auto"/>
                <w:sz w:val="18"/>
                <w:szCs w:val="18"/>
                <w:highlight w:val="none"/>
              </w:rPr>
              <w:t>本企业的在册人员且与</w:t>
            </w:r>
            <w:r>
              <w:rPr>
                <w:rFonts w:hint="eastAsia" w:ascii="Calibri" w:hAnsi="Calibri" w:eastAsia="宋体"/>
                <w:color w:val="auto"/>
                <w:kern w:val="0"/>
                <w:sz w:val="18"/>
                <w:szCs w:val="18"/>
                <w:highlight w:val="none"/>
                <w:u w:val="none"/>
              </w:rPr>
              <w:t>广州交易集团有限公司（广州公共资源交易中心）</w:t>
            </w:r>
            <w:r>
              <w:rPr>
                <w:rFonts w:hint="eastAsia" w:ascii="宋体" w:hAnsi="宋体"/>
                <w:color w:val="auto"/>
                <w:sz w:val="18"/>
                <w:szCs w:val="18"/>
                <w:highlight w:val="none"/>
              </w:rPr>
              <w:t>办理信息登记一致。</w:t>
            </w:r>
          </w:p>
        </w:tc>
        <w:tc>
          <w:tcPr>
            <w:tcW w:w="743" w:type="dxa"/>
            <w:vAlign w:val="top"/>
          </w:tcPr>
          <w:p w14:paraId="5289BF96">
            <w:pPr>
              <w:spacing w:line="400" w:lineRule="exact"/>
              <w:rPr>
                <w:rFonts w:ascii="宋体" w:hAnsi="宋体"/>
                <w:color w:val="auto"/>
                <w:sz w:val="18"/>
                <w:szCs w:val="18"/>
                <w:highlight w:val="none"/>
              </w:rPr>
            </w:pPr>
          </w:p>
        </w:tc>
        <w:tc>
          <w:tcPr>
            <w:tcW w:w="731" w:type="dxa"/>
            <w:vAlign w:val="top"/>
          </w:tcPr>
          <w:p w14:paraId="18637FD0">
            <w:pPr>
              <w:spacing w:line="400" w:lineRule="exact"/>
              <w:rPr>
                <w:rFonts w:ascii="宋体" w:hAnsi="宋体"/>
                <w:color w:val="auto"/>
                <w:sz w:val="18"/>
                <w:szCs w:val="18"/>
                <w:highlight w:val="none"/>
              </w:rPr>
            </w:pPr>
          </w:p>
        </w:tc>
        <w:tc>
          <w:tcPr>
            <w:tcW w:w="731" w:type="dxa"/>
            <w:vAlign w:val="top"/>
          </w:tcPr>
          <w:p w14:paraId="7A424821">
            <w:pPr>
              <w:spacing w:line="400" w:lineRule="exact"/>
              <w:rPr>
                <w:rFonts w:ascii="宋体" w:hAnsi="宋体"/>
                <w:color w:val="auto"/>
                <w:sz w:val="18"/>
                <w:szCs w:val="18"/>
                <w:highlight w:val="none"/>
              </w:rPr>
            </w:pPr>
          </w:p>
        </w:tc>
        <w:tc>
          <w:tcPr>
            <w:tcW w:w="645" w:type="dxa"/>
            <w:vAlign w:val="top"/>
          </w:tcPr>
          <w:p w14:paraId="53A4D3B6">
            <w:pPr>
              <w:spacing w:line="400" w:lineRule="exact"/>
              <w:rPr>
                <w:rFonts w:ascii="宋体" w:hAnsi="宋体"/>
                <w:color w:val="auto"/>
                <w:sz w:val="18"/>
                <w:szCs w:val="18"/>
                <w:highlight w:val="none"/>
              </w:rPr>
            </w:pPr>
          </w:p>
        </w:tc>
      </w:tr>
      <w:tr w14:paraId="4C9C3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7721D898">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11</w:t>
            </w:r>
          </w:p>
        </w:tc>
        <w:tc>
          <w:tcPr>
            <w:tcW w:w="10819" w:type="dxa"/>
            <w:vAlign w:val="center"/>
          </w:tcPr>
          <w:p w14:paraId="2E05BB02">
            <w:pPr>
              <w:rPr>
                <w:rFonts w:hint="eastAsia"/>
                <w:color w:val="auto"/>
                <w:sz w:val="18"/>
                <w:szCs w:val="18"/>
                <w:highlight w:val="none"/>
              </w:rPr>
            </w:pPr>
            <w:r>
              <w:rPr>
                <w:rFonts w:hint="eastAsia"/>
                <w:color w:val="auto"/>
                <w:sz w:val="18"/>
                <w:szCs w:val="18"/>
                <w:highlight w:val="none"/>
              </w:rPr>
              <w:t>投标人提供的《投标人声明》符合招标公告要求。</w:t>
            </w:r>
          </w:p>
        </w:tc>
        <w:tc>
          <w:tcPr>
            <w:tcW w:w="743" w:type="dxa"/>
            <w:vAlign w:val="top"/>
          </w:tcPr>
          <w:p w14:paraId="414C33BF">
            <w:pPr>
              <w:spacing w:line="400" w:lineRule="exact"/>
              <w:rPr>
                <w:rFonts w:ascii="宋体" w:hAnsi="宋体"/>
                <w:color w:val="auto"/>
                <w:sz w:val="18"/>
                <w:szCs w:val="18"/>
                <w:highlight w:val="none"/>
              </w:rPr>
            </w:pPr>
          </w:p>
        </w:tc>
        <w:tc>
          <w:tcPr>
            <w:tcW w:w="731" w:type="dxa"/>
            <w:vAlign w:val="top"/>
          </w:tcPr>
          <w:p w14:paraId="1AFA4D63">
            <w:pPr>
              <w:spacing w:line="400" w:lineRule="exact"/>
              <w:rPr>
                <w:rFonts w:ascii="宋体" w:hAnsi="宋体"/>
                <w:color w:val="auto"/>
                <w:sz w:val="18"/>
                <w:szCs w:val="18"/>
                <w:highlight w:val="none"/>
              </w:rPr>
            </w:pPr>
          </w:p>
        </w:tc>
        <w:tc>
          <w:tcPr>
            <w:tcW w:w="731" w:type="dxa"/>
            <w:vAlign w:val="top"/>
          </w:tcPr>
          <w:p w14:paraId="10C777D3">
            <w:pPr>
              <w:spacing w:line="400" w:lineRule="exact"/>
              <w:rPr>
                <w:rFonts w:ascii="宋体" w:hAnsi="宋体"/>
                <w:color w:val="auto"/>
                <w:sz w:val="18"/>
                <w:szCs w:val="18"/>
                <w:highlight w:val="none"/>
              </w:rPr>
            </w:pPr>
          </w:p>
        </w:tc>
        <w:tc>
          <w:tcPr>
            <w:tcW w:w="645" w:type="dxa"/>
            <w:vAlign w:val="top"/>
          </w:tcPr>
          <w:p w14:paraId="5B078224">
            <w:pPr>
              <w:spacing w:line="400" w:lineRule="exact"/>
              <w:rPr>
                <w:rFonts w:ascii="宋体" w:hAnsi="宋体"/>
                <w:color w:val="auto"/>
                <w:sz w:val="18"/>
                <w:szCs w:val="18"/>
                <w:highlight w:val="none"/>
              </w:rPr>
            </w:pPr>
          </w:p>
        </w:tc>
      </w:tr>
      <w:tr w14:paraId="64B1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7CBC6C92">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12</w:t>
            </w:r>
          </w:p>
        </w:tc>
        <w:tc>
          <w:tcPr>
            <w:tcW w:w="10819" w:type="dxa"/>
            <w:vAlign w:val="center"/>
          </w:tcPr>
          <w:p w14:paraId="75F3D500">
            <w:pPr>
              <w:rPr>
                <w:rFonts w:hint="eastAsia"/>
                <w:color w:val="auto"/>
                <w:sz w:val="18"/>
                <w:szCs w:val="18"/>
                <w:highlight w:val="none"/>
              </w:rPr>
            </w:pPr>
            <w:r>
              <w:rPr>
                <w:rFonts w:hint="eastAsia"/>
                <w:color w:val="auto"/>
                <w:sz w:val="18"/>
                <w:szCs w:val="18"/>
                <w:highlight w:val="none"/>
              </w:rPr>
              <w:t>联合体投标的提交联合体共同投标协议书，联合体组成符合招标公告要求。</w:t>
            </w:r>
          </w:p>
        </w:tc>
        <w:tc>
          <w:tcPr>
            <w:tcW w:w="743" w:type="dxa"/>
            <w:vAlign w:val="top"/>
          </w:tcPr>
          <w:p w14:paraId="3E1CC2D8">
            <w:pPr>
              <w:spacing w:line="400" w:lineRule="exact"/>
              <w:rPr>
                <w:rFonts w:ascii="宋体" w:hAnsi="宋体"/>
                <w:color w:val="auto"/>
                <w:sz w:val="18"/>
                <w:szCs w:val="18"/>
                <w:highlight w:val="none"/>
              </w:rPr>
            </w:pPr>
          </w:p>
        </w:tc>
        <w:tc>
          <w:tcPr>
            <w:tcW w:w="731" w:type="dxa"/>
            <w:vAlign w:val="top"/>
          </w:tcPr>
          <w:p w14:paraId="11C8EFA4">
            <w:pPr>
              <w:spacing w:line="400" w:lineRule="exact"/>
              <w:rPr>
                <w:rFonts w:ascii="宋体" w:hAnsi="宋体"/>
                <w:color w:val="auto"/>
                <w:sz w:val="18"/>
                <w:szCs w:val="18"/>
                <w:highlight w:val="none"/>
              </w:rPr>
            </w:pPr>
          </w:p>
        </w:tc>
        <w:tc>
          <w:tcPr>
            <w:tcW w:w="731" w:type="dxa"/>
            <w:vAlign w:val="top"/>
          </w:tcPr>
          <w:p w14:paraId="55D6E77D">
            <w:pPr>
              <w:spacing w:line="400" w:lineRule="exact"/>
              <w:rPr>
                <w:rFonts w:ascii="宋体" w:hAnsi="宋体"/>
                <w:color w:val="auto"/>
                <w:sz w:val="18"/>
                <w:szCs w:val="18"/>
                <w:highlight w:val="none"/>
              </w:rPr>
            </w:pPr>
          </w:p>
        </w:tc>
        <w:tc>
          <w:tcPr>
            <w:tcW w:w="645" w:type="dxa"/>
            <w:vAlign w:val="top"/>
          </w:tcPr>
          <w:p w14:paraId="66B28130">
            <w:pPr>
              <w:spacing w:line="400" w:lineRule="exact"/>
              <w:rPr>
                <w:rFonts w:ascii="宋体" w:hAnsi="宋体"/>
                <w:color w:val="auto"/>
                <w:sz w:val="18"/>
                <w:szCs w:val="18"/>
                <w:highlight w:val="none"/>
              </w:rPr>
            </w:pPr>
          </w:p>
        </w:tc>
      </w:tr>
      <w:tr w14:paraId="1648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5CB179F9">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13</w:t>
            </w:r>
          </w:p>
        </w:tc>
        <w:tc>
          <w:tcPr>
            <w:tcW w:w="10819" w:type="dxa"/>
            <w:vAlign w:val="center"/>
          </w:tcPr>
          <w:p w14:paraId="024A3AB5">
            <w:pPr>
              <w:rPr>
                <w:rFonts w:hint="eastAsia" w:eastAsia="宋体"/>
                <w:color w:val="auto"/>
                <w:sz w:val="18"/>
                <w:szCs w:val="18"/>
                <w:highlight w:val="none"/>
              </w:rPr>
            </w:pPr>
            <w:r>
              <w:rPr>
                <w:rFonts w:hint="eastAsia" w:eastAsia="宋体"/>
                <w:color w:val="auto"/>
                <w:sz w:val="18"/>
                <w:szCs w:val="18"/>
                <w:highlight w:val="none"/>
              </w:rPr>
              <w:t>投标人（若为联合体，指联合体各方）未出现以下情形：与其它投标人的单位负责人为同一人或者存在控股、管理关系的（按投标人提供的《投标人声明》第八条内容进行评审）。</w:t>
            </w:r>
          </w:p>
        </w:tc>
        <w:tc>
          <w:tcPr>
            <w:tcW w:w="743" w:type="dxa"/>
            <w:vAlign w:val="top"/>
          </w:tcPr>
          <w:p w14:paraId="470AAF63">
            <w:pPr>
              <w:spacing w:line="400" w:lineRule="exact"/>
              <w:rPr>
                <w:rFonts w:ascii="宋体" w:hAnsi="宋体"/>
                <w:color w:val="auto"/>
                <w:sz w:val="18"/>
                <w:szCs w:val="18"/>
                <w:highlight w:val="none"/>
              </w:rPr>
            </w:pPr>
          </w:p>
        </w:tc>
        <w:tc>
          <w:tcPr>
            <w:tcW w:w="731" w:type="dxa"/>
            <w:vAlign w:val="top"/>
          </w:tcPr>
          <w:p w14:paraId="3B03E191">
            <w:pPr>
              <w:spacing w:line="400" w:lineRule="exact"/>
              <w:rPr>
                <w:rFonts w:ascii="宋体" w:hAnsi="宋体"/>
                <w:color w:val="auto"/>
                <w:sz w:val="18"/>
                <w:szCs w:val="18"/>
                <w:highlight w:val="none"/>
              </w:rPr>
            </w:pPr>
          </w:p>
        </w:tc>
        <w:tc>
          <w:tcPr>
            <w:tcW w:w="731" w:type="dxa"/>
            <w:vAlign w:val="top"/>
          </w:tcPr>
          <w:p w14:paraId="18B7362E">
            <w:pPr>
              <w:spacing w:line="400" w:lineRule="exact"/>
              <w:rPr>
                <w:rFonts w:ascii="宋体" w:hAnsi="宋体"/>
                <w:color w:val="auto"/>
                <w:sz w:val="18"/>
                <w:szCs w:val="18"/>
                <w:highlight w:val="none"/>
              </w:rPr>
            </w:pPr>
          </w:p>
        </w:tc>
        <w:tc>
          <w:tcPr>
            <w:tcW w:w="645" w:type="dxa"/>
            <w:vAlign w:val="top"/>
          </w:tcPr>
          <w:p w14:paraId="324E0685">
            <w:pPr>
              <w:spacing w:line="400" w:lineRule="exact"/>
              <w:rPr>
                <w:rFonts w:ascii="宋体" w:hAnsi="宋体"/>
                <w:color w:val="auto"/>
                <w:sz w:val="18"/>
                <w:szCs w:val="18"/>
                <w:highlight w:val="none"/>
              </w:rPr>
            </w:pPr>
          </w:p>
        </w:tc>
      </w:tr>
      <w:tr w14:paraId="30511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06FA1FCF">
            <w:pPr>
              <w:spacing w:line="400" w:lineRule="exact"/>
              <w:jc w:val="center"/>
              <w:rPr>
                <w:rFonts w:hint="eastAsia" w:ascii="宋体" w:hAnsi="宋体"/>
                <w:color w:val="auto"/>
                <w:sz w:val="18"/>
                <w:szCs w:val="18"/>
                <w:highlight w:val="none"/>
                <w:lang w:val="en-US" w:eastAsia="zh-CN" w:bidi="ar-SA"/>
              </w:rPr>
            </w:pPr>
            <w:r>
              <w:rPr>
                <w:rFonts w:hint="eastAsia" w:ascii="宋体" w:hAnsi="宋体"/>
                <w:color w:val="auto"/>
                <w:sz w:val="18"/>
                <w:szCs w:val="18"/>
                <w:highlight w:val="none"/>
                <w:lang w:val="en-US" w:eastAsia="zh-CN" w:bidi="ar-SA"/>
              </w:rPr>
              <w:t>14</w:t>
            </w:r>
          </w:p>
        </w:tc>
        <w:tc>
          <w:tcPr>
            <w:tcW w:w="10819" w:type="dxa"/>
            <w:vAlign w:val="center"/>
          </w:tcPr>
          <w:p w14:paraId="560E4611">
            <w:pPr>
              <w:rPr>
                <w:rFonts w:hint="eastAsia" w:eastAsia="宋体"/>
                <w:color w:val="auto"/>
                <w:sz w:val="18"/>
                <w:szCs w:val="18"/>
                <w:highlight w:val="none"/>
              </w:rPr>
            </w:pPr>
            <w:r>
              <w:rPr>
                <w:rFonts w:hint="eastAsia" w:eastAsia="宋体"/>
                <w:color w:val="auto"/>
                <w:sz w:val="18"/>
                <w:szCs w:val="18"/>
                <w:highlight w:val="none"/>
              </w:rPr>
              <w:t>投标人（若为联合体，指联合体各方）</w:t>
            </w:r>
            <w:r>
              <w:rPr>
                <w:rFonts w:hint="eastAsia" w:ascii="Calibri" w:hAnsi="Calibri" w:eastAsia="宋体"/>
                <w:b w:val="0"/>
                <w:bCs w:val="0"/>
                <w:color w:val="auto"/>
                <w:kern w:val="0"/>
                <w:sz w:val="18"/>
                <w:szCs w:val="18"/>
                <w:highlight w:val="none"/>
              </w:rPr>
              <w:t>未被列入拖欠农民工工资失信联合惩戒对象名单</w:t>
            </w:r>
            <w:r>
              <w:rPr>
                <w:rFonts w:hint="eastAsia" w:eastAsia="宋体"/>
                <w:color w:val="auto"/>
                <w:sz w:val="18"/>
                <w:szCs w:val="18"/>
                <w:highlight w:val="none"/>
              </w:rPr>
              <w:t>。</w:t>
            </w:r>
          </w:p>
        </w:tc>
        <w:tc>
          <w:tcPr>
            <w:tcW w:w="743" w:type="dxa"/>
            <w:vAlign w:val="top"/>
          </w:tcPr>
          <w:p w14:paraId="7964AE85">
            <w:pPr>
              <w:spacing w:line="400" w:lineRule="exact"/>
              <w:rPr>
                <w:rFonts w:ascii="宋体" w:hAnsi="宋体"/>
                <w:color w:val="auto"/>
                <w:sz w:val="18"/>
                <w:szCs w:val="18"/>
                <w:highlight w:val="none"/>
              </w:rPr>
            </w:pPr>
          </w:p>
        </w:tc>
        <w:tc>
          <w:tcPr>
            <w:tcW w:w="731" w:type="dxa"/>
            <w:vAlign w:val="top"/>
          </w:tcPr>
          <w:p w14:paraId="77C83A4E">
            <w:pPr>
              <w:spacing w:line="400" w:lineRule="exact"/>
              <w:rPr>
                <w:rFonts w:ascii="宋体" w:hAnsi="宋体"/>
                <w:color w:val="auto"/>
                <w:sz w:val="18"/>
                <w:szCs w:val="18"/>
                <w:highlight w:val="none"/>
              </w:rPr>
            </w:pPr>
          </w:p>
        </w:tc>
        <w:tc>
          <w:tcPr>
            <w:tcW w:w="731" w:type="dxa"/>
            <w:vAlign w:val="top"/>
          </w:tcPr>
          <w:p w14:paraId="57A080C0">
            <w:pPr>
              <w:spacing w:line="400" w:lineRule="exact"/>
              <w:rPr>
                <w:rFonts w:ascii="宋体" w:hAnsi="宋体"/>
                <w:color w:val="auto"/>
                <w:sz w:val="18"/>
                <w:szCs w:val="18"/>
                <w:highlight w:val="none"/>
              </w:rPr>
            </w:pPr>
          </w:p>
        </w:tc>
        <w:tc>
          <w:tcPr>
            <w:tcW w:w="645" w:type="dxa"/>
            <w:vAlign w:val="top"/>
          </w:tcPr>
          <w:p w14:paraId="7AB62D42">
            <w:pPr>
              <w:spacing w:line="400" w:lineRule="exact"/>
              <w:rPr>
                <w:rFonts w:ascii="宋体" w:hAnsi="宋体"/>
                <w:color w:val="auto"/>
                <w:sz w:val="18"/>
                <w:szCs w:val="18"/>
                <w:highlight w:val="none"/>
              </w:rPr>
            </w:pPr>
          </w:p>
        </w:tc>
      </w:tr>
      <w:tr w14:paraId="089D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0" w:hRule="atLeast"/>
        </w:trPr>
        <w:tc>
          <w:tcPr>
            <w:tcW w:w="11349" w:type="dxa"/>
            <w:gridSpan w:val="2"/>
            <w:vAlign w:val="center"/>
          </w:tcPr>
          <w:p w14:paraId="7878AB9C">
            <w:pPr>
              <w:spacing w:line="360" w:lineRule="exact"/>
              <w:jc w:val="center"/>
              <w:rPr>
                <w:rFonts w:hint="eastAsia"/>
                <w:color w:val="auto"/>
                <w:sz w:val="18"/>
                <w:szCs w:val="18"/>
                <w:highlight w:val="none"/>
              </w:rPr>
            </w:pPr>
            <w:r>
              <w:rPr>
                <w:rFonts w:hint="eastAsia"/>
                <w:color w:val="auto"/>
                <w:sz w:val="18"/>
                <w:szCs w:val="18"/>
                <w:highlight w:val="none"/>
              </w:rPr>
              <w:t>结论</w:t>
            </w:r>
          </w:p>
        </w:tc>
        <w:tc>
          <w:tcPr>
            <w:tcW w:w="743" w:type="dxa"/>
            <w:vAlign w:val="top"/>
          </w:tcPr>
          <w:p w14:paraId="6FC9EE7F">
            <w:pPr>
              <w:spacing w:line="400" w:lineRule="exact"/>
              <w:rPr>
                <w:rFonts w:ascii="宋体" w:hAnsi="宋体"/>
                <w:color w:val="auto"/>
                <w:sz w:val="18"/>
                <w:szCs w:val="18"/>
                <w:highlight w:val="none"/>
              </w:rPr>
            </w:pPr>
          </w:p>
        </w:tc>
        <w:tc>
          <w:tcPr>
            <w:tcW w:w="731" w:type="dxa"/>
            <w:vAlign w:val="top"/>
          </w:tcPr>
          <w:p w14:paraId="61B306AD">
            <w:pPr>
              <w:spacing w:line="400" w:lineRule="exact"/>
              <w:rPr>
                <w:rFonts w:ascii="宋体" w:hAnsi="宋体"/>
                <w:color w:val="auto"/>
                <w:sz w:val="18"/>
                <w:szCs w:val="18"/>
                <w:highlight w:val="none"/>
              </w:rPr>
            </w:pPr>
          </w:p>
        </w:tc>
        <w:tc>
          <w:tcPr>
            <w:tcW w:w="731" w:type="dxa"/>
            <w:vAlign w:val="top"/>
          </w:tcPr>
          <w:p w14:paraId="5374F6F4">
            <w:pPr>
              <w:spacing w:line="400" w:lineRule="exact"/>
              <w:rPr>
                <w:rFonts w:ascii="宋体" w:hAnsi="宋体"/>
                <w:color w:val="auto"/>
                <w:sz w:val="18"/>
                <w:szCs w:val="18"/>
                <w:highlight w:val="none"/>
              </w:rPr>
            </w:pPr>
          </w:p>
        </w:tc>
        <w:tc>
          <w:tcPr>
            <w:tcW w:w="645" w:type="dxa"/>
            <w:vAlign w:val="top"/>
          </w:tcPr>
          <w:p w14:paraId="56A1120D">
            <w:pPr>
              <w:spacing w:line="400" w:lineRule="exact"/>
              <w:rPr>
                <w:rFonts w:ascii="宋体" w:hAnsi="宋体"/>
                <w:color w:val="auto"/>
                <w:sz w:val="18"/>
                <w:szCs w:val="18"/>
                <w:highlight w:val="none"/>
              </w:rPr>
            </w:pPr>
          </w:p>
        </w:tc>
      </w:tr>
    </w:tbl>
    <w:p w14:paraId="7666FE8B">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注：1.每一项目符合有效的记“通过”无效的记“不通过”，全部审查项目均为有效的，结论为“通过”，否则为“不通过”。2.如对本表中某种情形的评审意见不一致时，以评审组过半数成员的意见作为评审组对该情形的认定结论。3.资格审查资料按招标公告要求提供。4.</w:t>
      </w:r>
      <w:r>
        <w:rPr>
          <w:rFonts w:ascii="宋体" w:hAnsi="宋体"/>
          <w:color w:val="auto"/>
          <w:sz w:val="18"/>
          <w:szCs w:val="18"/>
          <w:highlight w:val="none"/>
        </w:rPr>
        <w:t>不得将</w:t>
      </w:r>
      <w:r>
        <w:rPr>
          <w:rFonts w:hint="eastAsia" w:ascii="宋体" w:hAnsi="宋体"/>
          <w:color w:val="auto"/>
          <w:sz w:val="18"/>
          <w:szCs w:val="18"/>
          <w:highlight w:val="none"/>
        </w:rPr>
        <w:t>文件顺序、</w:t>
      </w:r>
      <w:r>
        <w:rPr>
          <w:rFonts w:ascii="宋体" w:hAnsi="宋体"/>
          <w:color w:val="auto"/>
          <w:sz w:val="18"/>
          <w:szCs w:val="18"/>
          <w:highlight w:val="none"/>
        </w:rPr>
        <w:t>明显的文字错误等列为否</w:t>
      </w:r>
      <w:r>
        <w:rPr>
          <w:rFonts w:hint="eastAsia" w:ascii="宋体" w:hAnsi="宋体"/>
          <w:color w:val="auto"/>
          <w:sz w:val="18"/>
          <w:szCs w:val="18"/>
          <w:highlight w:val="none"/>
        </w:rPr>
        <w:t>决</w:t>
      </w:r>
      <w:r>
        <w:rPr>
          <w:rFonts w:ascii="宋体" w:hAnsi="宋体"/>
          <w:color w:val="auto"/>
          <w:sz w:val="18"/>
          <w:szCs w:val="18"/>
          <w:highlight w:val="none"/>
        </w:rPr>
        <w:t>投标的</w:t>
      </w:r>
      <w:r>
        <w:rPr>
          <w:rFonts w:hint="eastAsia" w:ascii="宋体" w:hAnsi="宋体"/>
          <w:color w:val="auto"/>
          <w:sz w:val="18"/>
          <w:szCs w:val="18"/>
          <w:highlight w:val="none"/>
        </w:rPr>
        <w:t>情形。评委</w:t>
      </w:r>
      <w:r>
        <w:rPr>
          <w:rFonts w:ascii="宋体" w:hAnsi="宋体"/>
          <w:color w:val="auto"/>
          <w:sz w:val="18"/>
          <w:szCs w:val="18"/>
          <w:highlight w:val="none"/>
        </w:rPr>
        <w:t>发现</w:t>
      </w:r>
      <w:r>
        <w:rPr>
          <w:rFonts w:hint="eastAsia" w:ascii="宋体" w:hAnsi="宋体"/>
          <w:color w:val="auto"/>
          <w:sz w:val="18"/>
          <w:szCs w:val="18"/>
          <w:highlight w:val="none"/>
        </w:rPr>
        <w:t>资格审查文件</w:t>
      </w:r>
      <w:r>
        <w:rPr>
          <w:rFonts w:ascii="宋体" w:hAnsi="宋体"/>
          <w:color w:val="auto"/>
          <w:sz w:val="18"/>
          <w:szCs w:val="18"/>
          <w:highlight w:val="none"/>
        </w:rPr>
        <w:t>中</w:t>
      </w:r>
      <w:r>
        <w:rPr>
          <w:rFonts w:hint="eastAsia" w:ascii="宋体" w:hAnsi="宋体"/>
          <w:color w:val="auto"/>
          <w:sz w:val="18"/>
          <w:szCs w:val="18"/>
          <w:highlight w:val="none"/>
        </w:rPr>
        <w:t>含义不明确</w:t>
      </w:r>
      <w:r>
        <w:rPr>
          <w:rFonts w:ascii="宋体" w:hAnsi="宋体"/>
          <w:color w:val="auto"/>
          <w:sz w:val="18"/>
          <w:szCs w:val="18"/>
          <w:highlight w:val="none"/>
        </w:rPr>
        <w:t>、对同类问题表述不一致、有明显</w:t>
      </w:r>
      <w:r>
        <w:rPr>
          <w:rFonts w:hint="eastAsia" w:ascii="宋体" w:hAnsi="宋体"/>
          <w:color w:val="auto"/>
          <w:sz w:val="18"/>
          <w:szCs w:val="18"/>
          <w:highlight w:val="none"/>
        </w:rPr>
        <w:t>文字</w:t>
      </w:r>
      <w:r>
        <w:rPr>
          <w:rFonts w:ascii="宋体" w:hAnsi="宋体"/>
          <w:color w:val="auto"/>
          <w:sz w:val="18"/>
          <w:szCs w:val="18"/>
          <w:highlight w:val="none"/>
        </w:rPr>
        <w:t>和计算错误的，应当</w:t>
      </w:r>
      <w:r>
        <w:rPr>
          <w:rFonts w:hint="eastAsia" w:ascii="宋体" w:hAnsi="宋体"/>
          <w:color w:val="auto"/>
          <w:sz w:val="18"/>
          <w:szCs w:val="18"/>
          <w:highlight w:val="none"/>
        </w:rPr>
        <w:t>要求</w:t>
      </w:r>
      <w:r>
        <w:rPr>
          <w:rFonts w:ascii="宋体" w:hAnsi="宋体"/>
          <w:color w:val="auto"/>
          <w:sz w:val="18"/>
          <w:szCs w:val="18"/>
          <w:highlight w:val="none"/>
        </w:rPr>
        <w:t>投标人作必要的澄清、说明</w:t>
      </w:r>
      <w:r>
        <w:rPr>
          <w:rFonts w:hint="eastAsia" w:ascii="宋体" w:hAnsi="宋体"/>
          <w:color w:val="auto"/>
          <w:sz w:val="18"/>
          <w:szCs w:val="18"/>
          <w:highlight w:val="none"/>
        </w:rPr>
        <w:t>后再判定投标人是否通过资格审查</w:t>
      </w:r>
      <w:r>
        <w:rPr>
          <w:rFonts w:ascii="宋体" w:hAnsi="宋体"/>
          <w:color w:val="auto"/>
          <w:sz w:val="18"/>
          <w:szCs w:val="18"/>
          <w:highlight w:val="none"/>
        </w:rPr>
        <w:t>，不得直接</w:t>
      </w:r>
      <w:r>
        <w:rPr>
          <w:rFonts w:hint="eastAsia" w:ascii="宋体" w:hAnsi="宋体"/>
          <w:color w:val="auto"/>
          <w:sz w:val="18"/>
          <w:szCs w:val="18"/>
          <w:highlight w:val="none"/>
        </w:rPr>
        <w:t>认定其不通过资格审查。</w:t>
      </w:r>
    </w:p>
    <w:p w14:paraId="5C956A78">
      <w:pPr>
        <w:spacing w:line="240" w:lineRule="exact"/>
        <w:rPr>
          <w:rFonts w:hint="eastAsia" w:ascii="宋体" w:hAnsi="宋体"/>
          <w:color w:val="auto"/>
          <w:sz w:val="18"/>
          <w:szCs w:val="18"/>
          <w:highlight w:val="none"/>
        </w:rPr>
      </w:pPr>
    </w:p>
    <w:p w14:paraId="66E42E6F">
      <w:pPr>
        <w:spacing w:line="240" w:lineRule="exact"/>
        <w:rPr>
          <w:rFonts w:hint="eastAsia" w:ascii="宋体" w:hAnsi="宋体"/>
          <w:color w:val="auto"/>
          <w:sz w:val="18"/>
          <w:szCs w:val="18"/>
          <w:highlight w:val="none"/>
        </w:rPr>
        <w:sectPr>
          <w:pgSz w:w="16840" w:h="11907" w:orient="landscape"/>
          <w:pgMar w:top="1104" w:right="1361" w:bottom="1304" w:left="1304" w:header="851" w:footer="720" w:gutter="0"/>
          <w:cols w:space="720" w:num="1"/>
          <w:docGrid w:linePitch="0" w:charSpace="0"/>
        </w:sectPr>
      </w:pPr>
      <w:r>
        <w:rPr>
          <w:rFonts w:hint="eastAsia" w:ascii="宋体" w:hAnsi="宋体"/>
          <w:color w:val="auto"/>
          <w:sz w:val="18"/>
          <w:szCs w:val="18"/>
          <w:highlight w:val="none"/>
        </w:rPr>
        <w:t>评委签名：                                                                        日期：</w:t>
      </w:r>
    </w:p>
    <w:p w14:paraId="6C72AE08">
      <w:pPr>
        <w:widowControl/>
        <w:jc w:val="left"/>
        <w:rPr>
          <w:rFonts w:hint="eastAsia" w:ascii="宋体" w:hAnsi="宋体"/>
          <w:b/>
          <w:color w:val="auto"/>
          <w:kern w:val="1"/>
          <w:sz w:val="24"/>
          <w:szCs w:val="24"/>
          <w:highlight w:val="none"/>
        </w:rPr>
      </w:pPr>
      <w:bookmarkStart w:id="517" w:name="_Hlk56515308"/>
      <w:r>
        <w:rPr>
          <w:rFonts w:hint="eastAsia" w:ascii="宋体" w:hAnsi="宋体"/>
          <w:b/>
          <w:color w:val="auto"/>
          <w:kern w:val="1"/>
          <w:sz w:val="24"/>
          <w:szCs w:val="24"/>
          <w:highlight w:val="none"/>
        </w:rPr>
        <w:t>附表</w:t>
      </w:r>
      <w:r>
        <w:rPr>
          <w:rFonts w:hint="eastAsia" w:ascii="宋体" w:hAnsi="宋体"/>
          <w:b/>
          <w:color w:val="auto"/>
          <w:kern w:val="1"/>
          <w:sz w:val="24"/>
          <w:szCs w:val="24"/>
          <w:highlight w:val="none"/>
          <w:lang w:val="en-US" w:eastAsia="zh-CN"/>
        </w:rPr>
        <w:t>2</w:t>
      </w:r>
    </w:p>
    <w:p w14:paraId="24D5AB6F">
      <w:pPr>
        <w:spacing w:line="360" w:lineRule="auto"/>
        <w:jc w:val="center"/>
        <w:rPr>
          <w:rFonts w:hint="eastAsia" w:ascii="宋体" w:hAnsi="宋体"/>
          <w:b/>
          <w:color w:val="auto"/>
          <w:kern w:val="1"/>
          <w:sz w:val="28"/>
          <w:szCs w:val="28"/>
          <w:highlight w:val="none"/>
        </w:rPr>
      </w:pPr>
      <w:r>
        <w:rPr>
          <w:rFonts w:hint="eastAsia" w:ascii="宋体" w:hAnsi="宋体"/>
          <w:b/>
          <w:color w:val="auto"/>
          <w:kern w:val="1"/>
          <w:sz w:val="28"/>
          <w:szCs w:val="28"/>
          <w:highlight w:val="none"/>
        </w:rPr>
        <w:t>设计方案评分表</w:t>
      </w:r>
    </w:p>
    <w:tbl>
      <w:tblPr>
        <w:tblStyle w:val="5"/>
        <w:tblW w:w="14543" w:type="dxa"/>
        <w:tblInd w:w="-1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9"/>
        <w:gridCol w:w="1733"/>
        <w:gridCol w:w="759"/>
        <w:gridCol w:w="10621"/>
        <w:gridCol w:w="901"/>
      </w:tblGrid>
      <w:tr w14:paraId="1BCBB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3F28C006">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序号</w:t>
            </w:r>
          </w:p>
        </w:tc>
        <w:tc>
          <w:tcPr>
            <w:tcW w:w="1733" w:type="dxa"/>
            <w:vAlign w:val="center"/>
          </w:tcPr>
          <w:p w14:paraId="20B41198">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评审因素</w:t>
            </w:r>
          </w:p>
        </w:tc>
        <w:tc>
          <w:tcPr>
            <w:tcW w:w="759" w:type="dxa"/>
            <w:vAlign w:val="center"/>
          </w:tcPr>
          <w:p w14:paraId="699EB081">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分值</w:t>
            </w:r>
          </w:p>
        </w:tc>
        <w:tc>
          <w:tcPr>
            <w:tcW w:w="10621" w:type="dxa"/>
            <w:vAlign w:val="center"/>
          </w:tcPr>
          <w:p w14:paraId="1F40746F">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评分标准</w:t>
            </w:r>
          </w:p>
        </w:tc>
        <w:tc>
          <w:tcPr>
            <w:tcW w:w="901" w:type="dxa"/>
            <w:vAlign w:val="center"/>
          </w:tcPr>
          <w:p w14:paraId="564E34EB">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得分</w:t>
            </w:r>
          </w:p>
        </w:tc>
      </w:tr>
      <w:tr w14:paraId="4ABC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3C98C031">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1</w:t>
            </w:r>
          </w:p>
        </w:tc>
        <w:tc>
          <w:tcPr>
            <w:tcW w:w="1733" w:type="dxa"/>
            <w:vAlign w:val="center"/>
          </w:tcPr>
          <w:p w14:paraId="630C603D">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项目背景与现场情况分析</w:t>
            </w:r>
          </w:p>
        </w:tc>
        <w:tc>
          <w:tcPr>
            <w:tcW w:w="759" w:type="dxa"/>
            <w:vAlign w:val="center"/>
          </w:tcPr>
          <w:p w14:paraId="67F4C991">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15</w:t>
            </w:r>
          </w:p>
        </w:tc>
        <w:tc>
          <w:tcPr>
            <w:tcW w:w="10621" w:type="dxa"/>
            <w:vAlign w:val="center"/>
          </w:tcPr>
          <w:p w14:paraId="16CAD983">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优</w:t>
            </w:r>
            <w:r>
              <w:rPr>
                <w:rFonts w:hint="eastAsia" w:ascii="宋体" w:hAnsi="宋体" w:eastAsia="宋体"/>
                <w:color w:val="auto"/>
                <w:kern w:val="0"/>
                <w:sz w:val="21"/>
                <w:szCs w:val="21"/>
                <w:highlight w:val="none"/>
                <w:lang w:val="en-US" w:eastAsia="zh-CN" w:bidi="ar"/>
              </w:rPr>
              <w:t>：项目背景阐述清晰，对项目特点和建设目标理解准确，进行过现场踏勘，熟悉现场情况；对于环境损害情况及鉴定情况熟悉，了解治理场地的水文地质情况，得</w:t>
            </w:r>
            <w:r>
              <w:rPr>
                <w:rFonts w:ascii="Calibri" w:hAnsi="Calibri" w:eastAsia="宋体"/>
                <w:color w:val="auto"/>
                <w:kern w:val="0"/>
                <w:sz w:val="21"/>
                <w:szCs w:val="21"/>
                <w:highlight w:val="none"/>
                <w:lang w:val="en-US" w:eastAsia="zh-CN" w:bidi="ar"/>
              </w:rPr>
              <w:t>15</w:t>
            </w:r>
            <w:r>
              <w:rPr>
                <w:rFonts w:hint="eastAsia" w:ascii="宋体" w:hAnsi="宋体" w:eastAsia="宋体"/>
                <w:color w:val="auto"/>
                <w:kern w:val="0"/>
                <w:sz w:val="21"/>
                <w:szCs w:val="21"/>
                <w:highlight w:val="none"/>
                <w:lang w:val="en-US" w:eastAsia="zh-CN" w:bidi="ar"/>
              </w:rPr>
              <w:t>分；</w:t>
            </w:r>
          </w:p>
          <w:p w14:paraId="6B5F4F9B">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良</w:t>
            </w:r>
            <w:r>
              <w:rPr>
                <w:rFonts w:hint="eastAsia" w:ascii="宋体" w:hAnsi="宋体" w:eastAsia="宋体"/>
                <w:color w:val="auto"/>
                <w:kern w:val="0"/>
                <w:sz w:val="21"/>
                <w:szCs w:val="21"/>
                <w:highlight w:val="none"/>
                <w:lang w:val="en-US" w:eastAsia="zh-CN" w:bidi="ar"/>
              </w:rPr>
              <w:t>：项目背景阐述清晰，对项目特点和建设目标理解基本准确，进行过现场踏勘，基本熟悉现场情况；对于环境损害情况及鉴定情况基本熟悉，基本了解治理场地的水文地质情况，得</w:t>
            </w:r>
            <w:r>
              <w:rPr>
                <w:rFonts w:ascii="Calibri" w:hAnsi="Calibri" w:eastAsia="宋体"/>
                <w:color w:val="auto"/>
                <w:kern w:val="0"/>
                <w:sz w:val="21"/>
                <w:szCs w:val="21"/>
                <w:highlight w:val="none"/>
                <w:lang w:val="en-US" w:eastAsia="zh-CN" w:bidi="ar"/>
              </w:rPr>
              <w:t>12</w:t>
            </w:r>
            <w:r>
              <w:rPr>
                <w:rFonts w:hint="eastAsia" w:ascii="宋体" w:hAnsi="宋体" w:eastAsia="宋体"/>
                <w:color w:val="auto"/>
                <w:kern w:val="0"/>
                <w:sz w:val="21"/>
                <w:szCs w:val="21"/>
                <w:highlight w:val="none"/>
                <w:lang w:val="en-US" w:eastAsia="zh-CN" w:bidi="ar"/>
              </w:rPr>
              <w:t>分；</w:t>
            </w:r>
          </w:p>
          <w:p w14:paraId="4694A358">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中</w:t>
            </w:r>
            <w:r>
              <w:rPr>
                <w:rFonts w:hint="eastAsia" w:ascii="宋体" w:hAnsi="宋体" w:eastAsia="宋体"/>
                <w:color w:val="auto"/>
                <w:kern w:val="0"/>
                <w:sz w:val="21"/>
                <w:szCs w:val="21"/>
                <w:highlight w:val="none"/>
                <w:lang w:val="en-US" w:eastAsia="zh-CN" w:bidi="ar"/>
              </w:rPr>
              <w:t>：项目背景阐述欠清晰，对项目特点和建设目标理解不准确，进行过现场踏勘，对现场情况不熟悉；对于环境损害情况及鉴定情况不够熟悉，了解治理场地的水文地质情况不准确得</w:t>
            </w:r>
            <w:r>
              <w:rPr>
                <w:rFonts w:ascii="Calibri" w:hAnsi="Calibri" w:eastAsia="宋体"/>
                <w:color w:val="auto"/>
                <w:kern w:val="0"/>
                <w:sz w:val="21"/>
                <w:szCs w:val="21"/>
                <w:highlight w:val="none"/>
                <w:lang w:val="en-US" w:eastAsia="zh-CN" w:bidi="ar"/>
              </w:rPr>
              <w:t>9</w:t>
            </w:r>
            <w:r>
              <w:rPr>
                <w:rFonts w:hint="eastAsia" w:ascii="宋体" w:hAnsi="宋体" w:eastAsia="宋体"/>
                <w:color w:val="auto"/>
                <w:kern w:val="0"/>
                <w:sz w:val="21"/>
                <w:szCs w:val="21"/>
                <w:highlight w:val="none"/>
                <w:lang w:val="en-US" w:eastAsia="zh-CN" w:bidi="ar"/>
              </w:rPr>
              <w:t>分；</w:t>
            </w:r>
          </w:p>
          <w:p w14:paraId="63245AED">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差</w:t>
            </w:r>
            <w:r>
              <w:rPr>
                <w:rFonts w:hint="eastAsia" w:ascii="宋体" w:hAnsi="宋体" w:eastAsia="宋体"/>
                <w:color w:val="auto"/>
                <w:kern w:val="0"/>
                <w:sz w:val="21"/>
                <w:szCs w:val="21"/>
                <w:highlight w:val="none"/>
                <w:lang w:val="en-US" w:eastAsia="zh-CN" w:bidi="ar"/>
              </w:rPr>
              <w:t>：不满足</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优</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良</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中</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得评分标准，得</w:t>
            </w:r>
            <w:r>
              <w:rPr>
                <w:rFonts w:hint="eastAsia" w:eastAsia="宋体"/>
                <w:color w:val="auto"/>
                <w:kern w:val="0"/>
                <w:sz w:val="21"/>
                <w:szCs w:val="21"/>
                <w:highlight w:val="none"/>
                <w:lang w:val="en-US" w:eastAsia="zh-CN" w:bidi="ar"/>
              </w:rPr>
              <w:t>0</w:t>
            </w:r>
            <w:r>
              <w:rPr>
                <w:rFonts w:hint="eastAsia" w:ascii="宋体" w:hAnsi="宋体" w:eastAsia="宋体"/>
                <w:color w:val="auto"/>
                <w:kern w:val="0"/>
                <w:sz w:val="21"/>
                <w:szCs w:val="21"/>
                <w:highlight w:val="none"/>
                <w:lang w:val="en-US" w:eastAsia="zh-CN" w:bidi="ar"/>
              </w:rPr>
              <w:t>分。</w:t>
            </w:r>
          </w:p>
        </w:tc>
        <w:tc>
          <w:tcPr>
            <w:tcW w:w="901" w:type="dxa"/>
            <w:vAlign w:val="center"/>
          </w:tcPr>
          <w:p w14:paraId="54A2DE81">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r>
      <w:tr w14:paraId="090C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0460237C">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2</w:t>
            </w:r>
          </w:p>
        </w:tc>
        <w:tc>
          <w:tcPr>
            <w:tcW w:w="1733" w:type="dxa"/>
            <w:vAlign w:val="center"/>
          </w:tcPr>
          <w:p w14:paraId="799249F9">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总体工艺路线</w:t>
            </w:r>
          </w:p>
        </w:tc>
        <w:tc>
          <w:tcPr>
            <w:tcW w:w="759" w:type="dxa"/>
            <w:vAlign w:val="center"/>
          </w:tcPr>
          <w:p w14:paraId="735D7445">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15</w:t>
            </w:r>
          </w:p>
        </w:tc>
        <w:tc>
          <w:tcPr>
            <w:tcW w:w="10621" w:type="dxa"/>
            <w:vAlign w:val="center"/>
          </w:tcPr>
          <w:p w14:paraId="571D9E29">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结合本项目实际特点及工程案例情况，制定本项目工艺技术路线，总体工艺路线科学、合理，符合项目实际情况，可操作性性强，主要工艺方案经济节能环保。投标人之间横向比较：</w:t>
            </w:r>
          </w:p>
          <w:p w14:paraId="3C40A195">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优</w:t>
            </w:r>
            <w:r>
              <w:rPr>
                <w:rFonts w:hint="eastAsia" w:ascii="宋体" w:hAnsi="宋体" w:eastAsia="宋体"/>
                <w:color w:val="auto"/>
                <w:kern w:val="0"/>
                <w:sz w:val="21"/>
                <w:szCs w:val="21"/>
                <w:highlight w:val="none"/>
                <w:lang w:val="en-US" w:eastAsia="zh-CN" w:bidi="ar"/>
              </w:rPr>
              <w:t>：得</w:t>
            </w:r>
            <w:r>
              <w:rPr>
                <w:rFonts w:ascii="Calibri" w:hAnsi="Calibri" w:eastAsia="宋体"/>
                <w:color w:val="auto"/>
                <w:kern w:val="0"/>
                <w:sz w:val="21"/>
                <w:szCs w:val="21"/>
                <w:highlight w:val="none"/>
                <w:lang w:val="en-US" w:eastAsia="zh-CN" w:bidi="ar"/>
              </w:rPr>
              <w:t>15</w:t>
            </w:r>
            <w:r>
              <w:rPr>
                <w:rFonts w:hint="eastAsia" w:ascii="宋体" w:hAnsi="宋体" w:eastAsia="宋体"/>
                <w:color w:val="auto"/>
                <w:kern w:val="0"/>
                <w:sz w:val="21"/>
                <w:szCs w:val="21"/>
                <w:highlight w:val="none"/>
                <w:lang w:val="en-US" w:eastAsia="zh-CN" w:bidi="ar"/>
              </w:rPr>
              <w:t>分；</w:t>
            </w:r>
            <w:r>
              <w:rPr>
                <w:rFonts w:hint="eastAsia" w:ascii="宋体" w:hAnsi="宋体" w:eastAsia="宋体"/>
                <w:b/>
                <w:bCs/>
                <w:color w:val="auto"/>
                <w:kern w:val="0"/>
                <w:sz w:val="21"/>
                <w:szCs w:val="21"/>
                <w:highlight w:val="none"/>
                <w:lang w:val="en-US" w:eastAsia="zh-CN" w:bidi="ar"/>
              </w:rPr>
              <w:t>良</w:t>
            </w:r>
            <w:r>
              <w:rPr>
                <w:rFonts w:hint="eastAsia" w:ascii="宋体" w:hAnsi="宋体" w:eastAsia="宋体"/>
                <w:color w:val="auto"/>
                <w:kern w:val="0"/>
                <w:sz w:val="21"/>
                <w:szCs w:val="21"/>
                <w:highlight w:val="none"/>
                <w:lang w:val="en-US" w:eastAsia="zh-CN" w:bidi="ar"/>
              </w:rPr>
              <w:t>：得</w:t>
            </w:r>
            <w:r>
              <w:rPr>
                <w:rFonts w:ascii="Calibri" w:hAnsi="Calibri" w:eastAsia="宋体"/>
                <w:color w:val="auto"/>
                <w:kern w:val="0"/>
                <w:sz w:val="21"/>
                <w:szCs w:val="21"/>
                <w:highlight w:val="none"/>
                <w:lang w:val="en-US" w:eastAsia="zh-CN" w:bidi="ar"/>
              </w:rPr>
              <w:t>12</w:t>
            </w:r>
            <w:r>
              <w:rPr>
                <w:rFonts w:hint="eastAsia" w:ascii="宋体" w:hAnsi="宋体" w:eastAsia="宋体"/>
                <w:color w:val="auto"/>
                <w:kern w:val="0"/>
                <w:sz w:val="21"/>
                <w:szCs w:val="21"/>
                <w:highlight w:val="none"/>
                <w:lang w:val="en-US" w:eastAsia="zh-CN" w:bidi="ar"/>
              </w:rPr>
              <w:t>分；</w:t>
            </w:r>
            <w:r>
              <w:rPr>
                <w:rFonts w:hint="eastAsia" w:ascii="宋体" w:hAnsi="宋体" w:eastAsia="宋体"/>
                <w:b/>
                <w:bCs/>
                <w:color w:val="auto"/>
                <w:kern w:val="0"/>
                <w:sz w:val="21"/>
                <w:szCs w:val="21"/>
                <w:highlight w:val="none"/>
                <w:lang w:val="en-US" w:eastAsia="zh-CN" w:bidi="ar"/>
              </w:rPr>
              <w:t>中</w:t>
            </w:r>
            <w:r>
              <w:rPr>
                <w:rFonts w:hint="eastAsia" w:ascii="宋体" w:hAnsi="宋体" w:eastAsia="宋体"/>
                <w:color w:val="auto"/>
                <w:kern w:val="0"/>
                <w:sz w:val="21"/>
                <w:szCs w:val="21"/>
                <w:highlight w:val="none"/>
                <w:lang w:val="en-US" w:eastAsia="zh-CN" w:bidi="ar"/>
              </w:rPr>
              <w:t>：得</w:t>
            </w:r>
            <w:r>
              <w:rPr>
                <w:rFonts w:ascii="Calibri" w:hAnsi="Calibri" w:eastAsia="宋体"/>
                <w:color w:val="auto"/>
                <w:kern w:val="0"/>
                <w:sz w:val="21"/>
                <w:szCs w:val="21"/>
                <w:highlight w:val="none"/>
                <w:lang w:val="en-US" w:eastAsia="zh-CN" w:bidi="ar"/>
              </w:rPr>
              <w:t>9</w:t>
            </w:r>
            <w:r>
              <w:rPr>
                <w:rFonts w:hint="eastAsia" w:ascii="宋体" w:hAnsi="宋体" w:eastAsia="宋体"/>
                <w:color w:val="auto"/>
                <w:kern w:val="0"/>
                <w:sz w:val="21"/>
                <w:szCs w:val="21"/>
                <w:highlight w:val="none"/>
                <w:lang w:val="en-US" w:eastAsia="zh-CN" w:bidi="ar"/>
              </w:rPr>
              <w:t>分；</w:t>
            </w:r>
            <w:r>
              <w:rPr>
                <w:rFonts w:hint="eastAsia" w:ascii="宋体" w:hAnsi="宋体" w:eastAsia="宋体"/>
                <w:b/>
                <w:bCs/>
                <w:color w:val="auto"/>
                <w:kern w:val="0"/>
                <w:sz w:val="21"/>
                <w:szCs w:val="21"/>
                <w:highlight w:val="none"/>
                <w:lang w:val="en-US" w:eastAsia="zh-CN" w:bidi="ar"/>
              </w:rPr>
              <w:t>差</w:t>
            </w:r>
            <w:r>
              <w:rPr>
                <w:rFonts w:hint="eastAsia" w:ascii="宋体" w:hAnsi="宋体" w:eastAsia="宋体"/>
                <w:color w:val="auto"/>
                <w:kern w:val="0"/>
                <w:sz w:val="21"/>
                <w:szCs w:val="21"/>
                <w:highlight w:val="none"/>
                <w:lang w:val="en-US" w:eastAsia="zh-CN" w:bidi="ar"/>
              </w:rPr>
              <w:t>：</w:t>
            </w:r>
            <w:r>
              <w:rPr>
                <w:rFonts w:hint="eastAsia" w:eastAsia="宋体"/>
                <w:color w:val="auto"/>
                <w:kern w:val="0"/>
                <w:sz w:val="21"/>
                <w:szCs w:val="21"/>
                <w:highlight w:val="none"/>
                <w:lang w:val="en-US" w:eastAsia="zh-CN" w:bidi="ar"/>
              </w:rPr>
              <w:t>0</w:t>
            </w:r>
            <w:r>
              <w:rPr>
                <w:rFonts w:hint="eastAsia" w:ascii="宋体" w:hAnsi="宋体" w:eastAsia="宋体"/>
                <w:color w:val="auto"/>
                <w:kern w:val="0"/>
                <w:sz w:val="21"/>
                <w:szCs w:val="21"/>
                <w:highlight w:val="none"/>
                <w:lang w:val="en-US" w:eastAsia="zh-CN" w:bidi="ar"/>
              </w:rPr>
              <w:t>分。</w:t>
            </w:r>
          </w:p>
        </w:tc>
        <w:tc>
          <w:tcPr>
            <w:tcW w:w="901" w:type="dxa"/>
            <w:vAlign w:val="center"/>
          </w:tcPr>
          <w:p w14:paraId="2EE77FB1">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r>
      <w:tr w14:paraId="5C118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565761FF">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3</w:t>
            </w:r>
          </w:p>
        </w:tc>
        <w:tc>
          <w:tcPr>
            <w:tcW w:w="1733" w:type="dxa"/>
            <w:vAlign w:val="center"/>
          </w:tcPr>
          <w:p w14:paraId="6BD9F3ED">
            <w:pPr>
              <w:keepNext w:val="0"/>
              <w:keepLines w:val="0"/>
              <w:pageBreakBefore w:val="0"/>
              <w:widowControl w:val="0"/>
              <w:kinsoku/>
              <w:wordWrap/>
              <w:overflowPunct/>
              <w:topLinePunct w:val="0"/>
              <w:autoSpaceDE/>
              <w:autoSpaceDN/>
              <w:bidi w:val="0"/>
              <w:snapToGrid/>
              <w:spacing w:line="240" w:lineRule="auto"/>
              <w:rPr>
                <w:rFonts w:hint="eastAsia"/>
                <w:color w:val="auto"/>
                <w:sz w:val="21"/>
                <w:szCs w:val="21"/>
                <w:highlight w:val="none"/>
                <w:lang w:val="en-US" w:eastAsia="zh-CN"/>
              </w:rPr>
            </w:pPr>
            <w:r>
              <w:rPr>
                <w:rFonts w:hint="eastAsia"/>
                <w:color w:val="auto"/>
                <w:sz w:val="21"/>
                <w:szCs w:val="21"/>
                <w:highlight w:val="none"/>
                <w:lang w:val="en-US" w:eastAsia="zh-CN"/>
              </w:rPr>
              <w:t>总图布置</w:t>
            </w:r>
          </w:p>
        </w:tc>
        <w:tc>
          <w:tcPr>
            <w:tcW w:w="759" w:type="dxa"/>
            <w:vAlign w:val="center"/>
          </w:tcPr>
          <w:p w14:paraId="5E76B811">
            <w:pPr>
              <w:keepNext w:val="0"/>
              <w:keepLines w:val="0"/>
              <w:pageBreakBefore w:val="0"/>
              <w:widowControl w:val="0"/>
              <w:kinsoku/>
              <w:wordWrap/>
              <w:overflowPunct/>
              <w:topLinePunct w:val="0"/>
              <w:autoSpaceDE/>
              <w:autoSpaceDN/>
              <w:bidi w:val="0"/>
              <w:snapToGrid/>
              <w:spacing w:line="240" w:lineRule="auto"/>
              <w:rPr>
                <w:rFonts w:hint="eastAsia"/>
                <w:color w:val="auto"/>
                <w:sz w:val="21"/>
                <w:szCs w:val="21"/>
                <w:highlight w:val="none"/>
                <w:lang w:val="en-US" w:eastAsia="zh-CN"/>
              </w:rPr>
            </w:pPr>
            <w:r>
              <w:rPr>
                <w:rFonts w:hint="eastAsia"/>
                <w:color w:val="auto"/>
                <w:sz w:val="21"/>
                <w:szCs w:val="21"/>
                <w:highlight w:val="none"/>
                <w:lang w:val="en-US" w:eastAsia="zh-CN"/>
              </w:rPr>
              <w:t>25</w:t>
            </w:r>
          </w:p>
        </w:tc>
        <w:tc>
          <w:tcPr>
            <w:tcW w:w="10621" w:type="dxa"/>
            <w:vAlign w:val="center"/>
          </w:tcPr>
          <w:p w14:paraId="23DF9794">
            <w:pPr>
              <w:keepNext w:val="0"/>
              <w:keepLines w:val="0"/>
              <w:pageBreakBefore w:val="0"/>
              <w:widowControl w:val="0"/>
              <w:kinsoku/>
              <w:wordWrap/>
              <w:overflowPunct/>
              <w:topLinePunct w:val="0"/>
              <w:autoSpaceDE/>
              <w:autoSpaceDN/>
              <w:bidi w:val="0"/>
              <w:snapToGrid/>
              <w:spacing w:line="240" w:lineRule="auto"/>
              <w:rPr>
                <w:b/>
                <w:bCs/>
                <w:color w:val="auto"/>
                <w:sz w:val="21"/>
                <w:szCs w:val="21"/>
                <w:highlight w:val="none"/>
                <w:lang w:val="en-US" w:eastAsia="zh-CN"/>
              </w:rPr>
            </w:pPr>
            <w:r>
              <w:rPr>
                <w:b/>
                <w:bCs/>
                <w:color w:val="auto"/>
                <w:sz w:val="21"/>
                <w:szCs w:val="21"/>
                <w:highlight w:val="none"/>
                <w:lang w:val="en-US" w:eastAsia="zh-CN"/>
              </w:rPr>
              <w:t>优</w:t>
            </w:r>
            <w:r>
              <w:rPr>
                <w:color w:val="auto"/>
                <w:sz w:val="21"/>
                <w:szCs w:val="21"/>
                <w:highlight w:val="none"/>
                <w:lang w:val="en-US" w:eastAsia="zh-CN"/>
              </w:rPr>
              <w:t>：</w:t>
            </w:r>
            <w:r>
              <w:rPr>
                <w:rFonts w:hint="eastAsia"/>
                <w:color w:val="auto"/>
                <w:sz w:val="21"/>
                <w:szCs w:val="21"/>
                <w:highlight w:val="none"/>
                <w:lang w:val="en-US" w:eastAsia="zh-CN"/>
              </w:rPr>
              <w:t>总平面布置合理，整治地块的土壤</w:t>
            </w:r>
            <w:r>
              <w:rPr>
                <w:color w:val="auto"/>
                <w:sz w:val="21"/>
                <w:szCs w:val="21"/>
                <w:highlight w:val="none"/>
                <w:lang w:val="en-US" w:eastAsia="zh-CN"/>
              </w:rPr>
              <w:t>水平</w:t>
            </w:r>
            <w:r>
              <w:rPr>
                <w:rFonts w:hint="eastAsia"/>
                <w:color w:val="auto"/>
                <w:sz w:val="21"/>
                <w:szCs w:val="21"/>
                <w:highlight w:val="none"/>
                <w:lang w:val="en-US" w:eastAsia="zh-CN"/>
              </w:rPr>
              <w:t>与垂直</w:t>
            </w:r>
            <w:r>
              <w:rPr>
                <w:color w:val="auto"/>
                <w:sz w:val="21"/>
                <w:szCs w:val="21"/>
                <w:highlight w:val="none"/>
                <w:lang w:val="en-US" w:eastAsia="zh-CN"/>
              </w:rPr>
              <w:t>分布图边界明确，种类分布清晰，得</w:t>
            </w:r>
            <w:r>
              <w:rPr>
                <w:rFonts w:hint="eastAsia"/>
                <w:color w:val="auto"/>
                <w:sz w:val="21"/>
                <w:szCs w:val="21"/>
                <w:highlight w:val="none"/>
                <w:lang w:val="en-US" w:eastAsia="zh-CN"/>
              </w:rPr>
              <w:t>25</w:t>
            </w:r>
            <w:r>
              <w:rPr>
                <w:color w:val="auto"/>
                <w:sz w:val="21"/>
                <w:szCs w:val="21"/>
                <w:highlight w:val="none"/>
                <w:lang w:val="en-US" w:eastAsia="zh-CN"/>
              </w:rPr>
              <w:t>分；</w:t>
            </w:r>
          </w:p>
          <w:p w14:paraId="41A1D1C6">
            <w:pPr>
              <w:keepNext w:val="0"/>
              <w:keepLines w:val="0"/>
              <w:pageBreakBefore w:val="0"/>
              <w:widowControl w:val="0"/>
              <w:kinsoku/>
              <w:wordWrap/>
              <w:overflowPunct/>
              <w:topLinePunct w:val="0"/>
              <w:autoSpaceDE/>
              <w:autoSpaceDN/>
              <w:bidi w:val="0"/>
              <w:snapToGrid/>
              <w:spacing w:line="240" w:lineRule="auto"/>
              <w:rPr>
                <w:b/>
                <w:bCs/>
                <w:color w:val="auto"/>
                <w:sz w:val="21"/>
                <w:szCs w:val="21"/>
                <w:highlight w:val="none"/>
                <w:lang w:val="en-US" w:eastAsia="zh-CN"/>
              </w:rPr>
            </w:pPr>
            <w:r>
              <w:rPr>
                <w:b/>
                <w:bCs/>
                <w:color w:val="auto"/>
                <w:sz w:val="21"/>
                <w:szCs w:val="21"/>
                <w:highlight w:val="none"/>
                <w:lang w:val="en-US" w:eastAsia="zh-CN"/>
              </w:rPr>
              <w:t>良</w:t>
            </w:r>
            <w:r>
              <w:rPr>
                <w:color w:val="auto"/>
                <w:sz w:val="21"/>
                <w:szCs w:val="21"/>
                <w:highlight w:val="none"/>
                <w:lang w:val="en-US" w:eastAsia="zh-CN"/>
              </w:rPr>
              <w:t>：</w:t>
            </w:r>
            <w:r>
              <w:rPr>
                <w:rFonts w:hint="eastAsia"/>
                <w:color w:val="auto"/>
                <w:sz w:val="21"/>
                <w:szCs w:val="21"/>
                <w:highlight w:val="none"/>
                <w:lang w:val="en-US" w:eastAsia="zh-CN"/>
              </w:rPr>
              <w:t>总平面布置较为合理，</w:t>
            </w:r>
            <w:r>
              <w:rPr>
                <w:color w:val="auto"/>
                <w:sz w:val="21"/>
                <w:szCs w:val="21"/>
                <w:highlight w:val="none"/>
                <w:lang w:val="en-US" w:eastAsia="zh-CN"/>
              </w:rPr>
              <w:t>整治地块的土壤水平</w:t>
            </w:r>
            <w:r>
              <w:rPr>
                <w:rFonts w:hint="eastAsia"/>
                <w:color w:val="auto"/>
                <w:sz w:val="21"/>
                <w:szCs w:val="21"/>
                <w:highlight w:val="none"/>
                <w:lang w:val="en-US" w:eastAsia="zh-CN"/>
              </w:rPr>
              <w:t>与垂直</w:t>
            </w:r>
            <w:r>
              <w:rPr>
                <w:color w:val="auto"/>
                <w:sz w:val="21"/>
                <w:szCs w:val="21"/>
                <w:highlight w:val="none"/>
                <w:lang w:val="en-US" w:eastAsia="zh-CN"/>
              </w:rPr>
              <w:t>分布图边界</w:t>
            </w:r>
            <w:r>
              <w:rPr>
                <w:rFonts w:hint="eastAsia"/>
                <w:color w:val="auto"/>
                <w:sz w:val="21"/>
                <w:szCs w:val="21"/>
                <w:highlight w:val="none"/>
                <w:lang w:val="en-US" w:eastAsia="zh-CN"/>
              </w:rPr>
              <w:t>较为</w:t>
            </w:r>
            <w:r>
              <w:rPr>
                <w:color w:val="auto"/>
                <w:sz w:val="21"/>
                <w:szCs w:val="21"/>
                <w:highlight w:val="none"/>
                <w:lang w:val="en-US" w:eastAsia="zh-CN"/>
              </w:rPr>
              <w:t>明确，种类分布</w:t>
            </w:r>
            <w:r>
              <w:rPr>
                <w:rFonts w:hint="eastAsia"/>
                <w:color w:val="auto"/>
                <w:sz w:val="21"/>
                <w:szCs w:val="21"/>
                <w:highlight w:val="none"/>
                <w:lang w:val="en-US" w:eastAsia="zh-CN"/>
              </w:rPr>
              <w:t>较为</w:t>
            </w:r>
            <w:r>
              <w:rPr>
                <w:color w:val="auto"/>
                <w:sz w:val="21"/>
                <w:szCs w:val="21"/>
                <w:highlight w:val="none"/>
                <w:lang w:val="en-US" w:eastAsia="zh-CN"/>
              </w:rPr>
              <w:t>清晰，得</w:t>
            </w:r>
            <w:r>
              <w:rPr>
                <w:rFonts w:hint="eastAsia"/>
                <w:color w:val="auto"/>
                <w:sz w:val="21"/>
                <w:szCs w:val="21"/>
                <w:highlight w:val="none"/>
                <w:lang w:val="en-US" w:eastAsia="zh-CN"/>
              </w:rPr>
              <w:t>15</w:t>
            </w:r>
            <w:r>
              <w:rPr>
                <w:color w:val="auto"/>
                <w:sz w:val="21"/>
                <w:szCs w:val="21"/>
                <w:highlight w:val="none"/>
                <w:lang w:val="en-US" w:eastAsia="zh-CN"/>
              </w:rPr>
              <w:t>分；</w:t>
            </w:r>
          </w:p>
          <w:p w14:paraId="479BB4A4">
            <w:pPr>
              <w:keepNext w:val="0"/>
              <w:keepLines w:val="0"/>
              <w:pageBreakBefore w:val="0"/>
              <w:widowControl w:val="0"/>
              <w:kinsoku/>
              <w:wordWrap/>
              <w:overflowPunct/>
              <w:topLinePunct w:val="0"/>
              <w:autoSpaceDE/>
              <w:autoSpaceDN/>
              <w:bidi w:val="0"/>
              <w:snapToGrid/>
              <w:spacing w:line="240" w:lineRule="auto"/>
              <w:rPr>
                <w:b/>
                <w:bCs/>
                <w:color w:val="auto"/>
                <w:sz w:val="21"/>
                <w:szCs w:val="21"/>
                <w:highlight w:val="none"/>
                <w:lang w:val="en-US" w:eastAsia="zh-CN"/>
              </w:rPr>
            </w:pPr>
            <w:r>
              <w:rPr>
                <w:b/>
                <w:bCs/>
                <w:color w:val="auto"/>
                <w:sz w:val="21"/>
                <w:szCs w:val="21"/>
                <w:highlight w:val="none"/>
                <w:lang w:val="en-US" w:eastAsia="zh-CN"/>
              </w:rPr>
              <w:t>中</w:t>
            </w:r>
            <w:r>
              <w:rPr>
                <w:color w:val="auto"/>
                <w:sz w:val="21"/>
                <w:szCs w:val="21"/>
                <w:highlight w:val="none"/>
                <w:lang w:val="en-US" w:eastAsia="zh-CN"/>
              </w:rPr>
              <w:t>：</w:t>
            </w:r>
            <w:r>
              <w:rPr>
                <w:rFonts w:hint="eastAsia"/>
                <w:color w:val="auto"/>
                <w:sz w:val="21"/>
                <w:szCs w:val="21"/>
                <w:highlight w:val="none"/>
                <w:lang w:val="en-US" w:eastAsia="zh-CN"/>
              </w:rPr>
              <w:t>总平面布置不够合理，</w:t>
            </w:r>
            <w:r>
              <w:rPr>
                <w:color w:val="auto"/>
                <w:sz w:val="21"/>
                <w:szCs w:val="21"/>
                <w:highlight w:val="none"/>
                <w:lang w:val="en-US" w:eastAsia="zh-CN"/>
              </w:rPr>
              <w:t>整治地块的土壤水平</w:t>
            </w:r>
            <w:r>
              <w:rPr>
                <w:rFonts w:hint="eastAsia"/>
                <w:color w:val="auto"/>
                <w:sz w:val="21"/>
                <w:szCs w:val="21"/>
                <w:highlight w:val="none"/>
                <w:lang w:val="en-US" w:eastAsia="zh-CN"/>
              </w:rPr>
              <w:t>与垂直</w:t>
            </w:r>
            <w:r>
              <w:rPr>
                <w:color w:val="auto"/>
                <w:sz w:val="21"/>
                <w:szCs w:val="21"/>
                <w:highlight w:val="none"/>
                <w:lang w:val="en-US" w:eastAsia="zh-CN"/>
              </w:rPr>
              <w:t>分布图</w:t>
            </w:r>
            <w:r>
              <w:rPr>
                <w:rFonts w:hint="eastAsia"/>
                <w:color w:val="auto"/>
                <w:sz w:val="21"/>
                <w:szCs w:val="21"/>
                <w:highlight w:val="none"/>
                <w:lang w:val="en-US" w:eastAsia="zh-CN"/>
              </w:rPr>
              <w:t>不完整，种类分布不够清晰</w:t>
            </w:r>
            <w:r>
              <w:rPr>
                <w:color w:val="auto"/>
                <w:sz w:val="21"/>
                <w:szCs w:val="21"/>
                <w:highlight w:val="none"/>
                <w:lang w:val="en-US" w:eastAsia="zh-CN"/>
              </w:rPr>
              <w:t>，欠合理，得</w:t>
            </w:r>
            <w:r>
              <w:rPr>
                <w:rFonts w:hint="eastAsia"/>
                <w:color w:val="auto"/>
                <w:sz w:val="21"/>
                <w:szCs w:val="21"/>
                <w:highlight w:val="none"/>
                <w:lang w:val="en-US" w:eastAsia="zh-CN"/>
              </w:rPr>
              <w:t>10</w:t>
            </w:r>
            <w:r>
              <w:rPr>
                <w:color w:val="auto"/>
                <w:sz w:val="21"/>
                <w:szCs w:val="21"/>
                <w:highlight w:val="none"/>
                <w:lang w:val="en-US" w:eastAsia="zh-CN"/>
              </w:rPr>
              <w:t>分；</w:t>
            </w:r>
          </w:p>
          <w:p w14:paraId="0D6B9B07">
            <w:pPr>
              <w:keepNext w:val="0"/>
              <w:keepLines w:val="0"/>
              <w:pageBreakBefore w:val="0"/>
              <w:widowControl w:val="0"/>
              <w:kinsoku/>
              <w:wordWrap/>
              <w:overflowPunct/>
              <w:topLinePunct w:val="0"/>
              <w:autoSpaceDE/>
              <w:autoSpaceDN/>
              <w:bidi w:val="0"/>
              <w:snapToGrid/>
              <w:spacing w:line="240" w:lineRule="auto"/>
              <w:rPr>
                <w:b/>
                <w:bCs/>
                <w:color w:val="auto"/>
                <w:sz w:val="21"/>
                <w:szCs w:val="21"/>
                <w:highlight w:val="none"/>
                <w:lang w:val="en-US" w:eastAsia="zh-CN"/>
              </w:rPr>
            </w:pPr>
            <w:r>
              <w:rPr>
                <w:b/>
                <w:bCs/>
                <w:color w:val="auto"/>
                <w:sz w:val="21"/>
                <w:szCs w:val="21"/>
                <w:highlight w:val="none"/>
                <w:lang w:val="en-US" w:eastAsia="zh-CN"/>
              </w:rPr>
              <w:t>差</w:t>
            </w:r>
            <w:r>
              <w:rPr>
                <w:color w:val="auto"/>
                <w:sz w:val="21"/>
                <w:szCs w:val="21"/>
                <w:highlight w:val="none"/>
                <w:lang w:val="en-US" w:eastAsia="zh-CN"/>
              </w:rPr>
              <w:t>：不满足“优”“良”“中”得评分标准，得</w:t>
            </w:r>
            <w:r>
              <w:rPr>
                <w:rFonts w:hint="eastAsia"/>
                <w:color w:val="auto"/>
                <w:sz w:val="21"/>
                <w:szCs w:val="21"/>
                <w:highlight w:val="none"/>
                <w:lang w:val="en-US" w:eastAsia="zh-CN"/>
              </w:rPr>
              <w:t>0</w:t>
            </w:r>
            <w:r>
              <w:rPr>
                <w:color w:val="auto"/>
                <w:sz w:val="21"/>
                <w:szCs w:val="21"/>
                <w:highlight w:val="none"/>
                <w:lang w:val="en-US" w:eastAsia="zh-CN"/>
              </w:rPr>
              <w:t>分。</w:t>
            </w:r>
          </w:p>
        </w:tc>
        <w:tc>
          <w:tcPr>
            <w:tcW w:w="901" w:type="dxa"/>
            <w:vAlign w:val="center"/>
          </w:tcPr>
          <w:p w14:paraId="246F22EF">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r>
      <w:tr w14:paraId="7E412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64F06C59">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4</w:t>
            </w:r>
          </w:p>
        </w:tc>
        <w:tc>
          <w:tcPr>
            <w:tcW w:w="1733" w:type="dxa"/>
            <w:vAlign w:val="center"/>
          </w:tcPr>
          <w:p w14:paraId="28186DEF">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技术方案</w:t>
            </w:r>
          </w:p>
        </w:tc>
        <w:tc>
          <w:tcPr>
            <w:tcW w:w="759" w:type="dxa"/>
            <w:vAlign w:val="center"/>
          </w:tcPr>
          <w:p w14:paraId="6FB65D78">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20</w:t>
            </w:r>
          </w:p>
        </w:tc>
        <w:tc>
          <w:tcPr>
            <w:tcW w:w="10621" w:type="dxa"/>
            <w:vAlign w:val="center"/>
          </w:tcPr>
          <w:p w14:paraId="58DEDD46">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总图布置，土方清挖、处置、修复、基坑支护、污染防治等子项工程设计方案选择符合项目实际条件、科学合理、准确完善。投标人之间横向比较：</w:t>
            </w:r>
          </w:p>
          <w:p w14:paraId="21A1A44F">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优</w:t>
            </w:r>
            <w:r>
              <w:rPr>
                <w:rFonts w:hint="eastAsia" w:ascii="宋体" w:hAnsi="宋体" w:eastAsia="宋体"/>
                <w:color w:val="auto"/>
                <w:kern w:val="0"/>
                <w:sz w:val="21"/>
                <w:szCs w:val="21"/>
                <w:highlight w:val="none"/>
                <w:lang w:val="en-US" w:eastAsia="zh-CN" w:bidi="ar"/>
              </w:rPr>
              <w:t>：得</w:t>
            </w:r>
            <w:r>
              <w:rPr>
                <w:rFonts w:ascii="Calibri" w:hAnsi="Calibri" w:eastAsia="宋体"/>
                <w:color w:val="auto"/>
                <w:kern w:val="0"/>
                <w:sz w:val="21"/>
                <w:szCs w:val="21"/>
                <w:highlight w:val="none"/>
                <w:lang w:val="en-US" w:eastAsia="zh-CN" w:bidi="ar"/>
              </w:rPr>
              <w:t>20</w:t>
            </w:r>
            <w:r>
              <w:rPr>
                <w:rFonts w:hint="eastAsia" w:ascii="宋体" w:hAnsi="宋体" w:eastAsia="宋体"/>
                <w:color w:val="auto"/>
                <w:kern w:val="0"/>
                <w:sz w:val="21"/>
                <w:szCs w:val="21"/>
                <w:highlight w:val="none"/>
                <w:lang w:val="en-US" w:eastAsia="zh-CN" w:bidi="ar"/>
              </w:rPr>
              <w:t>分；</w:t>
            </w:r>
            <w:r>
              <w:rPr>
                <w:rFonts w:hint="eastAsia" w:ascii="宋体" w:hAnsi="宋体" w:eastAsia="宋体"/>
                <w:b/>
                <w:bCs/>
                <w:color w:val="auto"/>
                <w:kern w:val="0"/>
                <w:sz w:val="21"/>
                <w:szCs w:val="21"/>
                <w:highlight w:val="none"/>
                <w:lang w:val="en-US" w:eastAsia="zh-CN" w:bidi="ar"/>
              </w:rPr>
              <w:t>良</w:t>
            </w:r>
            <w:r>
              <w:rPr>
                <w:rFonts w:hint="eastAsia" w:ascii="宋体" w:hAnsi="宋体" w:eastAsia="宋体"/>
                <w:color w:val="auto"/>
                <w:kern w:val="0"/>
                <w:sz w:val="21"/>
                <w:szCs w:val="21"/>
                <w:highlight w:val="none"/>
                <w:lang w:val="en-US" w:eastAsia="zh-CN" w:bidi="ar"/>
              </w:rPr>
              <w:t>：得</w:t>
            </w:r>
            <w:r>
              <w:rPr>
                <w:rFonts w:ascii="Calibri" w:hAnsi="Calibri" w:eastAsia="宋体"/>
                <w:color w:val="auto"/>
                <w:kern w:val="0"/>
                <w:sz w:val="21"/>
                <w:szCs w:val="21"/>
                <w:highlight w:val="none"/>
                <w:lang w:val="en-US" w:eastAsia="zh-CN" w:bidi="ar"/>
              </w:rPr>
              <w:t>15</w:t>
            </w:r>
            <w:r>
              <w:rPr>
                <w:rFonts w:hint="eastAsia" w:ascii="宋体" w:hAnsi="宋体" w:eastAsia="宋体"/>
                <w:color w:val="auto"/>
                <w:kern w:val="0"/>
                <w:sz w:val="21"/>
                <w:szCs w:val="21"/>
                <w:highlight w:val="none"/>
                <w:lang w:val="en-US" w:eastAsia="zh-CN" w:bidi="ar"/>
              </w:rPr>
              <w:t>分；</w:t>
            </w:r>
            <w:r>
              <w:rPr>
                <w:rFonts w:hint="eastAsia" w:ascii="宋体" w:hAnsi="宋体" w:eastAsia="宋体"/>
                <w:b/>
                <w:bCs/>
                <w:color w:val="auto"/>
                <w:kern w:val="0"/>
                <w:sz w:val="21"/>
                <w:szCs w:val="21"/>
                <w:highlight w:val="none"/>
                <w:lang w:val="en-US" w:eastAsia="zh-CN" w:bidi="ar"/>
              </w:rPr>
              <w:t>中</w:t>
            </w:r>
            <w:r>
              <w:rPr>
                <w:rFonts w:hint="eastAsia" w:ascii="宋体" w:hAnsi="宋体" w:eastAsia="宋体"/>
                <w:color w:val="auto"/>
                <w:kern w:val="0"/>
                <w:sz w:val="21"/>
                <w:szCs w:val="21"/>
                <w:highlight w:val="none"/>
                <w:lang w:val="en-US" w:eastAsia="zh-CN" w:bidi="ar"/>
              </w:rPr>
              <w:t>：得</w:t>
            </w:r>
            <w:r>
              <w:rPr>
                <w:rFonts w:ascii="Calibri" w:hAnsi="Calibri" w:eastAsia="宋体"/>
                <w:color w:val="auto"/>
                <w:kern w:val="0"/>
                <w:sz w:val="21"/>
                <w:szCs w:val="21"/>
                <w:highlight w:val="none"/>
                <w:lang w:val="en-US" w:eastAsia="zh-CN" w:bidi="ar"/>
              </w:rPr>
              <w:t>10</w:t>
            </w:r>
            <w:r>
              <w:rPr>
                <w:rFonts w:hint="eastAsia" w:ascii="宋体" w:hAnsi="宋体" w:eastAsia="宋体"/>
                <w:color w:val="auto"/>
                <w:kern w:val="0"/>
                <w:sz w:val="21"/>
                <w:szCs w:val="21"/>
                <w:highlight w:val="none"/>
                <w:lang w:val="en-US" w:eastAsia="zh-CN" w:bidi="ar"/>
              </w:rPr>
              <w:t>分；</w:t>
            </w:r>
            <w:r>
              <w:rPr>
                <w:rFonts w:hint="eastAsia" w:ascii="宋体" w:hAnsi="宋体" w:eastAsia="宋体"/>
                <w:b/>
                <w:bCs/>
                <w:color w:val="auto"/>
                <w:kern w:val="0"/>
                <w:sz w:val="21"/>
                <w:szCs w:val="21"/>
                <w:highlight w:val="none"/>
                <w:lang w:val="en-US" w:eastAsia="zh-CN" w:bidi="ar"/>
              </w:rPr>
              <w:t>差</w:t>
            </w:r>
            <w:r>
              <w:rPr>
                <w:rFonts w:hint="eastAsia" w:ascii="宋体" w:hAnsi="宋体" w:eastAsia="宋体"/>
                <w:color w:val="auto"/>
                <w:kern w:val="0"/>
                <w:sz w:val="21"/>
                <w:szCs w:val="21"/>
                <w:highlight w:val="none"/>
                <w:lang w:val="en-US" w:eastAsia="zh-CN" w:bidi="ar"/>
              </w:rPr>
              <w:t>：</w:t>
            </w:r>
            <w:r>
              <w:rPr>
                <w:rFonts w:hint="eastAsia" w:eastAsia="宋体"/>
                <w:color w:val="auto"/>
                <w:kern w:val="0"/>
                <w:sz w:val="21"/>
                <w:szCs w:val="21"/>
                <w:highlight w:val="none"/>
                <w:lang w:val="en-US" w:eastAsia="zh-CN" w:bidi="ar"/>
              </w:rPr>
              <w:t>0</w:t>
            </w:r>
            <w:r>
              <w:rPr>
                <w:rFonts w:hint="eastAsia" w:ascii="宋体" w:hAnsi="宋体" w:eastAsia="宋体"/>
                <w:color w:val="auto"/>
                <w:kern w:val="0"/>
                <w:sz w:val="21"/>
                <w:szCs w:val="21"/>
                <w:highlight w:val="none"/>
                <w:lang w:val="en-US" w:eastAsia="zh-CN" w:bidi="ar"/>
              </w:rPr>
              <w:t>分。</w:t>
            </w:r>
          </w:p>
        </w:tc>
        <w:tc>
          <w:tcPr>
            <w:tcW w:w="901" w:type="dxa"/>
            <w:vAlign w:val="center"/>
          </w:tcPr>
          <w:p w14:paraId="340F0ACA">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r>
      <w:tr w14:paraId="3533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1CFD0875">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5</w:t>
            </w:r>
          </w:p>
        </w:tc>
        <w:tc>
          <w:tcPr>
            <w:tcW w:w="1733" w:type="dxa"/>
            <w:vAlign w:val="center"/>
          </w:tcPr>
          <w:p w14:paraId="7410DAF1">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重难点分析及优化设计</w:t>
            </w:r>
          </w:p>
        </w:tc>
        <w:tc>
          <w:tcPr>
            <w:tcW w:w="759" w:type="dxa"/>
            <w:vAlign w:val="center"/>
          </w:tcPr>
          <w:p w14:paraId="24826A09">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15</w:t>
            </w:r>
          </w:p>
        </w:tc>
        <w:tc>
          <w:tcPr>
            <w:tcW w:w="10621" w:type="dxa"/>
            <w:vAlign w:val="center"/>
          </w:tcPr>
          <w:p w14:paraId="05E274B1">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优</w:t>
            </w:r>
            <w:r>
              <w:rPr>
                <w:rFonts w:hint="eastAsia" w:ascii="宋体" w:hAnsi="宋体" w:eastAsia="宋体"/>
                <w:color w:val="auto"/>
                <w:kern w:val="0"/>
                <w:sz w:val="21"/>
                <w:szCs w:val="21"/>
                <w:highlight w:val="none"/>
                <w:lang w:val="en-US" w:eastAsia="zh-CN" w:bidi="ar"/>
              </w:rPr>
              <w:t>：投标人对项目设计的重点、难点认识到位，应对解决方案合理，优化设计合理完善，得</w:t>
            </w:r>
            <w:r>
              <w:rPr>
                <w:rFonts w:ascii="Calibri" w:hAnsi="Calibri" w:eastAsia="宋体"/>
                <w:color w:val="auto"/>
                <w:kern w:val="0"/>
                <w:sz w:val="21"/>
                <w:szCs w:val="21"/>
                <w:highlight w:val="none"/>
                <w:lang w:val="en-US" w:eastAsia="zh-CN" w:bidi="ar"/>
              </w:rPr>
              <w:t>15</w:t>
            </w:r>
            <w:r>
              <w:rPr>
                <w:rFonts w:hint="eastAsia" w:ascii="宋体" w:hAnsi="宋体" w:eastAsia="宋体"/>
                <w:color w:val="auto"/>
                <w:kern w:val="0"/>
                <w:sz w:val="21"/>
                <w:szCs w:val="21"/>
                <w:highlight w:val="none"/>
                <w:lang w:val="en-US" w:eastAsia="zh-CN" w:bidi="ar"/>
              </w:rPr>
              <w:t>分；</w:t>
            </w:r>
          </w:p>
          <w:p w14:paraId="43414FD1">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良</w:t>
            </w:r>
            <w:r>
              <w:rPr>
                <w:rFonts w:hint="eastAsia" w:ascii="宋体" w:hAnsi="宋体" w:eastAsia="宋体"/>
                <w:color w:val="auto"/>
                <w:kern w:val="0"/>
                <w:sz w:val="21"/>
                <w:szCs w:val="21"/>
                <w:highlight w:val="none"/>
                <w:lang w:val="en-US" w:eastAsia="zh-CN" w:bidi="ar"/>
              </w:rPr>
              <w:t>：投标人对项目设计的重点、难点认识基本到位，应对解决方案一般，优化设计一般，得</w:t>
            </w:r>
            <w:r>
              <w:rPr>
                <w:rFonts w:ascii="Calibri" w:hAnsi="Calibri" w:eastAsia="宋体"/>
                <w:color w:val="auto"/>
                <w:kern w:val="0"/>
                <w:sz w:val="21"/>
                <w:szCs w:val="21"/>
                <w:highlight w:val="none"/>
                <w:lang w:val="en-US" w:eastAsia="zh-CN" w:bidi="ar"/>
              </w:rPr>
              <w:t>12</w:t>
            </w:r>
            <w:r>
              <w:rPr>
                <w:rFonts w:hint="eastAsia" w:ascii="宋体" w:hAnsi="宋体" w:eastAsia="宋体"/>
                <w:color w:val="auto"/>
                <w:kern w:val="0"/>
                <w:sz w:val="21"/>
                <w:szCs w:val="21"/>
                <w:highlight w:val="none"/>
                <w:lang w:val="en-US" w:eastAsia="zh-CN" w:bidi="ar"/>
              </w:rPr>
              <w:t>分；</w:t>
            </w:r>
          </w:p>
          <w:p w14:paraId="61F9B693">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中</w:t>
            </w:r>
            <w:r>
              <w:rPr>
                <w:rFonts w:hint="eastAsia" w:ascii="宋体" w:hAnsi="宋体" w:eastAsia="宋体"/>
                <w:color w:val="auto"/>
                <w:kern w:val="0"/>
                <w:sz w:val="21"/>
                <w:szCs w:val="21"/>
                <w:highlight w:val="none"/>
                <w:lang w:val="en-US" w:eastAsia="zh-CN" w:bidi="ar"/>
              </w:rPr>
              <w:t>：投标人对项目设计的重点、难点认识不知，应对解决方案欠合理，优化设计欠合理，得</w:t>
            </w:r>
            <w:r>
              <w:rPr>
                <w:rFonts w:ascii="Calibri" w:hAnsi="Calibri" w:eastAsia="宋体"/>
                <w:color w:val="auto"/>
                <w:kern w:val="0"/>
                <w:sz w:val="21"/>
                <w:szCs w:val="21"/>
                <w:highlight w:val="none"/>
                <w:lang w:val="en-US" w:eastAsia="zh-CN" w:bidi="ar"/>
              </w:rPr>
              <w:t>9</w:t>
            </w:r>
            <w:r>
              <w:rPr>
                <w:rFonts w:hint="eastAsia" w:ascii="宋体" w:hAnsi="宋体" w:eastAsia="宋体"/>
                <w:color w:val="auto"/>
                <w:kern w:val="0"/>
                <w:sz w:val="21"/>
                <w:szCs w:val="21"/>
                <w:highlight w:val="none"/>
                <w:lang w:val="en-US" w:eastAsia="zh-CN" w:bidi="ar"/>
              </w:rPr>
              <w:t>分；</w:t>
            </w:r>
          </w:p>
          <w:p w14:paraId="339BF4DF">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差</w:t>
            </w:r>
            <w:r>
              <w:rPr>
                <w:rFonts w:hint="eastAsia" w:ascii="宋体" w:hAnsi="宋体" w:eastAsia="宋体"/>
                <w:color w:val="auto"/>
                <w:kern w:val="0"/>
                <w:sz w:val="21"/>
                <w:szCs w:val="21"/>
                <w:highlight w:val="none"/>
                <w:lang w:val="en-US" w:eastAsia="zh-CN" w:bidi="ar"/>
              </w:rPr>
              <w:t>：不满足</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优</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良</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中</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得评分标准，得</w:t>
            </w:r>
            <w:r>
              <w:rPr>
                <w:rFonts w:hint="eastAsia"/>
                <w:color w:val="auto"/>
                <w:kern w:val="0"/>
                <w:sz w:val="21"/>
                <w:szCs w:val="21"/>
                <w:highlight w:val="none"/>
                <w:lang w:val="en-US" w:eastAsia="zh-CN" w:bidi="ar"/>
              </w:rPr>
              <w:t>0</w:t>
            </w:r>
            <w:r>
              <w:rPr>
                <w:rFonts w:hint="eastAsia" w:ascii="宋体" w:hAnsi="宋体" w:eastAsia="宋体"/>
                <w:color w:val="auto"/>
                <w:kern w:val="0"/>
                <w:sz w:val="21"/>
                <w:szCs w:val="21"/>
                <w:highlight w:val="none"/>
                <w:lang w:val="en-US" w:eastAsia="zh-CN" w:bidi="ar"/>
              </w:rPr>
              <w:t>分。</w:t>
            </w:r>
          </w:p>
        </w:tc>
        <w:tc>
          <w:tcPr>
            <w:tcW w:w="901" w:type="dxa"/>
            <w:vAlign w:val="center"/>
          </w:tcPr>
          <w:p w14:paraId="1C50B961">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r>
      <w:tr w14:paraId="55011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468DEA92">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6</w:t>
            </w:r>
          </w:p>
        </w:tc>
        <w:tc>
          <w:tcPr>
            <w:tcW w:w="1733" w:type="dxa"/>
            <w:vAlign w:val="center"/>
          </w:tcPr>
          <w:p w14:paraId="0AB3AB6A">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进度计划及质量保证措施</w:t>
            </w:r>
          </w:p>
        </w:tc>
        <w:tc>
          <w:tcPr>
            <w:tcW w:w="759" w:type="dxa"/>
            <w:vAlign w:val="center"/>
          </w:tcPr>
          <w:p w14:paraId="72063AA3">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10</w:t>
            </w:r>
          </w:p>
        </w:tc>
        <w:tc>
          <w:tcPr>
            <w:tcW w:w="10621" w:type="dxa"/>
            <w:vAlign w:val="center"/>
          </w:tcPr>
          <w:p w14:paraId="2E256501">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优</w:t>
            </w:r>
            <w:r>
              <w:rPr>
                <w:rFonts w:hint="eastAsia" w:ascii="宋体" w:hAnsi="宋体" w:eastAsia="宋体"/>
                <w:color w:val="auto"/>
                <w:kern w:val="0"/>
                <w:sz w:val="21"/>
                <w:szCs w:val="21"/>
                <w:highlight w:val="none"/>
                <w:lang w:val="en-US" w:eastAsia="zh-CN" w:bidi="ar"/>
              </w:rPr>
              <w:t>：进度计划及质量保障措施科学合理且满足招标文件要求，得</w:t>
            </w:r>
            <w:r>
              <w:rPr>
                <w:rFonts w:ascii="Calibri" w:hAnsi="Calibri" w:eastAsia="宋体"/>
                <w:color w:val="auto"/>
                <w:kern w:val="0"/>
                <w:sz w:val="21"/>
                <w:szCs w:val="21"/>
                <w:highlight w:val="none"/>
                <w:lang w:val="en-US" w:eastAsia="zh-CN" w:bidi="ar"/>
              </w:rPr>
              <w:t>10</w:t>
            </w:r>
            <w:r>
              <w:rPr>
                <w:rFonts w:hint="eastAsia" w:ascii="宋体" w:hAnsi="宋体" w:eastAsia="宋体"/>
                <w:color w:val="auto"/>
                <w:kern w:val="0"/>
                <w:sz w:val="21"/>
                <w:szCs w:val="21"/>
                <w:highlight w:val="none"/>
                <w:lang w:val="en-US" w:eastAsia="zh-CN" w:bidi="ar"/>
              </w:rPr>
              <w:t>分；</w:t>
            </w:r>
          </w:p>
          <w:p w14:paraId="70B6ECB4">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良</w:t>
            </w:r>
            <w:r>
              <w:rPr>
                <w:rFonts w:hint="eastAsia" w:ascii="宋体" w:hAnsi="宋体" w:eastAsia="宋体"/>
                <w:color w:val="auto"/>
                <w:kern w:val="0"/>
                <w:sz w:val="21"/>
                <w:szCs w:val="21"/>
                <w:highlight w:val="none"/>
                <w:lang w:val="en-US" w:eastAsia="zh-CN" w:bidi="ar"/>
              </w:rPr>
              <w:t>：进度计划及质量保障措施基本科学合理且满足招标文件要求，得</w:t>
            </w:r>
            <w:r>
              <w:rPr>
                <w:rFonts w:ascii="Calibri" w:hAnsi="Calibri" w:eastAsia="宋体"/>
                <w:color w:val="auto"/>
                <w:kern w:val="0"/>
                <w:sz w:val="21"/>
                <w:szCs w:val="21"/>
                <w:highlight w:val="none"/>
                <w:lang w:val="en-US" w:eastAsia="zh-CN" w:bidi="ar"/>
              </w:rPr>
              <w:t>8</w:t>
            </w:r>
            <w:r>
              <w:rPr>
                <w:rFonts w:hint="eastAsia" w:ascii="宋体" w:hAnsi="宋体" w:eastAsia="宋体"/>
                <w:color w:val="auto"/>
                <w:kern w:val="0"/>
                <w:sz w:val="21"/>
                <w:szCs w:val="21"/>
                <w:highlight w:val="none"/>
                <w:lang w:val="en-US" w:eastAsia="zh-CN" w:bidi="ar"/>
              </w:rPr>
              <w:t>分；</w:t>
            </w:r>
          </w:p>
          <w:p w14:paraId="209FABF7">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中</w:t>
            </w:r>
            <w:r>
              <w:rPr>
                <w:rFonts w:hint="eastAsia" w:ascii="宋体" w:hAnsi="宋体" w:eastAsia="宋体"/>
                <w:color w:val="auto"/>
                <w:kern w:val="0"/>
                <w:sz w:val="21"/>
                <w:szCs w:val="21"/>
                <w:highlight w:val="none"/>
                <w:lang w:val="en-US" w:eastAsia="zh-CN" w:bidi="ar"/>
              </w:rPr>
              <w:t>：进度计划及质量保障措施欠科学且不能满足招标文件要求，得</w:t>
            </w:r>
            <w:r>
              <w:rPr>
                <w:rFonts w:ascii="Calibri" w:hAnsi="Calibri" w:eastAsia="宋体"/>
                <w:color w:val="auto"/>
                <w:kern w:val="0"/>
                <w:sz w:val="21"/>
                <w:szCs w:val="21"/>
                <w:highlight w:val="none"/>
                <w:lang w:val="en-US" w:eastAsia="zh-CN" w:bidi="ar"/>
              </w:rPr>
              <w:t>6</w:t>
            </w:r>
            <w:r>
              <w:rPr>
                <w:rFonts w:hint="eastAsia" w:ascii="宋体" w:hAnsi="宋体" w:eastAsia="宋体"/>
                <w:color w:val="auto"/>
                <w:kern w:val="0"/>
                <w:sz w:val="21"/>
                <w:szCs w:val="21"/>
                <w:highlight w:val="none"/>
                <w:lang w:val="en-US" w:eastAsia="zh-CN" w:bidi="ar"/>
              </w:rPr>
              <w:t>分；</w:t>
            </w:r>
          </w:p>
          <w:p w14:paraId="1DE332AB">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b/>
                <w:bCs/>
                <w:color w:val="auto"/>
                <w:kern w:val="0"/>
                <w:sz w:val="21"/>
                <w:szCs w:val="21"/>
                <w:highlight w:val="none"/>
                <w:lang w:val="en-US" w:eastAsia="zh-CN" w:bidi="ar"/>
              </w:rPr>
            </w:pPr>
            <w:r>
              <w:rPr>
                <w:rFonts w:hint="eastAsia" w:ascii="宋体" w:hAnsi="宋体" w:eastAsia="宋体"/>
                <w:b/>
                <w:bCs/>
                <w:color w:val="auto"/>
                <w:kern w:val="0"/>
                <w:sz w:val="21"/>
                <w:szCs w:val="21"/>
                <w:highlight w:val="none"/>
                <w:lang w:val="en-US" w:eastAsia="zh-CN" w:bidi="ar"/>
              </w:rPr>
              <w:t>差</w:t>
            </w:r>
            <w:r>
              <w:rPr>
                <w:rFonts w:hint="eastAsia" w:ascii="宋体" w:hAnsi="宋体" w:eastAsia="宋体"/>
                <w:color w:val="auto"/>
                <w:kern w:val="0"/>
                <w:sz w:val="21"/>
                <w:szCs w:val="21"/>
                <w:highlight w:val="none"/>
                <w:lang w:val="en-US" w:eastAsia="zh-CN" w:bidi="ar"/>
              </w:rPr>
              <w:t>：不满足</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优</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良</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中</w:t>
            </w:r>
            <w:r>
              <w:rPr>
                <w:rFonts w:ascii="Calibri" w:hAnsi="Calibri" w:eastAsia="宋体"/>
                <w:color w:val="auto"/>
                <w:kern w:val="0"/>
                <w:sz w:val="21"/>
                <w:szCs w:val="21"/>
                <w:highlight w:val="none"/>
                <w:lang w:val="en-US" w:eastAsia="zh-CN" w:bidi="ar"/>
              </w:rPr>
              <w:t>”</w:t>
            </w:r>
            <w:r>
              <w:rPr>
                <w:rFonts w:hint="eastAsia" w:ascii="宋体" w:hAnsi="宋体" w:eastAsia="宋体"/>
                <w:color w:val="auto"/>
                <w:kern w:val="0"/>
                <w:sz w:val="21"/>
                <w:szCs w:val="21"/>
                <w:highlight w:val="none"/>
                <w:lang w:val="en-US" w:eastAsia="zh-CN" w:bidi="ar"/>
              </w:rPr>
              <w:t>得评分标准，得</w:t>
            </w:r>
            <w:r>
              <w:rPr>
                <w:rFonts w:hint="eastAsia"/>
                <w:color w:val="auto"/>
                <w:kern w:val="0"/>
                <w:sz w:val="21"/>
                <w:szCs w:val="21"/>
                <w:highlight w:val="none"/>
                <w:lang w:val="en-US" w:eastAsia="zh-CN" w:bidi="ar"/>
              </w:rPr>
              <w:t>0</w:t>
            </w:r>
            <w:r>
              <w:rPr>
                <w:rFonts w:hint="eastAsia" w:ascii="宋体" w:hAnsi="宋体" w:eastAsia="宋体"/>
                <w:color w:val="auto"/>
                <w:kern w:val="0"/>
                <w:sz w:val="21"/>
                <w:szCs w:val="21"/>
                <w:highlight w:val="none"/>
                <w:lang w:val="en-US" w:eastAsia="zh-CN" w:bidi="ar"/>
              </w:rPr>
              <w:t>分。</w:t>
            </w:r>
          </w:p>
        </w:tc>
        <w:tc>
          <w:tcPr>
            <w:tcW w:w="901" w:type="dxa"/>
            <w:vAlign w:val="center"/>
          </w:tcPr>
          <w:p w14:paraId="085D2B23">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r>
      <w:tr w14:paraId="4B0AE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529" w:type="dxa"/>
            <w:vAlign w:val="center"/>
          </w:tcPr>
          <w:p w14:paraId="5D027623">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c>
          <w:tcPr>
            <w:tcW w:w="1733" w:type="dxa"/>
            <w:vAlign w:val="center"/>
          </w:tcPr>
          <w:p w14:paraId="2C99B3B1">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olor w:val="auto"/>
                <w:kern w:val="0"/>
                <w:sz w:val="21"/>
                <w:szCs w:val="21"/>
                <w:highlight w:val="none"/>
                <w:lang w:val="en-US" w:eastAsia="zh-CN" w:bidi="ar"/>
              </w:rPr>
            </w:pPr>
            <w:r>
              <w:rPr>
                <w:rFonts w:hint="eastAsia" w:ascii="宋体" w:hAnsi="宋体" w:eastAsia="宋体"/>
                <w:color w:val="auto"/>
                <w:kern w:val="0"/>
                <w:sz w:val="21"/>
                <w:szCs w:val="21"/>
                <w:highlight w:val="none"/>
                <w:lang w:val="en-US" w:eastAsia="zh-CN" w:bidi="ar"/>
              </w:rPr>
              <w:t>总分</w:t>
            </w:r>
          </w:p>
        </w:tc>
        <w:tc>
          <w:tcPr>
            <w:tcW w:w="759" w:type="dxa"/>
            <w:vAlign w:val="center"/>
          </w:tcPr>
          <w:p w14:paraId="3B2DEF14">
            <w:pPr>
              <w:keepNext w:val="0"/>
              <w:keepLines w:val="0"/>
              <w:widowControl w:val="0"/>
              <w:suppressLineNumbers w:val="0"/>
              <w:autoSpaceDE w:val="0"/>
              <w:autoSpaceDN/>
              <w:spacing w:before="0" w:beforeAutospacing="0" w:after="0" w:afterAutospacing="0"/>
              <w:ind w:left="0" w:right="0"/>
              <w:jc w:val="both"/>
              <w:rPr>
                <w:rFonts w:ascii="Calibri" w:hAnsi="Calibri" w:eastAsia="宋体"/>
                <w:color w:val="auto"/>
                <w:kern w:val="0"/>
                <w:sz w:val="21"/>
                <w:szCs w:val="21"/>
                <w:highlight w:val="none"/>
                <w:lang w:val="en-US" w:eastAsia="zh-CN" w:bidi="ar"/>
              </w:rPr>
            </w:pPr>
            <w:r>
              <w:rPr>
                <w:rFonts w:ascii="Calibri" w:hAnsi="Calibri" w:eastAsia="宋体"/>
                <w:color w:val="auto"/>
                <w:kern w:val="0"/>
                <w:sz w:val="21"/>
                <w:szCs w:val="21"/>
                <w:highlight w:val="none"/>
                <w:lang w:val="en-US" w:eastAsia="zh-CN" w:bidi="ar"/>
              </w:rPr>
              <w:t>100</w:t>
            </w:r>
          </w:p>
        </w:tc>
        <w:tc>
          <w:tcPr>
            <w:tcW w:w="10621" w:type="dxa"/>
            <w:vAlign w:val="center"/>
          </w:tcPr>
          <w:p w14:paraId="418ABA9B">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c>
          <w:tcPr>
            <w:tcW w:w="901" w:type="dxa"/>
            <w:vAlign w:val="center"/>
          </w:tcPr>
          <w:p w14:paraId="11372DEA">
            <w:pPr>
              <w:keepNext w:val="0"/>
              <w:keepLines w:val="0"/>
              <w:widowControl w:val="0"/>
              <w:suppressLineNumbers w:val="0"/>
              <w:autoSpaceDE w:val="0"/>
              <w:autoSpaceDN/>
              <w:spacing w:before="0" w:beforeAutospacing="0" w:after="0" w:afterAutospacing="0"/>
              <w:ind w:left="0" w:right="0"/>
              <w:jc w:val="both"/>
              <w:rPr>
                <w:rFonts w:ascii="Calibri" w:hAnsi="Calibri"/>
                <w:color w:val="auto"/>
                <w:sz w:val="21"/>
                <w:szCs w:val="21"/>
                <w:highlight w:val="none"/>
              </w:rPr>
            </w:pPr>
          </w:p>
        </w:tc>
      </w:tr>
      <w:bookmarkEnd w:id="517"/>
    </w:tbl>
    <w:p w14:paraId="2F22F831">
      <w:pPr>
        <w:widowControl/>
        <w:jc w:val="left"/>
        <w:rPr>
          <w:rFonts w:hint="eastAsia" w:ascii="宋体" w:hAnsi="宋体"/>
          <w:b/>
          <w:color w:val="auto"/>
          <w:kern w:val="1"/>
          <w:sz w:val="24"/>
          <w:szCs w:val="24"/>
          <w:highlight w:val="none"/>
        </w:rPr>
      </w:pPr>
      <w:r>
        <w:rPr>
          <w:rFonts w:hint="eastAsia" w:ascii="宋体" w:hAnsi="宋体"/>
          <w:b/>
          <w:color w:val="auto"/>
          <w:kern w:val="1"/>
          <w:sz w:val="24"/>
          <w:szCs w:val="24"/>
          <w:highlight w:val="none"/>
        </w:rPr>
        <w:t>附表</w:t>
      </w:r>
      <w:r>
        <w:rPr>
          <w:rFonts w:hint="eastAsia" w:ascii="宋体" w:hAnsi="宋体"/>
          <w:b/>
          <w:color w:val="auto"/>
          <w:kern w:val="1"/>
          <w:sz w:val="24"/>
          <w:szCs w:val="24"/>
          <w:highlight w:val="none"/>
          <w:lang w:val="en-US" w:eastAsia="zh-CN"/>
        </w:rPr>
        <w:t>3</w:t>
      </w:r>
    </w:p>
    <w:p w14:paraId="2D25199F">
      <w:pPr>
        <w:pStyle w:val="20"/>
        <w:spacing w:line="276"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工程总承包实施方案评分表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1493"/>
        <w:gridCol w:w="900"/>
        <w:gridCol w:w="10515"/>
      </w:tblGrid>
      <w:tr w14:paraId="4494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266" w:type="dxa"/>
            <w:vAlign w:val="center"/>
          </w:tcPr>
          <w:p w14:paraId="08CC222B">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r>
              <w:rPr>
                <w:rFonts w:hint="eastAsia" w:ascii="宋体" w:hAnsi="宋体" w:eastAsia="宋体"/>
                <w:color w:val="auto"/>
                <w:sz w:val="21"/>
                <w:szCs w:val="21"/>
                <w:highlight w:val="none"/>
                <w:vertAlign w:val="baseline"/>
                <w:lang w:val="en-US" w:eastAsia="zh-CN"/>
              </w:rPr>
              <w:t>评审项目</w:t>
            </w:r>
          </w:p>
        </w:tc>
        <w:tc>
          <w:tcPr>
            <w:tcW w:w="1493" w:type="dxa"/>
            <w:vAlign w:val="center"/>
          </w:tcPr>
          <w:p w14:paraId="6854FA2A">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olor w:val="auto"/>
                <w:sz w:val="21"/>
                <w:szCs w:val="21"/>
                <w:highlight w:val="none"/>
                <w:vertAlign w:val="baseline"/>
                <w:lang w:val="en-US" w:eastAsia="zh-CN"/>
              </w:rPr>
              <w:t>评审内容</w:t>
            </w:r>
          </w:p>
        </w:tc>
        <w:tc>
          <w:tcPr>
            <w:tcW w:w="900" w:type="dxa"/>
            <w:vAlign w:val="center"/>
          </w:tcPr>
          <w:p w14:paraId="6DF86999">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olor w:val="auto"/>
                <w:sz w:val="21"/>
                <w:szCs w:val="21"/>
                <w:highlight w:val="none"/>
                <w:vertAlign w:val="baseline"/>
                <w:lang w:val="en-US" w:eastAsia="zh-CN"/>
              </w:rPr>
              <w:t>分值</w:t>
            </w:r>
          </w:p>
        </w:tc>
        <w:tc>
          <w:tcPr>
            <w:tcW w:w="10515" w:type="dxa"/>
            <w:vAlign w:val="center"/>
          </w:tcPr>
          <w:p w14:paraId="5283EE58">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olor w:val="auto"/>
                <w:sz w:val="21"/>
                <w:szCs w:val="21"/>
                <w:highlight w:val="none"/>
                <w:vertAlign w:val="baseline"/>
                <w:lang w:val="en-US" w:eastAsia="zh-CN"/>
              </w:rPr>
              <w:t>评分说明</w:t>
            </w:r>
          </w:p>
        </w:tc>
      </w:tr>
      <w:tr w14:paraId="07457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trPr>
        <w:tc>
          <w:tcPr>
            <w:tcW w:w="1266" w:type="dxa"/>
            <w:vMerge w:val="restart"/>
            <w:vAlign w:val="center"/>
          </w:tcPr>
          <w:p w14:paraId="73CD50E9">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olor w:val="auto"/>
                <w:sz w:val="21"/>
                <w:szCs w:val="21"/>
                <w:highlight w:val="none"/>
                <w:vertAlign w:val="baseline"/>
                <w:lang w:val="en-US" w:eastAsia="zh-CN"/>
              </w:rPr>
              <w:t>资信部分</w:t>
            </w:r>
          </w:p>
          <w:p w14:paraId="703C412C">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olor w:val="auto"/>
                <w:sz w:val="21"/>
                <w:szCs w:val="21"/>
                <w:highlight w:val="none"/>
                <w:vertAlign w:val="baseline"/>
                <w:lang w:val="en-US" w:eastAsia="zh-CN"/>
              </w:rPr>
              <w:t>（36分）</w:t>
            </w:r>
          </w:p>
        </w:tc>
        <w:tc>
          <w:tcPr>
            <w:tcW w:w="1493" w:type="dxa"/>
            <w:vAlign w:val="center"/>
          </w:tcPr>
          <w:p w14:paraId="1F8EEA10">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类似业绩</w:t>
            </w:r>
          </w:p>
        </w:tc>
        <w:tc>
          <w:tcPr>
            <w:tcW w:w="900" w:type="dxa"/>
            <w:vAlign w:val="center"/>
          </w:tcPr>
          <w:p w14:paraId="6CF783ED">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16</w:t>
            </w:r>
          </w:p>
        </w:tc>
        <w:tc>
          <w:tcPr>
            <w:tcW w:w="10515" w:type="dxa"/>
            <w:vAlign w:val="center"/>
          </w:tcPr>
          <w:p w14:paraId="290A5C9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1、施工业绩：</w:t>
            </w:r>
          </w:p>
          <w:p w14:paraId="0F53D9E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自2021年1月1日起至今，投标人（若为联合体，指联合体牵头方）完成过类似的土壤修复项目施工业绩，每项得2分，本项最多得8分；</w:t>
            </w:r>
          </w:p>
          <w:p w14:paraId="791D320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注：业绩时间以合同签订时间为准，需提①施工合同关键页扫描件、②生态环境行政主管部门备案函或专家会通过的评审意见或验收通过证明扫描件。分包工程、非联合体牵头方的业绩无效。</w:t>
            </w:r>
          </w:p>
          <w:p w14:paraId="34DEE82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2、设计业绩：</w:t>
            </w:r>
          </w:p>
          <w:p w14:paraId="28E4068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自2021年1月1日起至今，投标人（若为联合体，指联合体设计方）具有类似项目设计业绩（类似项目设计业绩是指土壤修复项目相关设计业绩）的，每个得2分，本项最多得8分。 </w:t>
            </w:r>
          </w:p>
          <w:p w14:paraId="2E6E3418">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注：业绩时间以合同签订时间为准，需提供合同关键页扫描件（合同中无法提供体现项目内容、规模的需提供甲方相关证明）。</w:t>
            </w:r>
          </w:p>
        </w:tc>
      </w:tr>
      <w:tr w14:paraId="47EB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1266" w:type="dxa"/>
            <w:vMerge w:val="continue"/>
            <w:vAlign w:val="top"/>
          </w:tcPr>
          <w:p w14:paraId="62BACB85">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3D995582">
            <w:pPr>
              <w:keepNext w:val="0"/>
              <w:keepLines w:val="0"/>
              <w:suppressLineNumbers w:val="0"/>
              <w:spacing w:before="0" w:beforeAutospacing="0" w:after="0" w:afterAutospacing="0"/>
              <w:ind w:left="0" w:right="0"/>
              <w:jc w:val="center"/>
              <w:rPr>
                <w:rFonts w:hint="eastAsia" w:ascii="宋体" w:hAnsi="宋体" w:eastAsia="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企业获奖</w:t>
            </w:r>
          </w:p>
        </w:tc>
        <w:tc>
          <w:tcPr>
            <w:tcW w:w="900" w:type="dxa"/>
            <w:vAlign w:val="center"/>
          </w:tcPr>
          <w:p w14:paraId="30315588">
            <w:pPr>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0515" w:type="dxa"/>
            <w:vAlign w:val="top"/>
          </w:tcPr>
          <w:p w14:paraId="329B433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1、施工获奖</w:t>
            </w:r>
          </w:p>
          <w:p w14:paraId="4CF74B63">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自2021年1月1日起至今，</w:t>
            </w:r>
            <w:r>
              <w:rPr>
                <w:rFonts w:hint="eastAsia" w:ascii="宋体" w:hAnsi="宋体" w:cs="宋体"/>
                <w:color w:val="auto"/>
                <w:kern w:val="0"/>
                <w:sz w:val="21"/>
                <w:szCs w:val="21"/>
                <w:highlight w:val="none"/>
                <w:lang w:val="en-US" w:eastAsia="zh-CN" w:bidi="ar"/>
              </w:rPr>
              <w:t>投标人</w:t>
            </w:r>
            <w:r>
              <w:rPr>
                <w:rFonts w:hint="eastAsia" w:ascii="宋体" w:hAnsi="宋体" w:eastAsia="宋体" w:cs="宋体"/>
                <w:color w:val="auto"/>
                <w:sz w:val="21"/>
                <w:szCs w:val="21"/>
                <w:highlight w:val="none"/>
                <w:lang w:val="en-US" w:eastAsia="zh-CN"/>
              </w:rPr>
              <w:t>（若为联合体，指联合体牵头方）</w:t>
            </w:r>
            <w:r>
              <w:rPr>
                <w:rFonts w:hint="eastAsia" w:ascii="宋体" w:hAnsi="宋体" w:cs="宋体"/>
                <w:color w:val="auto"/>
                <w:kern w:val="0"/>
                <w:sz w:val="21"/>
                <w:szCs w:val="21"/>
                <w:highlight w:val="none"/>
                <w:lang w:val="en-US" w:eastAsia="zh-CN" w:bidi="ar"/>
              </w:rPr>
              <w:t>承接的</w:t>
            </w:r>
            <w:r>
              <w:rPr>
                <w:rFonts w:hint="eastAsia" w:ascii="宋体" w:hAnsi="宋体" w:eastAsia="宋体" w:cs="宋体"/>
                <w:color w:val="auto"/>
                <w:kern w:val="0"/>
                <w:sz w:val="21"/>
                <w:szCs w:val="21"/>
                <w:highlight w:val="none"/>
                <w:lang w:val="en-US" w:eastAsia="zh-CN" w:bidi="ar"/>
              </w:rPr>
              <w:t>土壤修复项目</w:t>
            </w:r>
            <w:r>
              <w:rPr>
                <w:rFonts w:hint="eastAsia" w:ascii="宋体" w:hAnsi="宋体" w:cs="宋体"/>
                <w:color w:val="auto"/>
                <w:kern w:val="0"/>
                <w:sz w:val="21"/>
                <w:szCs w:val="21"/>
                <w:highlight w:val="none"/>
                <w:lang w:val="en-US" w:eastAsia="zh-CN" w:bidi="ar"/>
              </w:rPr>
              <w:t>获得</w:t>
            </w:r>
            <w:r>
              <w:rPr>
                <w:rFonts w:hint="eastAsia" w:ascii="宋体" w:hAnsi="宋体" w:eastAsia="宋体" w:cs="宋体"/>
                <w:color w:val="auto"/>
                <w:kern w:val="0"/>
                <w:sz w:val="21"/>
                <w:szCs w:val="21"/>
                <w:highlight w:val="none"/>
                <w:lang w:val="en-US" w:eastAsia="zh-CN" w:bidi="ar"/>
              </w:rPr>
              <w:t>省（部）级或以上环境保护优秀示范工程类奖项的，每项得</w:t>
            </w:r>
            <w:r>
              <w:rPr>
                <w:rFonts w:hint="eastAsia" w:ascii="宋体" w:hAnsi="宋体" w:cs="宋体"/>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分，获得过市级环境保护优秀示范工程类奖项的</w:t>
            </w:r>
            <w:r>
              <w:rPr>
                <w:rFonts w:hint="eastAsia" w:ascii="宋体" w:hAnsi="宋体" w:cs="宋体"/>
                <w:color w:val="auto"/>
                <w:kern w:val="0"/>
                <w:sz w:val="21"/>
                <w:szCs w:val="21"/>
                <w:highlight w:val="none"/>
                <w:lang w:val="en-US" w:eastAsia="zh-CN" w:bidi="ar"/>
              </w:rPr>
              <w:t>，每项得1分。</w:t>
            </w:r>
            <w:r>
              <w:rPr>
                <w:rFonts w:hint="eastAsia" w:ascii="宋体" w:hAnsi="宋体" w:eastAsia="宋体" w:cs="宋体"/>
                <w:color w:val="auto"/>
                <w:kern w:val="0"/>
                <w:sz w:val="21"/>
                <w:szCs w:val="21"/>
                <w:highlight w:val="none"/>
                <w:lang w:val="en-US" w:eastAsia="zh-CN" w:bidi="ar"/>
              </w:rPr>
              <w:t>以上奖项最多计算2个奖项，本项最多得</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14:paraId="1DD104AB">
            <w:pPr>
              <w:keepNext w:val="0"/>
              <w:keepLines w:val="0"/>
              <w:widowControl w:val="0"/>
              <w:suppressLineNumbers w:val="0"/>
              <w:wordWrap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注：</w:t>
            </w:r>
            <w:r>
              <w:rPr>
                <w:rFonts w:hint="eastAsia" w:ascii="宋体" w:hAnsi="宋体" w:eastAsia="宋体" w:cs="宋体"/>
                <w:color w:val="auto"/>
                <w:kern w:val="0"/>
                <w:sz w:val="21"/>
                <w:szCs w:val="21"/>
                <w:highlight w:val="none"/>
                <w:lang w:val="en-US" w:eastAsia="zh-CN" w:bidi="ar"/>
              </w:rPr>
              <w:t>①奖项日期以证书颁发时间为准，须提供相关证书（或获奖文件）扫描件，如颁奖单位为协会（或学会）的，还须提供协会（或学会）在“中国社会组织政务服务平台”有登记的网页查询截图（网址：https://chinanpo.mca.gov.cn/），证明颁发证书的协会在中国社会组织网上有登记备案，否则不得分。②同一项目获得多个奖项的，按最高级别奖项只计一次得分。不符合上述条件或资料不齐全的不得分。</w:t>
            </w:r>
          </w:p>
          <w:p w14:paraId="155EC06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设计获奖</w:t>
            </w:r>
          </w:p>
          <w:p w14:paraId="50B1410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自2021年1月1日起至今，投标人</w:t>
            </w:r>
            <w:r>
              <w:rPr>
                <w:rFonts w:hint="eastAsia" w:ascii="宋体" w:hAnsi="宋体" w:eastAsia="宋体" w:cs="宋体"/>
                <w:color w:val="auto"/>
                <w:sz w:val="21"/>
                <w:szCs w:val="21"/>
                <w:highlight w:val="none"/>
              </w:rPr>
              <w:t>（若为联合体，指联合体设计方）</w:t>
            </w:r>
            <w:r>
              <w:rPr>
                <w:rFonts w:hint="eastAsia" w:ascii="宋体" w:hAnsi="宋体" w:eastAsia="宋体" w:cs="宋体"/>
                <w:color w:val="auto"/>
                <w:sz w:val="21"/>
                <w:szCs w:val="21"/>
                <w:highlight w:val="none"/>
                <w:lang w:val="en-US" w:eastAsia="zh-CN"/>
              </w:rPr>
              <w:t>承接的区域生态环境治理类（不包括城市污水处理工程）项目获得国家级勘察设计奖项的，每项得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分；获得过省（部）级勘察设计奖项的，每项</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分；获得过</w:t>
            </w:r>
            <w:r>
              <w:rPr>
                <w:rFonts w:hint="eastAsia" w:ascii="宋体" w:hAnsi="宋体" w:eastAsia="宋体" w:cs="宋体"/>
                <w:color w:val="auto"/>
                <w:sz w:val="21"/>
                <w:szCs w:val="21"/>
                <w:highlight w:val="none"/>
              </w:rPr>
              <w:t>市（副省级）</w:t>
            </w:r>
            <w:r>
              <w:rPr>
                <w:rFonts w:hint="eastAsia" w:ascii="宋体" w:hAnsi="宋体" w:eastAsia="宋体" w:cs="宋体"/>
                <w:color w:val="auto"/>
                <w:sz w:val="21"/>
                <w:szCs w:val="21"/>
                <w:highlight w:val="none"/>
                <w:lang w:val="en-US" w:eastAsia="zh-CN"/>
              </w:rPr>
              <w:t>级勘察设计奖项的</w:t>
            </w:r>
            <w:r>
              <w:rPr>
                <w:rFonts w:hint="eastAsia" w:ascii="宋体" w:hAnsi="宋体" w:eastAsia="宋体" w:cs="宋体"/>
                <w:color w:val="auto"/>
                <w:sz w:val="21"/>
                <w:szCs w:val="21"/>
                <w:highlight w:val="none"/>
              </w:rPr>
              <w:t>，每项得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本项最多得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818442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①获奖须提供相关证书（或获奖文件）扫描件和相关主管部门官方网站查询截图，如颁奖单位为协会</w:t>
            </w:r>
            <w:r>
              <w:rPr>
                <w:rFonts w:hint="eastAsia" w:ascii="宋体" w:hAnsi="宋体" w:eastAsia="宋体" w:cs="宋体"/>
                <w:color w:val="auto"/>
                <w:sz w:val="21"/>
                <w:szCs w:val="21"/>
                <w:highlight w:val="none"/>
                <w:lang w:val="en-US" w:eastAsia="zh-CN"/>
              </w:rPr>
              <w:t>（或学会）</w:t>
            </w:r>
            <w:r>
              <w:rPr>
                <w:rFonts w:hint="eastAsia" w:ascii="宋体" w:hAnsi="宋体" w:eastAsia="宋体" w:cs="宋体"/>
                <w:color w:val="auto"/>
                <w:sz w:val="21"/>
                <w:szCs w:val="21"/>
                <w:highlight w:val="none"/>
              </w:rPr>
              <w:t>的，还须提供协会</w:t>
            </w:r>
            <w:r>
              <w:rPr>
                <w:rFonts w:hint="eastAsia" w:ascii="宋体" w:hAnsi="宋体" w:eastAsia="宋体" w:cs="宋体"/>
                <w:color w:val="auto"/>
                <w:sz w:val="21"/>
                <w:szCs w:val="21"/>
                <w:highlight w:val="none"/>
                <w:lang w:val="en-US" w:eastAsia="zh-CN"/>
              </w:rPr>
              <w:t>（或学会）</w:t>
            </w:r>
            <w:r>
              <w:rPr>
                <w:rFonts w:hint="eastAsia" w:ascii="宋体" w:hAnsi="宋体" w:eastAsia="宋体" w:cs="宋体"/>
                <w:color w:val="auto"/>
                <w:sz w:val="21"/>
                <w:szCs w:val="21"/>
                <w:highlight w:val="none"/>
              </w:rPr>
              <w:t>在“中国社会组织政务服务平台”有登记的网页查询截图（网址：https://chinanpo.mca.gov.cn/），证明颁发证书的协会在中国社会组织网上有登记备案，否则不得分。②</w:t>
            </w:r>
            <w:r>
              <w:rPr>
                <w:rFonts w:hint="eastAsia" w:ascii="宋体" w:hAnsi="宋体" w:eastAsia="宋体" w:cs="宋体"/>
                <w:color w:val="auto"/>
                <w:sz w:val="21"/>
                <w:szCs w:val="21"/>
                <w:highlight w:val="none"/>
                <w:lang w:val="zh-TW"/>
              </w:rPr>
              <w:t>同一项目获得多个奖项的，按最高级别奖项只计一次得分。不符合上述条件或资料不齐全的不得分。</w:t>
            </w:r>
          </w:p>
        </w:tc>
      </w:tr>
      <w:tr w14:paraId="1AD7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266" w:type="dxa"/>
            <w:vMerge w:val="continue"/>
            <w:vAlign w:val="top"/>
          </w:tcPr>
          <w:p w14:paraId="4FABC73C">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25059A0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工程研发能力</w:t>
            </w:r>
          </w:p>
        </w:tc>
        <w:tc>
          <w:tcPr>
            <w:tcW w:w="900" w:type="dxa"/>
            <w:vAlign w:val="center"/>
          </w:tcPr>
          <w:p w14:paraId="6D4BE00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7</w:t>
            </w:r>
          </w:p>
        </w:tc>
        <w:tc>
          <w:tcPr>
            <w:tcW w:w="10515" w:type="dxa"/>
            <w:vAlign w:val="top"/>
          </w:tcPr>
          <w:p w14:paraId="6C90064B">
            <w:pPr>
              <w:keepNext w:val="0"/>
              <w:keepLines w:val="0"/>
              <w:widowControl/>
              <w:numPr>
                <w:ilvl w:val="0"/>
                <w:numId w:val="0"/>
              </w:numPr>
              <w:suppressLineNumbers w:val="0"/>
              <w:autoSpaceDE/>
              <w:autoSpaceDN/>
              <w:spacing w:before="0" w:beforeAutospacing="0" w:after="0" w:afterAutospacing="0"/>
              <w:ind w:left="0" w:right="0"/>
              <w:jc w:val="left"/>
              <w:rPr>
                <w:rFonts w:hint="eastAsia" w:ascii="宋体" w:hAnsi="宋体" w:eastAsia="宋体" w:cs="宋体"/>
                <w:color w:val="auto"/>
                <w:sz w:val="21"/>
                <w:szCs w:val="21"/>
                <w:highlight w:val="none"/>
              </w:rPr>
            </w:pPr>
            <w:r>
              <w:rPr>
                <w:rFonts w:hint="eastAsia"/>
                <w:color w:val="auto"/>
                <w:highlight w:val="none"/>
              </w:rPr>
              <w:t>投标人（若为联合体，指联合体</w:t>
            </w:r>
            <w:r>
              <w:rPr>
                <w:rFonts w:hint="eastAsia"/>
                <w:color w:val="auto"/>
                <w:highlight w:val="none"/>
                <w:lang w:eastAsia="zh-CN"/>
              </w:rPr>
              <w:t>任意一</w:t>
            </w:r>
            <w:r>
              <w:rPr>
                <w:rFonts w:hint="eastAsia"/>
                <w:color w:val="auto"/>
                <w:highlight w:val="none"/>
              </w:rPr>
              <w:t>方）</w:t>
            </w:r>
            <w:r>
              <w:rPr>
                <w:rFonts w:hint="eastAsia" w:ascii="宋体" w:hAnsi="宋体" w:eastAsia="宋体" w:cs="宋体"/>
                <w:color w:val="auto"/>
                <w:kern w:val="0"/>
                <w:sz w:val="21"/>
                <w:szCs w:val="21"/>
                <w:highlight w:val="none"/>
                <w:lang w:val="en-US" w:eastAsia="zh-CN" w:bidi="ar"/>
              </w:rPr>
              <w:t>自2021年1月1日起至今，</w:t>
            </w:r>
            <w:r>
              <w:rPr>
                <w:rFonts w:hint="eastAsia"/>
                <w:color w:val="auto"/>
                <w:highlight w:val="none"/>
              </w:rPr>
              <w:t>获得过污染治理类相关的省（部</w:t>
            </w:r>
            <w:r>
              <w:rPr>
                <w:rFonts w:hint="default"/>
                <w:color w:val="auto"/>
                <w:highlight w:val="none"/>
              </w:rPr>
              <w:t>）</w:t>
            </w:r>
            <w:r>
              <w:rPr>
                <w:rFonts w:hint="eastAsia"/>
                <w:color w:val="auto"/>
                <w:highlight w:val="none"/>
              </w:rPr>
              <w:t>级或以上科学技术进步奖项的，每项得</w:t>
            </w:r>
            <w:r>
              <w:rPr>
                <w:rFonts w:hint="default"/>
                <w:color w:val="auto"/>
                <w:highlight w:val="none"/>
              </w:rPr>
              <w:t xml:space="preserve"> </w:t>
            </w:r>
            <w:r>
              <w:rPr>
                <w:rFonts w:hint="eastAsia"/>
                <w:color w:val="auto"/>
                <w:highlight w:val="none"/>
                <w:lang w:val="en-US" w:eastAsia="zh-CN"/>
              </w:rPr>
              <w:t xml:space="preserve">7 </w:t>
            </w:r>
            <w:r>
              <w:rPr>
                <w:rFonts w:hint="default"/>
                <w:color w:val="auto"/>
                <w:highlight w:val="none"/>
              </w:rPr>
              <w:t>分；</w:t>
            </w:r>
            <w:r>
              <w:rPr>
                <w:rFonts w:hint="eastAsia"/>
                <w:color w:val="auto"/>
                <w:highlight w:val="none"/>
              </w:rPr>
              <w:t>获得</w:t>
            </w:r>
            <w:r>
              <w:rPr>
                <w:rFonts w:hint="default"/>
                <w:color w:val="auto"/>
                <w:highlight w:val="none"/>
              </w:rPr>
              <w:t>过</w:t>
            </w:r>
            <w:r>
              <w:rPr>
                <w:rFonts w:hint="eastAsia"/>
                <w:color w:val="auto"/>
                <w:highlight w:val="none"/>
              </w:rPr>
              <w:t>市级科学技术进步奖项的</w:t>
            </w:r>
            <w:r>
              <w:rPr>
                <w:rFonts w:hint="default"/>
                <w:color w:val="auto"/>
                <w:highlight w:val="none"/>
              </w:rPr>
              <w:t>，</w:t>
            </w:r>
            <w:r>
              <w:rPr>
                <w:rFonts w:hint="eastAsia"/>
                <w:color w:val="auto"/>
                <w:highlight w:val="none"/>
              </w:rPr>
              <w:t>每</w:t>
            </w:r>
            <w:r>
              <w:rPr>
                <w:rFonts w:hint="default"/>
                <w:color w:val="auto"/>
                <w:highlight w:val="none"/>
              </w:rPr>
              <w:t xml:space="preserve">项得 </w:t>
            </w:r>
            <w:r>
              <w:rPr>
                <w:rFonts w:hint="eastAsia"/>
                <w:color w:val="auto"/>
                <w:highlight w:val="none"/>
                <w:lang w:val="en-US" w:eastAsia="zh-CN"/>
              </w:rPr>
              <w:t>3.5</w:t>
            </w:r>
            <w:r>
              <w:rPr>
                <w:rFonts w:hint="default"/>
                <w:color w:val="auto"/>
                <w:highlight w:val="none"/>
              </w:rPr>
              <w:t xml:space="preserve"> 分；本项最多得</w:t>
            </w:r>
            <w:r>
              <w:rPr>
                <w:rFonts w:hint="eastAsia"/>
                <w:color w:val="auto"/>
                <w:highlight w:val="none"/>
                <w:lang w:val="en-US" w:eastAsia="zh-CN"/>
              </w:rPr>
              <w:t>7</w:t>
            </w:r>
            <w:r>
              <w:rPr>
                <w:rFonts w:hint="default"/>
                <w:color w:val="auto"/>
                <w:highlight w:val="none"/>
              </w:rPr>
              <w:t>分。</w:t>
            </w:r>
          </w:p>
          <w:p w14:paraId="611B17CF">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注：须提供相关证书扫描件和相关主管部门官方网站查询截图，否则不得分。</w:t>
            </w:r>
          </w:p>
        </w:tc>
      </w:tr>
      <w:tr w14:paraId="3669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Merge w:val="continue"/>
            <w:vAlign w:val="top"/>
          </w:tcPr>
          <w:p w14:paraId="7E1A5A01">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7801995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第三方评价</w:t>
            </w:r>
          </w:p>
        </w:tc>
        <w:tc>
          <w:tcPr>
            <w:tcW w:w="900" w:type="dxa"/>
            <w:vAlign w:val="center"/>
          </w:tcPr>
          <w:p w14:paraId="29AE38C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0515" w:type="dxa"/>
            <w:vAlign w:val="top"/>
          </w:tcPr>
          <w:p w14:paraId="5E93A6C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投标人（若为联合体，指联合体牵头方）具有在有效期内的质量管理体系认证、环境管理体系认证、职业健康安全管理体系认证，全部具备的得3分，每少1个扣1分，最多扣至0分。 </w:t>
            </w:r>
          </w:p>
          <w:p w14:paraId="4434515D">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注：须提供有效的证书扫描件，否则不得分。</w:t>
            </w:r>
          </w:p>
        </w:tc>
      </w:tr>
      <w:tr w14:paraId="3BEBA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266" w:type="dxa"/>
            <w:vMerge w:val="restart"/>
            <w:vAlign w:val="center"/>
          </w:tcPr>
          <w:p w14:paraId="50285A27">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项目实施组织方案部分</w:t>
            </w:r>
            <w:r>
              <w:rPr>
                <w:rFonts w:hint="eastAsia" w:ascii="宋体" w:hAnsi="宋体" w:eastAsia="宋体"/>
                <w:color w:val="auto"/>
                <w:sz w:val="21"/>
                <w:szCs w:val="21"/>
                <w:highlight w:val="none"/>
                <w:vertAlign w:val="baseline"/>
                <w:lang w:val="en-US" w:eastAsia="zh-CN"/>
              </w:rPr>
              <w:t>(64分）</w:t>
            </w:r>
          </w:p>
        </w:tc>
        <w:tc>
          <w:tcPr>
            <w:tcW w:w="1493" w:type="dxa"/>
            <w:vAlign w:val="center"/>
          </w:tcPr>
          <w:p w14:paraId="3ED974F7">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设计和施工的</w:t>
            </w:r>
            <w:r>
              <w:rPr>
                <w:rFonts w:hint="eastAsia" w:ascii="宋体" w:hAnsi="宋体" w:eastAsia="宋体" w:cs="宋体"/>
                <w:color w:val="auto"/>
                <w:sz w:val="21"/>
                <w:szCs w:val="21"/>
                <w:highlight w:val="none"/>
                <w:lang w:eastAsia="zh-CN"/>
              </w:rPr>
              <w:t>管理团队</w:t>
            </w:r>
          </w:p>
        </w:tc>
        <w:tc>
          <w:tcPr>
            <w:tcW w:w="900" w:type="dxa"/>
            <w:vAlign w:val="center"/>
          </w:tcPr>
          <w:p w14:paraId="1F4C8748">
            <w:pPr>
              <w:keepNext w:val="0"/>
              <w:keepLines w:val="0"/>
              <w:suppressLineNumbers w:val="0"/>
              <w:spacing w:before="0" w:beforeAutospacing="0" w:after="0" w:afterAutospacing="0"/>
              <w:ind w:left="0" w:right="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w:t>
            </w:r>
          </w:p>
        </w:tc>
        <w:tc>
          <w:tcPr>
            <w:tcW w:w="10515" w:type="dxa"/>
            <w:vAlign w:val="top"/>
          </w:tcPr>
          <w:p w14:paraId="2C13EABF">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1、设计管理团队</w:t>
            </w:r>
          </w:p>
          <w:p w14:paraId="560888AF">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（1）设计负责人具有：</w:t>
            </w:r>
          </w:p>
          <w:p w14:paraId="5651227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①具备注册环保工程师证书的，得</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14:paraId="3F1FDED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②具备注册造价工程师或一级注册造价工程师证书的，得</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14:paraId="17225EC6">
            <w:pPr>
              <w:keepNext w:val="0"/>
              <w:keepLines w:val="0"/>
              <w:widowControl w:val="0"/>
              <w:suppressLineNumbers w:val="0"/>
              <w:spacing w:before="0" w:beforeAutospacing="0" w:after="0" w:afterAutospacing="0"/>
              <w:ind w:left="0" w:right="0"/>
              <w:jc w:val="both"/>
              <w:rPr>
                <w:rFonts w:hint="eastAsia"/>
                <w:color w:val="auto"/>
                <w:highlight w:val="none"/>
              </w:rPr>
            </w:pPr>
            <w:r>
              <w:rPr>
                <w:rFonts w:hint="eastAsia" w:ascii="宋体" w:hAnsi="宋体" w:eastAsia="宋体" w:cs="宋体"/>
                <w:color w:val="auto"/>
                <w:kern w:val="0"/>
                <w:sz w:val="21"/>
                <w:szCs w:val="21"/>
                <w:highlight w:val="none"/>
                <w:lang w:val="en-US" w:eastAsia="zh-CN" w:bidi="ar"/>
              </w:rPr>
              <w:t>③</w:t>
            </w:r>
            <w:r>
              <w:rPr>
                <w:rFonts w:hint="eastAsia"/>
                <w:color w:val="auto"/>
                <w:highlight w:val="none"/>
              </w:rPr>
              <w:t>自</w:t>
            </w:r>
            <w:r>
              <w:rPr>
                <w:rFonts w:hint="default"/>
                <w:color w:val="auto"/>
                <w:highlight w:val="none"/>
              </w:rPr>
              <w:t xml:space="preserve"> 2021 年1月1日起至今，</w:t>
            </w:r>
            <w:r>
              <w:rPr>
                <w:rFonts w:hint="eastAsia"/>
                <w:color w:val="auto"/>
                <w:highlight w:val="none"/>
              </w:rPr>
              <w:t>以</w:t>
            </w:r>
            <w:r>
              <w:rPr>
                <w:rFonts w:hint="default"/>
                <w:color w:val="auto"/>
                <w:highlight w:val="none"/>
              </w:rPr>
              <w:t>设计负责人</w:t>
            </w:r>
            <w:r>
              <w:rPr>
                <w:rFonts w:hint="eastAsia"/>
                <w:color w:val="auto"/>
                <w:highlight w:val="none"/>
              </w:rPr>
              <w:t>身份</w:t>
            </w:r>
            <w:r>
              <w:rPr>
                <w:rFonts w:hint="default"/>
                <w:color w:val="auto"/>
                <w:highlight w:val="none"/>
              </w:rPr>
              <w:t>承担过类似项目设计业绩（类似项目设计业</w:t>
            </w:r>
            <w:r>
              <w:rPr>
                <w:rFonts w:hint="eastAsia"/>
                <w:color w:val="auto"/>
                <w:highlight w:val="none"/>
              </w:rPr>
              <w:t>绩是指土壤修复项目相关设计业绩）的，每个得</w:t>
            </w:r>
            <w:r>
              <w:rPr>
                <w:rFonts w:hint="default"/>
                <w:color w:val="auto"/>
                <w:highlight w:val="none"/>
              </w:rPr>
              <w:t xml:space="preserve"> 2 分，本项最多得 2 分。</w:t>
            </w:r>
            <w:r>
              <w:rPr>
                <w:rFonts w:hint="eastAsia"/>
                <w:color w:val="auto"/>
                <w:highlight w:val="none"/>
              </w:rPr>
              <w:t>注：业绩时间以合同签订时间为准，需提供中标</w:t>
            </w:r>
            <w:r>
              <w:rPr>
                <w:rFonts w:hint="default"/>
                <w:color w:val="auto"/>
                <w:highlight w:val="none"/>
              </w:rPr>
              <w:t>通知书</w:t>
            </w:r>
            <w:r>
              <w:rPr>
                <w:rFonts w:hint="eastAsia"/>
                <w:color w:val="auto"/>
                <w:highlight w:val="none"/>
              </w:rPr>
              <w:t>和合同关键页扫描件（合同中无法提供体现项目内容、规模的需提供甲方相关证明）。</w:t>
            </w:r>
          </w:p>
          <w:p w14:paraId="12AD9FF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（2）设计管理团队其他成员（除设计负责人外）：</w:t>
            </w:r>
          </w:p>
          <w:p w14:paraId="738AD8D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①拟为本项目配备的环境专业负责人具有环境工程相关专业高级（或以上）职称得1分，具有环境工程相关专业中级职称得0.5分；具有注册环保工程师证书的，得1分。本小项最多得2分。</w:t>
            </w:r>
          </w:p>
          <w:p w14:paraId="168BD90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②拟为本项目配备的结构专业负责人具有结构相关专业高级（或以上）工程师职称得1分，具有结构相关专业工程师职称得0.5分；具有一级注册结构工程师证书的，得1分。本小项最多得2分。</w:t>
            </w:r>
          </w:p>
          <w:p w14:paraId="0374D68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③拟为本项目配备的排水专业负责人具有给排水相关专业高级（或以上）工程师职称得1分，具有给排水相关专业工程师职称得0.5分；具有注册公用设备工程师(给排水)证书的，得1分。本小项最多得2 分。</w:t>
            </w:r>
          </w:p>
          <w:p w14:paraId="3034B96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④拟为本项目配备的岩土专业负责人具有岩土工程相关专业高级（或以上）工程师职称得1分，具有岩土工程相关专业工程师职称得0.5分；具有注册土木工程师(岩土)证书的，得1分。本小项最多得2 分。</w:t>
            </w:r>
          </w:p>
          <w:p w14:paraId="17E24AD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⑤拟为本项目配备的经济专业负责人具有工程造价相关专业高级（或以上）工程师职称得1分，具有工程造价相关专业工程师职称得0.5分；具有注册造价工程师或一级注册造价工程师证书的，得1分。本小项最多得2 分。</w:t>
            </w:r>
          </w:p>
          <w:p w14:paraId="27B04B0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注：须提供上述人员的相关证书的扫描件及截止投标前近一个月（即2024年</w:t>
            </w: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月）在投标单位的社会保险参保证明，若为联合体投标的，由承担设计工作的其中一方提供。</w:t>
            </w:r>
          </w:p>
          <w:p w14:paraId="1E52F8A2">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2、施工管理团队</w:t>
            </w:r>
          </w:p>
          <w:p w14:paraId="593AE46D">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（1）技术负责人：</w:t>
            </w:r>
          </w:p>
          <w:p w14:paraId="494EEA8E">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①具备环境工程相关专业高级（或以上）职称的得2分，本小项最多得2分；</w:t>
            </w:r>
          </w:p>
          <w:p w14:paraId="63C52337">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②自2021年1月1日起至今，以技术负责人身份完成过土壤修复项目相关业绩的，每个得2分，本小项最高得</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分。</w:t>
            </w:r>
          </w:p>
          <w:p w14:paraId="009E7BD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（2）施工团队成员（除项目负责人、技术负责人外）：</w:t>
            </w:r>
            <w:r>
              <w:rPr>
                <w:rFonts w:hint="eastAsia" w:ascii="宋体" w:hAnsi="宋体" w:eastAsia="宋体" w:cs="宋体"/>
                <w:color w:val="auto"/>
                <w:kern w:val="0"/>
                <w:sz w:val="21"/>
                <w:szCs w:val="21"/>
                <w:highlight w:val="none"/>
                <w:lang w:val="en-US" w:eastAsia="zh-CN" w:bidi="ar"/>
              </w:rPr>
              <w:t>具备注册安全工程师证、注册环保工程师资格证、环境工程相关专业高级（或以上）职称、岩土工程相关专业高级（或以上）技术职称的，全部具备的得6分；每少1个扣1.5分，最多扣至0分。</w:t>
            </w:r>
          </w:p>
          <w:p w14:paraId="3BBD5D6C">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注：须提供上述人员的相关证书扫描件及截止投标前近一个月（即2024年</w:t>
            </w: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月）在投标单位的社会保险参保证明；技术负责人业绩证明材料需提供（业绩时间以合同签订时间为准）：①合同关键页扫描件；②生态环境行政主管部门备案函或专家会通过的评审意见或验收通过证明；③如合同中无法提供体现技术负责人的需提供甲方相关证明。若联合体投标的，由承担施工工作的其中一方提供。分包工程、非联合体牵头方的业绩无效。</w:t>
            </w:r>
          </w:p>
        </w:tc>
      </w:tr>
      <w:tr w14:paraId="074A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1266" w:type="dxa"/>
            <w:vMerge w:val="continue"/>
            <w:vAlign w:val="top"/>
          </w:tcPr>
          <w:p w14:paraId="4CFD26C7">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09ED8B02">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项目实施方案</w:t>
            </w:r>
          </w:p>
        </w:tc>
        <w:tc>
          <w:tcPr>
            <w:tcW w:w="900" w:type="dxa"/>
            <w:vAlign w:val="center"/>
          </w:tcPr>
          <w:p w14:paraId="7C23236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0515" w:type="dxa"/>
            <w:vAlign w:val="center"/>
          </w:tcPr>
          <w:p w14:paraId="3A1AB037">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1、项目实施方案针对性强，技术措施先进、合理得7分；</w:t>
            </w:r>
          </w:p>
          <w:p w14:paraId="175790F8">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2、项目实施方案针对性较强，技术措施较先进、较合理得5分；</w:t>
            </w:r>
          </w:p>
          <w:p w14:paraId="3A4FCED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3、项目实施方案针对性一般，技术措施基本可行得3分；</w:t>
            </w:r>
          </w:p>
          <w:p w14:paraId="6207304B">
            <w:pPr>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4、不提供或者没有方案得0分</w:t>
            </w:r>
          </w:p>
        </w:tc>
      </w:tr>
      <w:tr w14:paraId="2C138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Merge w:val="continue"/>
            <w:vAlign w:val="top"/>
          </w:tcPr>
          <w:p w14:paraId="71824F52">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637818EE">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安全控制措施</w:t>
            </w:r>
          </w:p>
        </w:tc>
        <w:tc>
          <w:tcPr>
            <w:tcW w:w="900" w:type="dxa"/>
            <w:vAlign w:val="center"/>
          </w:tcPr>
          <w:p w14:paraId="057129DB">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0515" w:type="dxa"/>
            <w:vAlign w:val="center"/>
          </w:tcPr>
          <w:p w14:paraId="2AEA5AC5">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1、安全控制方案针对性强，技术措施先进、合理得7分；</w:t>
            </w:r>
          </w:p>
          <w:p w14:paraId="6CFD77A4">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2、安全控制方案针对性较强，技术措施较先进、较合理得5分；</w:t>
            </w:r>
          </w:p>
          <w:p w14:paraId="3DAC48A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3、安全控制方案针对性一般，技术措施基本可行得3分；</w:t>
            </w:r>
          </w:p>
          <w:p w14:paraId="2AE0CFED">
            <w:pPr>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4、不提供或者没有方案得0分</w:t>
            </w:r>
          </w:p>
        </w:tc>
      </w:tr>
      <w:tr w14:paraId="7A770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Merge w:val="continue"/>
            <w:vAlign w:val="top"/>
          </w:tcPr>
          <w:p w14:paraId="329FE94C">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2BE5A235">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质量控制措施</w:t>
            </w:r>
          </w:p>
        </w:tc>
        <w:tc>
          <w:tcPr>
            <w:tcW w:w="900" w:type="dxa"/>
            <w:vAlign w:val="center"/>
          </w:tcPr>
          <w:p w14:paraId="6D164135">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10515" w:type="dxa"/>
            <w:vAlign w:val="center"/>
          </w:tcPr>
          <w:p w14:paraId="16151F32">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1、质量控制方案针对性强，技术措施先进、合理得7分；</w:t>
            </w:r>
          </w:p>
          <w:p w14:paraId="2572B5CE">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2、质量控制方案针对性较强，技术措施较先进、较合理得5分；</w:t>
            </w:r>
          </w:p>
          <w:p w14:paraId="64BC40B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3、质量控制方案针对性一般，技术措施基本可行得3分；</w:t>
            </w:r>
          </w:p>
          <w:p w14:paraId="2A142139">
            <w:pPr>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4、不提供或者没有方案得0分</w:t>
            </w:r>
          </w:p>
        </w:tc>
      </w:tr>
      <w:tr w14:paraId="2DC8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Merge w:val="continue"/>
            <w:vAlign w:val="top"/>
          </w:tcPr>
          <w:p w14:paraId="62648BA8">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529EA930">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进度控制措施</w:t>
            </w:r>
          </w:p>
        </w:tc>
        <w:tc>
          <w:tcPr>
            <w:tcW w:w="900" w:type="dxa"/>
            <w:vAlign w:val="center"/>
          </w:tcPr>
          <w:p w14:paraId="726D0D1F">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0515" w:type="dxa"/>
            <w:vAlign w:val="center"/>
          </w:tcPr>
          <w:p w14:paraId="270FF836">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1、进度控制方案针对性强，技术措施先进、合理得7分；</w:t>
            </w:r>
          </w:p>
          <w:p w14:paraId="20B00CCC">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2、进度控制方案针对性较强，技术措施较先进、较合理得5分；</w:t>
            </w:r>
          </w:p>
          <w:p w14:paraId="4F34910A">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3、进度控制方案针对性一般，技术措施基本可行得3分；</w:t>
            </w:r>
          </w:p>
          <w:p w14:paraId="315DA3E2">
            <w:pPr>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4、不提供或者没有方案得0分</w:t>
            </w:r>
          </w:p>
        </w:tc>
      </w:tr>
      <w:tr w14:paraId="2C57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Merge w:val="continue"/>
            <w:vAlign w:val="top"/>
          </w:tcPr>
          <w:p w14:paraId="3A00F9B0">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1877BDB2">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绿色节能控制措施</w:t>
            </w:r>
          </w:p>
        </w:tc>
        <w:tc>
          <w:tcPr>
            <w:tcW w:w="900" w:type="dxa"/>
            <w:vAlign w:val="center"/>
          </w:tcPr>
          <w:p w14:paraId="25C6D861">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0515" w:type="dxa"/>
            <w:vAlign w:val="center"/>
          </w:tcPr>
          <w:p w14:paraId="5D1A6AFF">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1、绿色施工、污染防治措施针对性强，技术措施先进、合理得6分；</w:t>
            </w:r>
          </w:p>
          <w:p w14:paraId="27737C73">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2、绿色施工、污染防治措施针对性较强，技术措施较先进、较合理得4分；</w:t>
            </w:r>
          </w:p>
          <w:p w14:paraId="764D0889">
            <w:pPr>
              <w:keepNext w:val="0"/>
              <w:keepLines w:val="0"/>
              <w:widowControl w:val="0"/>
              <w:suppressLineNumbers w:val="0"/>
              <w:spacing w:before="0" w:beforeAutospacing="0" w:after="0" w:afterAutospacing="0"/>
              <w:ind w:left="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3、绿色施工、污染防治措施针对性一般，技术措施基本可行得2分；</w:t>
            </w:r>
          </w:p>
          <w:p w14:paraId="4AD1D8D6">
            <w:pPr>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4、不提供或者没有方案得0分</w:t>
            </w:r>
          </w:p>
        </w:tc>
      </w:tr>
      <w:tr w14:paraId="7BA5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top"/>
          </w:tcPr>
          <w:p w14:paraId="7E610631">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vertAlign w:val="baseline"/>
              </w:rPr>
            </w:pPr>
          </w:p>
        </w:tc>
        <w:tc>
          <w:tcPr>
            <w:tcW w:w="1493" w:type="dxa"/>
            <w:vAlign w:val="center"/>
          </w:tcPr>
          <w:p w14:paraId="085AF2CE">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总分</w:t>
            </w:r>
          </w:p>
        </w:tc>
        <w:tc>
          <w:tcPr>
            <w:tcW w:w="900" w:type="dxa"/>
            <w:vAlign w:val="center"/>
          </w:tcPr>
          <w:p w14:paraId="79DF4697">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100</w:t>
            </w:r>
          </w:p>
        </w:tc>
        <w:tc>
          <w:tcPr>
            <w:tcW w:w="10515" w:type="dxa"/>
            <w:vAlign w:val="center"/>
          </w:tcPr>
          <w:p w14:paraId="35C54B0C">
            <w:pPr>
              <w:keepNext w:val="0"/>
              <w:keepLines w:val="0"/>
              <w:numPr>
                <w:ilvl w:val="0"/>
                <w:numId w:val="0"/>
              </w:numPr>
              <w:suppressLineNumbers w:val="0"/>
              <w:spacing w:before="0" w:beforeAutospacing="0" w:after="0" w:afterAutospacing="0" w:line="240" w:lineRule="auto"/>
              <w:ind w:left="0" w:leftChars="0" w:right="0" w:firstLine="0" w:firstLineChars="0"/>
              <w:rPr>
                <w:rFonts w:hint="eastAsia" w:ascii="宋体" w:hAnsi="宋体" w:eastAsia="宋体"/>
                <w:b w:val="0"/>
                <w:bCs w:val="0"/>
                <w:color w:val="auto"/>
                <w:sz w:val="21"/>
                <w:szCs w:val="21"/>
                <w:highlight w:val="none"/>
                <w:lang w:val="en-US" w:eastAsia="zh-CN"/>
              </w:rPr>
            </w:pPr>
          </w:p>
        </w:tc>
      </w:tr>
    </w:tbl>
    <w:p w14:paraId="6F490AB9">
      <w:pPr>
        <w:rPr>
          <w:color w:val="auto"/>
          <w:highlight w:val="none"/>
        </w:rPr>
      </w:pPr>
    </w:p>
    <w:p w14:paraId="246FE205">
      <w:pPr>
        <w:spacing w:line="360" w:lineRule="auto"/>
        <w:rPr>
          <w:rFonts w:ascii="宋体" w:hAnsi="宋体"/>
          <w:color w:val="auto"/>
          <w:kern w:val="1"/>
          <w:sz w:val="24"/>
          <w:highlight w:val="none"/>
        </w:rPr>
      </w:pPr>
    </w:p>
    <w:p w14:paraId="25686378">
      <w:pPr>
        <w:spacing w:line="360" w:lineRule="auto"/>
        <w:rPr>
          <w:rFonts w:ascii="宋体" w:hAnsi="宋体"/>
          <w:color w:val="auto"/>
          <w:kern w:val="1"/>
          <w:szCs w:val="21"/>
          <w:highlight w:val="none"/>
        </w:rPr>
        <w:sectPr>
          <w:headerReference r:id="rId11" w:type="default"/>
          <w:footerReference r:id="rId12" w:type="default"/>
          <w:pgSz w:w="16840" w:h="11907" w:orient="landscape"/>
          <w:pgMar w:top="1304" w:right="1361" w:bottom="1304" w:left="1304" w:header="851" w:footer="720" w:gutter="0"/>
          <w:cols w:space="720" w:num="1"/>
          <w:docGrid w:linePitch="0" w:charSpace="0"/>
        </w:sectPr>
      </w:pPr>
    </w:p>
    <w:p w14:paraId="2EDB5D98">
      <w:pPr>
        <w:pStyle w:val="8"/>
        <w:spacing w:line="360" w:lineRule="auto"/>
        <w:jc w:val="center"/>
        <w:rPr>
          <w:rFonts w:hint="eastAsia" w:ascii="宋体" w:hAnsi="宋体"/>
          <w:color w:val="auto"/>
          <w:kern w:val="1"/>
          <w:highlight w:val="none"/>
        </w:rPr>
      </w:pPr>
      <w:bookmarkStart w:id="518" w:name="_Toc25769"/>
      <w:bookmarkEnd w:id="518"/>
      <w:bookmarkStart w:id="519" w:name="_Toc5620359"/>
      <w:bookmarkEnd w:id="519"/>
      <w:bookmarkStart w:id="520" w:name="_Toc22345"/>
      <w:bookmarkEnd w:id="520"/>
      <w:r>
        <w:rPr>
          <w:rFonts w:hint="eastAsia" w:ascii="宋体" w:hAnsi="宋体"/>
          <w:color w:val="auto"/>
          <w:kern w:val="1"/>
          <w:highlight w:val="none"/>
        </w:rPr>
        <w:t>第四章 合同条款及格式</w:t>
      </w:r>
    </w:p>
    <w:p w14:paraId="7124C9D9">
      <w:pPr>
        <w:spacing w:line="360" w:lineRule="auto"/>
        <w:jc w:val="center"/>
        <w:rPr>
          <w:rFonts w:hint="eastAsia" w:ascii="宋体" w:hAnsi="宋体"/>
          <w:b/>
          <w:color w:val="auto"/>
          <w:kern w:val="1"/>
          <w:sz w:val="24"/>
          <w:highlight w:val="none"/>
        </w:rPr>
      </w:pPr>
      <w:r>
        <w:rPr>
          <w:rFonts w:hint="eastAsia" w:ascii="宋体" w:hAnsi="宋体"/>
          <w:b/>
          <w:color w:val="auto"/>
          <w:kern w:val="1"/>
          <w:sz w:val="24"/>
          <w:highlight w:val="none"/>
        </w:rPr>
        <w:t xml:space="preserve">      (另册)</w:t>
      </w:r>
    </w:p>
    <w:p w14:paraId="38099AA2">
      <w:pPr>
        <w:pStyle w:val="8"/>
        <w:spacing w:line="360" w:lineRule="auto"/>
        <w:jc w:val="center"/>
        <w:rPr>
          <w:b w:val="0"/>
          <w:color w:val="auto"/>
          <w:kern w:val="1"/>
          <w:sz w:val="28"/>
          <w:szCs w:val="28"/>
          <w:highlight w:val="none"/>
        </w:rPr>
      </w:pPr>
      <w:bookmarkStart w:id="521" w:name="_Toc3417"/>
      <w:bookmarkEnd w:id="521"/>
      <w:r>
        <w:rPr>
          <w:b w:val="0"/>
          <w:color w:val="auto"/>
          <w:kern w:val="1"/>
          <w:sz w:val="28"/>
          <w:szCs w:val="28"/>
          <w:highlight w:val="none"/>
        </w:rPr>
        <w:br w:type="page"/>
      </w:r>
      <w:r>
        <w:rPr>
          <w:rFonts w:hint="eastAsia" w:ascii="宋体" w:hAnsi="宋体"/>
          <w:color w:val="auto"/>
          <w:kern w:val="1"/>
          <w:highlight w:val="none"/>
        </w:rPr>
        <w:t>第五章 发包人要求</w:t>
      </w:r>
    </w:p>
    <w:p w14:paraId="162C5DAF">
      <w:pPr>
        <w:jc w:val="center"/>
        <w:rPr>
          <w:rFonts w:hint="eastAsia" w:ascii="宋体" w:hAnsi="宋体"/>
          <w:b/>
          <w:color w:val="auto"/>
          <w:kern w:val="1"/>
          <w:sz w:val="24"/>
          <w:highlight w:val="none"/>
        </w:rPr>
      </w:pPr>
      <w:bookmarkStart w:id="522" w:name="_Toc5620360"/>
      <w:r>
        <w:rPr>
          <w:rFonts w:hint="eastAsia" w:ascii="宋体" w:hAnsi="宋体"/>
          <w:b/>
          <w:color w:val="auto"/>
          <w:kern w:val="1"/>
          <w:sz w:val="24"/>
          <w:highlight w:val="none"/>
        </w:rPr>
        <w:t>(另册)</w:t>
      </w:r>
    </w:p>
    <w:p w14:paraId="42E0EF41">
      <w:pPr>
        <w:spacing w:line="360" w:lineRule="auto"/>
        <w:rPr>
          <w:rFonts w:hint="eastAsia"/>
          <w:color w:val="auto"/>
          <w:highlight w:val="none"/>
        </w:rPr>
      </w:pPr>
    </w:p>
    <w:p w14:paraId="5010E524">
      <w:pPr>
        <w:pStyle w:val="20"/>
        <w:rPr>
          <w:rFonts w:hint="eastAsia"/>
          <w:color w:val="auto"/>
          <w:highlight w:val="none"/>
          <w:lang w:val="en-US"/>
        </w:rPr>
      </w:pPr>
    </w:p>
    <w:p w14:paraId="500DB55C">
      <w:pPr>
        <w:rPr>
          <w:color w:val="auto"/>
          <w:highlight w:val="none"/>
        </w:rPr>
      </w:pPr>
      <w:r>
        <w:rPr>
          <w:color w:val="auto"/>
          <w:highlight w:val="none"/>
        </w:rPr>
        <w:br w:type="page"/>
      </w:r>
    </w:p>
    <w:bookmarkEnd w:id="522"/>
    <w:p w14:paraId="09CEA02A">
      <w:pPr>
        <w:pStyle w:val="8"/>
        <w:spacing w:line="360" w:lineRule="auto"/>
        <w:jc w:val="center"/>
        <w:rPr>
          <w:rFonts w:hint="eastAsia"/>
          <w:color w:val="auto"/>
          <w:highlight w:val="none"/>
        </w:rPr>
      </w:pPr>
      <w:bookmarkStart w:id="523" w:name="_Toc7370"/>
      <w:bookmarkEnd w:id="523"/>
      <w:r>
        <w:rPr>
          <w:rFonts w:hint="eastAsia"/>
          <w:color w:val="auto"/>
          <w:highlight w:val="none"/>
        </w:rPr>
        <w:t xml:space="preserve">第六章 </w:t>
      </w:r>
      <w:r>
        <w:rPr>
          <w:rFonts w:hint="eastAsia" w:ascii="宋体" w:hAnsi="宋体"/>
          <w:color w:val="auto"/>
          <w:highlight w:val="none"/>
        </w:rPr>
        <w:t>发包人</w:t>
      </w:r>
      <w:r>
        <w:rPr>
          <w:rFonts w:hint="eastAsia"/>
          <w:color w:val="auto"/>
          <w:highlight w:val="none"/>
        </w:rPr>
        <w:t>提供的资料</w:t>
      </w:r>
    </w:p>
    <w:p w14:paraId="11001CC8">
      <w:pPr>
        <w:spacing w:line="360" w:lineRule="auto"/>
        <w:jc w:val="center"/>
        <w:rPr>
          <w:rFonts w:ascii="宋体" w:hAnsi="宋体"/>
          <w:color w:val="auto"/>
          <w:kern w:val="1"/>
          <w:sz w:val="36"/>
          <w:szCs w:val="36"/>
          <w:highlight w:val="none"/>
        </w:rPr>
      </w:pPr>
      <w:bookmarkStart w:id="524" w:name="_Toc439246070"/>
      <w:bookmarkEnd w:id="524"/>
      <w:bookmarkStart w:id="525" w:name="_Toc436834794"/>
      <w:bookmarkEnd w:id="525"/>
      <w:bookmarkStart w:id="526" w:name="_Toc439240671"/>
      <w:bookmarkEnd w:id="526"/>
      <w:bookmarkStart w:id="527" w:name="_Toc436834201"/>
      <w:bookmarkEnd w:id="527"/>
      <w:r>
        <w:rPr>
          <w:rFonts w:ascii="宋体" w:hAnsi="宋体"/>
          <w:color w:val="auto"/>
          <w:kern w:val="1"/>
          <w:sz w:val="36"/>
          <w:szCs w:val="36"/>
          <w:highlight w:val="none"/>
        </w:rPr>
        <w:t>另册</w:t>
      </w:r>
      <w:r>
        <w:rPr>
          <w:rFonts w:ascii="宋体" w:hAnsi="宋体"/>
          <w:color w:val="auto"/>
          <w:kern w:val="1"/>
          <w:sz w:val="36"/>
          <w:szCs w:val="36"/>
          <w:highlight w:val="none"/>
        </w:rPr>
        <w:br w:type="page"/>
      </w:r>
    </w:p>
    <w:p w14:paraId="44597F35">
      <w:pPr>
        <w:pStyle w:val="8"/>
        <w:spacing w:line="360" w:lineRule="auto"/>
        <w:jc w:val="center"/>
        <w:rPr>
          <w:rFonts w:hint="eastAsia"/>
          <w:color w:val="auto"/>
          <w:highlight w:val="none"/>
        </w:rPr>
      </w:pPr>
      <w:bookmarkStart w:id="528" w:name="_Toc16136"/>
      <w:bookmarkEnd w:id="528"/>
      <w:bookmarkStart w:id="529" w:name="_Toc1542"/>
      <w:bookmarkEnd w:id="529"/>
      <w:bookmarkStart w:id="530" w:name="_Toc5620362"/>
      <w:bookmarkEnd w:id="530"/>
      <w:r>
        <w:rPr>
          <w:rFonts w:hint="eastAsia"/>
          <w:color w:val="auto"/>
          <w:highlight w:val="none"/>
        </w:rPr>
        <w:t>第七章 投标文件格式</w:t>
      </w:r>
    </w:p>
    <w:p w14:paraId="43535ED4">
      <w:pPr>
        <w:autoSpaceDE w:val="0"/>
        <w:autoSpaceDN w:val="0"/>
        <w:spacing w:line="360" w:lineRule="auto"/>
        <w:jc w:val="center"/>
        <w:rPr>
          <w:rFonts w:ascii="宋体" w:hAnsi="宋体"/>
          <w:color w:val="auto"/>
          <w:kern w:val="1"/>
          <w:sz w:val="20"/>
          <w:szCs w:val="20"/>
          <w:highlight w:val="none"/>
          <w:lang w:val="zh-CN"/>
        </w:rPr>
      </w:pPr>
      <w:r>
        <w:rPr>
          <w:rFonts w:ascii="宋体" w:hAnsi="宋体"/>
          <w:color w:val="auto"/>
          <w:kern w:val="1"/>
          <w:sz w:val="20"/>
          <w:szCs w:val="20"/>
          <w:highlight w:val="none"/>
          <w:lang w:val="zh-CN"/>
        </w:rPr>
        <w:br w:type="page"/>
      </w:r>
      <w:r>
        <w:rPr>
          <w:rFonts w:hint="eastAsia" w:ascii="宋体" w:hAnsi="宋体" w:eastAsia="宋体"/>
          <w:b/>
          <w:color w:val="auto"/>
          <w:sz w:val="56"/>
          <w:szCs w:val="56"/>
          <w:highlight w:val="none"/>
          <w:lang w:eastAsia="zh-CN"/>
        </w:rPr>
        <w:t>增城区永宁街岗丰村陈家林地块环境综合整治项目设计施工总承包</w:t>
      </w:r>
    </w:p>
    <w:p w14:paraId="2F6FB7EF">
      <w:pPr>
        <w:spacing w:line="360" w:lineRule="auto"/>
        <w:jc w:val="center"/>
        <w:rPr>
          <w:rFonts w:ascii="宋体" w:hAnsi="宋体"/>
          <w:b/>
          <w:bCs/>
          <w:color w:val="auto"/>
          <w:sz w:val="72"/>
          <w:szCs w:val="72"/>
          <w:highlight w:val="none"/>
        </w:rPr>
      </w:pPr>
    </w:p>
    <w:p w14:paraId="2A39DEB5">
      <w:pPr>
        <w:spacing w:line="360" w:lineRule="auto"/>
        <w:rPr>
          <w:rFonts w:ascii="宋体" w:hAnsi="宋体"/>
          <w:b/>
          <w:bCs/>
          <w:color w:val="auto"/>
          <w:sz w:val="56"/>
          <w:szCs w:val="56"/>
          <w:highlight w:val="none"/>
        </w:rPr>
      </w:pPr>
    </w:p>
    <w:p w14:paraId="43FF3714">
      <w:pPr>
        <w:spacing w:line="360" w:lineRule="auto"/>
        <w:jc w:val="center"/>
        <w:rPr>
          <w:rFonts w:hint="eastAsia" w:ascii="宋体" w:hAnsi="宋体" w:eastAsia="宋体"/>
          <w:b/>
          <w:color w:val="auto"/>
          <w:sz w:val="40"/>
          <w:szCs w:val="40"/>
          <w:highlight w:val="none"/>
          <w:lang w:val="zh-CN"/>
        </w:rPr>
      </w:pPr>
      <w:r>
        <w:rPr>
          <w:rFonts w:hint="eastAsia" w:ascii="宋体" w:hAnsi="宋体" w:eastAsia="宋体"/>
          <w:b/>
          <w:color w:val="auto"/>
          <w:sz w:val="40"/>
          <w:szCs w:val="40"/>
          <w:highlight w:val="none"/>
          <w:lang w:val="zh-CN"/>
        </w:rPr>
        <w:t>工程总承包实施方案（含资格审查）</w:t>
      </w:r>
    </w:p>
    <w:p w14:paraId="021B882C">
      <w:pPr>
        <w:spacing w:line="360" w:lineRule="auto"/>
        <w:jc w:val="center"/>
        <w:rPr>
          <w:rFonts w:hint="eastAsia" w:ascii="宋体" w:hAnsi="宋体" w:eastAsia="宋体"/>
          <w:b/>
          <w:color w:val="auto"/>
          <w:sz w:val="40"/>
          <w:szCs w:val="40"/>
          <w:highlight w:val="none"/>
          <w:lang w:val="zh-CN"/>
        </w:rPr>
      </w:pPr>
      <w:r>
        <w:rPr>
          <w:rFonts w:hint="eastAsia" w:ascii="宋体" w:hAnsi="宋体" w:eastAsia="宋体"/>
          <w:b/>
          <w:color w:val="auto"/>
          <w:sz w:val="40"/>
          <w:szCs w:val="40"/>
          <w:highlight w:val="none"/>
          <w:lang w:val="zh-CN"/>
        </w:rPr>
        <w:t>投标文件</w:t>
      </w:r>
    </w:p>
    <w:p w14:paraId="0F092C28">
      <w:pPr>
        <w:spacing w:line="360" w:lineRule="auto"/>
        <w:jc w:val="center"/>
        <w:rPr>
          <w:rStyle w:val="31"/>
          <w:b/>
          <w:color w:val="auto"/>
          <w:sz w:val="48"/>
          <w:highlight w:val="none"/>
        </w:rPr>
      </w:pPr>
    </w:p>
    <w:p w14:paraId="4847EA4F">
      <w:pPr>
        <w:spacing w:line="360" w:lineRule="auto"/>
        <w:jc w:val="center"/>
        <w:rPr>
          <w:rFonts w:ascii="宋体" w:hAnsi="宋体"/>
          <w:b/>
          <w:color w:val="auto"/>
          <w:highlight w:val="none"/>
        </w:rPr>
      </w:pPr>
    </w:p>
    <w:p w14:paraId="5E783D81">
      <w:pPr>
        <w:spacing w:line="360" w:lineRule="auto"/>
        <w:jc w:val="center"/>
        <w:rPr>
          <w:rFonts w:ascii="宋体" w:hAnsi="宋体"/>
          <w:b/>
          <w:color w:val="auto"/>
          <w:highlight w:val="none"/>
        </w:rPr>
      </w:pPr>
    </w:p>
    <w:p w14:paraId="09561F37">
      <w:pPr>
        <w:spacing w:line="360" w:lineRule="auto"/>
        <w:jc w:val="center"/>
        <w:rPr>
          <w:rFonts w:ascii="宋体" w:hAnsi="宋体"/>
          <w:b/>
          <w:color w:val="auto"/>
          <w:highlight w:val="none"/>
        </w:rPr>
      </w:pPr>
    </w:p>
    <w:p w14:paraId="1A8D3302">
      <w:pPr>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投标人名称：</w:t>
      </w:r>
    </w:p>
    <w:p w14:paraId="0001FF9D">
      <w:pPr>
        <w:jc w:val="center"/>
        <w:rPr>
          <w:rFonts w:hint="eastAsia"/>
          <w:b/>
          <w:color w:val="auto"/>
          <w:highlight w:val="none"/>
        </w:rPr>
      </w:pPr>
    </w:p>
    <w:p w14:paraId="063EEF61">
      <w:pPr>
        <w:spacing w:line="360" w:lineRule="auto"/>
        <w:jc w:val="center"/>
        <w:rPr>
          <w:rFonts w:ascii="宋体" w:hAnsi="宋体"/>
          <w:b/>
          <w:color w:val="auto"/>
          <w:sz w:val="30"/>
          <w:szCs w:val="30"/>
          <w:highlight w:val="none"/>
        </w:rPr>
      </w:pPr>
    </w:p>
    <w:p w14:paraId="20100C25">
      <w:pPr>
        <w:spacing w:line="360" w:lineRule="auto"/>
        <w:jc w:val="center"/>
        <w:rPr>
          <w:rFonts w:ascii="宋体" w:hAnsi="宋体"/>
          <w:b/>
          <w:color w:val="auto"/>
          <w:sz w:val="30"/>
          <w:szCs w:val="30"/>
          <w:highlight w:val="none"/>
        </w:rPr>
      </w:pPr>
    </w:p>
    <w:p w14:paraId="5B50F190">
      <w:pPr>
        <w:jc w:val="center"/>
        <w:rPr>
          <w:rFonts w:hint="eastAsia" w:ascii="宋体" w:hAnsi="宋体"/>
          <w:b/>
          <w:color w:val="auto"/>
          <w:sz w:val="30"/>
          <w:szCs w:val="30"/>
          <w:highlight w:val="none"/>
        </w:rPr>
      </w:pPr>
      <w:r>
        <w:rPr>
          <w:rFonts w:hint="eastAsia" w:ascii="宋体" w:hAnsi="宋体"/>
          <w:b/>
          <w:color w:val="auto"/>
          <w:sz w:val="30"/>
          <w:szCs w:val="30"/>
          <w:highlight w:val="none"/>
        </w:rPr>
        <w:t>年   月   日</w:t>
      </w:r>
    </w:p>
    <w:p w14:paraId="4177C4A2">
      <w:pPr>
        <w:pStyle w:val="20"/>
        <w:rPr>
          <w:rFonts w:hint="eastAsia"/>
          <w:color w:val="auto"/>
          <w:highlight w:val="none"/>
        </w:rPr>
      </w:pPr>
    </w:p>
    <w:p w14:paraId="18F79943">
      <w:pPr>
        <w:rPr>
          <w:color w:val="auto"/>
          <w:highlight w:val="none"/>
          <w:lang w:val="zh-CN"/>
        </w:rPr>
      </w:pPr>
      <w:r>
        <w:rPr>
          <w:color w:val="auto"/>
          <w:highlight w:val="none"/>
          <w:lang w:val="zh-CN"/>
        </w:rPr>
        <w:br w:type="page"/>
      </w:r>
    </w:p>
    <w:p w14:paraId="75C6013A">
      <w:pPr>
        <w:widowControl/>
        <w:snapToGrid w:val="0"/>
        <w:spacing w:line="360" w:lineRule="auto"/>
        <w:ind w:right="102"/>
        <w:jc w:val="left"/>
        <w:rPr>
          <w:rFonts w:hint="eastAsia" w:ascii="宋体" w:hAnsi="宋体"/>
          <w:b/>
          <w:color w:val="auto"/>
          <w:kern w:val="1"/>
          <w:sz w:val="24"/>
          <w:highlight w:val="none"/>
        </w:rPr>
      </w:pPr>
      <w:r>
        <w:rPr>
          <w:rFonts w:hint="eastAsia" w:ascii="宋体" w:hAnsi="宋体"/>
          <w:b/>
          <w:color w:val="auto"/>
          <w:kern w:val="1"/>
          <w:sz w:val="24"/>
          <w:highlight w:val="none"/>
        </w:rPr>
        <w:t>格式1：</w:t>
      </w:r>
    </w:p>
    <w:p w14:paraId="1354F5E8">
      <w:pPr>
        <w:autoSpaceDE w:val="0"/>
        <w:autoSpaceDN w:val="0"/>
        <w:spacing w:line="360" w:lineRule="auto"/>
        <w:jc w:val="center"/>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技术标投标书</w:t>
      </w:r>
    </w:p>
    <w:p w14:paraId="04729F4E">
      <w:pPr>
        <w:autoSpaceDE w:val="0"/>
        <w:autoSpaceDN w:val="0"/>
        <w:spacing w:line="360" w:lineRule="auto"/>
        <w:jc w:val="right"/>
        <w:rPr>
          <w:rFonts w:hint="eastAsia" w:ascii="宋体" w:hAnsi="宋体"/>
          <w:color w:val="auto"/>
          <w:sz w:val="24"/>
          <w:highlight w:val="none"/>
          <w:lang w:val="zh-CN"/>
        </w:rPr>
      </w:pPr>
      <w:r>
        <w:rPr>
          <w:rFonts w:hint="eastAsia" w:ascii="宋体" w:hAnsi="宋体"/>
          <w:color w:val="auto"/>
          <w:sz w:val="24"/>
          <w:highlight w:val="none"/>
          <w:lang w:val="zh-CN"/>
        </w:rPr>
        <w:t>投标日期：   年  月  日</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36"/>
        <w:gridCol w:w="1598"/>
        <w:gridCol w:w="5823"/>
      </w:tblGrid>
      <w:tr w14:paraId="5F47B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03" w:type="dxa"/>
            <w:vAlign w:val="center"/>
          </w:tcPr>
          <w:p w14:paraId="5A16AC74">
            <w:pPr>
              <w:autoSpaceDE w:val="0"/>
              <w:autoSpaceDN w:val="0"/>
              <w:jc w:val="center"/>
              <w:rPr>
                <w:rFonts w:hint="eastAsia" w:ascii="宋体" w:hAnsi="宋体"/>
                <w:b/>
                <w:color w:val="auto"/>
                <w:sz w:val="24"/>
                <w:highlight w:val="none"/>
                <w:lang w:val="zh-CN"/>
              </w:rPr>
            </w:pPr>
            <w:r>
              <w:rPr>
                <w:rFonts w:hint="eastAsia" w:ascii="宋体" w:hAnsi="宋体"/>
                <w:b/>
                <w:color w:val="auto"/>
                <w:sz w:val="24"/>
                <w:highlight w:val="none"/>
                <w:lang w:val="zh-CN"/>
              </w:rPr>
              <w:t>工 程 名 称</w:t>
            </w:r>
          </w:p>
        </w:tc>
        <w:tc>
          <w:tcPr>
            <w:tcW w:w="6043" w:type="dxa"/>
            <w:gridSpan w:val="2"/>
            <w:vAlign w:val="center"/>
          </w:tcPr>
          <w:p w14:paraId="7765B083">
            <w:pPr>
              <w:autoSpaceDE w:val="0"/>
              <w:autoSpaceDN w:val="0"/>
              <w:rPr>
                <w:rFonts w:ascii="宋体" w:hAnsi="宋体"/>
                <w:b/>
                <w:bCs/>
                <w:color w:val="auto"/>
                <w:sz w:val="24"/>
                <w:highlight w:val="none"/>
                <w:lang w:val="zh-CN"/>
              </w:rPr>
            </w:pPr>
          </w:p>
        </w:tc>
      </w:tr>
      <w:tr w14:paraId="13AB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03" w:type="dxa"/>
            <w:vAlign w:val="center"/>
          </w:tcPr>
          <w:p w14:paraId="6112EA60">
            <w:pPr>
              <w:jc w:val="center"/>
              <w:rPr>
                <w:rFonts w:hint="eastAsia" w:ascii="宋体" w:hAnsi="宋体"/>
                <w:b/>
                <w:color w:val="auto"/>
                <w:sz w:val="24"/>
                <w:highlight w:val="none"/>
                <w:lang w:val="zh-CN"/>
              </w:rPr>
            </w:pPr>
            <w:r>
              <w:rPr>
                <w:rFonts w:hint="eastAsia" w:ascii="宋体" w:hAnsi="宋体"/>
                <w:b/>
                <w:color w:val="auto"/>
                <w:sz w:val="24"/>
                <w:highlight w:val="none"/>
                <w:lang w:val="zh-CN"/>
              </w:rPr>
              <w:t>投 标 总 工 期</w:t>
            </w:r>
          </w:p>
        </w:tc>
        <w:tc>
          <w:tcPr>
            <w:tcW w:w="6043" w:type="dxa"/>
            <w:gridSpan w:val="2"/>
            <w:vAlign w:val="top"/>
          </w:tcPr>
          <w:p w14:paraId="0E543EAC">
            <w:pPr>
              <w:autoSpaceDE w:val="0"/>
              <w:autoSpaceDN w:val="0"/>
              <w:ind w:left="236" w:hanging="236" w:hangingChars="98"/>
              <w:rPr>
                <w:rFonts w:ascii="宋体" w:hAnsi="宋体"/>
                <w:b/>
                <w:bCs/>
                <w:color w:val="auto"/>
                <w:sz w:val="24"/>
                <w:highlight w:val="none"/>
                <w:lang w:val="zh-CN"/>
              </w:rPr>
            </w:pPr>
          </w:p>
        </w:tc>
      </w:tr>
      <w:tr w14:paraId="7970E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903" w:type="dxa"/>
            <w:vAlign w:val="center"/>
          </w:tcPr>
          <w:p w14:paraId="3FFB9FB9">
            <w:pPr>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质量标准</w:t>
            </w:r>
          </w:p>
        </w:tc>
        <w:tc>
          <w:tcPr>
            <w:tcW w:w="6043" w:type="dxa"/>
            <w:gridSpan w:val="2"/>
            <w:vAlign w:val="center"/>
          </w:tcPr>
          <w:p w14:paraId="44225C50">
            <w:pPr>
              <w:spacing w:line="300" w:lineRule="exact"/>
              <w:rPr>
                <w:rFonts w:hint="eastAsia" w:ascii="宋体" w:hAnsi="Calibri" w:eastAsia="宋体"/>
                <w:b/>
                <w:bCs/>
                <w:color w:val="auto"/>
                <w:sz w:val="24"/>
                <w:szCs w:val="22"/>
                <w:highlight w:val="none"/>
                <w:lang w:val="zh-CN" w:eastAsia="zh-CN" w:bidi="ar-SA"/>
              </w:rPr>
            </w:pPr>
          </w:p>
        </w:tc>
      </w:tr>
      <w:tr w14:paraId="0BB1B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903" w:type="dxa"/>
            <w:vAlign w:val="center"/>
          </w:tcPr>
          <w:p w14:paraId="1ADD5E43">
            <w:pPr>
              <w:autoSpaceDE w:val="0"/>
              <w:autoSpaceDN w:val="0"/>
              <w:jc w:val="center"/>
              <w:rPr>
                <w:rFonts w:hint="eastAsia" w:ascii="宋体" w:hAnsi="宋体"/>
                <w:b/>
                <w:color w:val="auto"/>
                <w:sz w:val="24"/>
                <w:highlight w:val="none"/>
                <w:lang w:val="zh-CN"/>
              </w:rPr>
            </w:pPr>
            <w:r>
              <w:rPr>
                <w:rFonts w:hint="eastAsia" w:ascii="宋体" w:hAnsi="宋体"/>
                <w:b/>
                <w:color w:val="auto"/>
                <w:sz w:val="24"/>
                <w:highlight w:val="none"/>
                <w:lang w:val="zh-CN"/>
              </w:rPr>
              <w:t>保修期限</w:t>
            </w:r>
          </w:p>
        </w:tc>
        <w:tc>
          <w:tcPr>
            <w:tcW w:w="6043" w:type="dxa"/>
            <w:gridSpan w:val="2"/>
            <w:vAlign w:val="center"/>
          </w:tcPr>
          <w:p w14:paraId="7D18D55B">
            <w:pPr>
              <w:spacing w:line="300" w:lineRule="exact"/>
              <w:rPr>
                <w:rFonts w:hint="eastAsia" w:ascii="宋体" w:hAnsi="Calibri" w:eastAsia="宋体"/>
                <w:b/>
                <w:bCs/>
                <w:color w:val="auto"/>
                <w:sz w:val="24"/>
                <w:szCs w:val="22"/>
                <w:highlight w:val="none"/>
                <w:lang w:val="zh-CN" w:eastAsia="zh-CN" w:bidi="ar-SA"/>
              </w:rPr>
            </w:pPr>
          </w:p>
        </w:tc>
      </w:tr>
      <w:tr w14:paraId="39A3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903" w:type="dxa"/>
            <w:vAlign w:val="center"/>
          </w:tcPr>
          <w:p w14:paraId="4EF211E0">
            <w:pPr>
              <w:autoSpaceDE w:val="0"/>
              <w:autoSpaceDN w:val="0"/>
              <w:jc w:val="center"/>
              <w:rPr>
                <w:rFonts w:hint="eastAsia" w:ascii="宋体" w:hAnsi="宋体"/>
                <w:b/>
                <w:color w:val="auto"/>
                <w:sz w:val="24"/>
                <w:highlight w:val="none"/>
                <w:lang w:val="zh-CN"/>
              </w:rPr>
            </w:pPr>
            <w:r>
              <w:rPr>
                <w:rFonts w:hint="eastAsia" w:ascii="宋体" w:hAnsi="宋体"/>
                <w:b/>
                <w:color w:val="auto"/>
                <w:sz w:val="24"/>
                <w:highlight w:val="none"/>
                <w:lang w:val="zh-CN"/>
              </w:rPr>
              <w:t>委派的项目负责人</w:t>
            </w:r>
          </w:p>
        </w:tc>
        <w:tc>
          <w:tcPr>
            <w:tcW w:w="1301" w:type="dxa"/>
            <w:vAlign w:val="center"/>
          </w:tcPr>
          <w:p w14:paraId="3CBD05B1">
            <w:pPr>
              <w:jc w:val="center"/>
              <w:rPr>
                <w:rFonts w:hint="eastAsia" w:ascii="宋体" w:hAnsi="宋体"/>
                <w:b/>
                <w:color w:val="auto"/>
                <w:sz w:val="24"/>
                <w:highlight w:val="none"/>
              </w:rPr>
            </w:pPr>
            <w:r>
              <w:rPr>
                <w:rFonts w:hint="eastAsia" w:ascii="宋体" w:hAnsi="宋体"/>
                <w:b/>
                <w:color w:val="auto"/>
                <w:sz w:val="24"/>
                <w:highlight w:val="none"/>
              </w:rPr>
              <w:t>姓    名</w:t>
            </w:r>
          </w:p>
        </w:tc>
        <w:tc>
          <w:tcPr>
            <w:tcW w:w="1795" w:type="dxa"/>
            <w:vAlign w:val="top"/>
          </w:tcPr>
          <w:p w14:paraId="28959767">
            <w:pPr>
              <w:autoSpaceDE w:val="0"/>
              <w:autoSpaceDN w:val="0"/>
              <w:rPr>
                <w:rFonts w:ascii="宋体" w:hAnsi="宋体"/>
                <w:b/>
                <w:bCs/>
                <w:color w:val="auto"/>
                <w:sz w:val="24"/>
                <w:highlight w:val="none"/>
                <w:lang w:val="zh-CN"/>
              </w:rPr>
            </w:pPr>
          </w:p>
        </w:tc>
      </w:tr>
      <w:tr w14:paraId="0059E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903" w:type="dxa"/>
            <w:vAlign w:val="center"/>
          </w:tcPr>
          <w:p w14:paraId="5F8B0308">
            <w:pPr>
              <w:autoSpaceDE w:val="0"/>
              <w:autoSpaceDN w:val="0"/>
              <w:jc w:val="center"/>
              <w:rPr>
                <w:rFonts w:hint="eastAsia" w:ascii="宋体" w:hAnsi="宋体"/>
                <w:b/>
                <w:color w:val="auto"/>
                <w:sz w:val="24"/>
                <w:highlight w:val="none"/>
                <w:lang w:val="zh-CN"/>
              </w:rPr>
            </w:pPr>
            <w:r>
              <w:rPr>
                <w:rFonts w:hint="eastAsia" w:ascii="宋体" w:hAnsi="宋体"/>
                <w:b/>
                <w:color w:val="auto"/>
                <w:sz w:val="24"/>
                <w:highlight w:val="none"/>
                <w:lang w:val="zh-CN"/>
              </w:rPr>
              <w:t>委派的</w:t>
            </w:r>
            <w:r>
              <w:rPr>
                <w:rFonts w:hint="eastAsia" w:ascii="宋体" w:hAnsi="宋体"/>
                <w:b/>
                <w:color w:val="auto"/>
                <w:sz w:val="24"/>
                <w:highlight w:val="none"/>
                <w:lang w:val="en-US" w:eastAsia="zh-CN"/>
              </w:rPr>
              <w:t>施工</w:t>
            </w:r>
            <w:r>
              <w:rPr>
                <w:rFonts w:hint="eastAsia" w:ascii="宋体" w:hAnsi="宋体"/>
                <w:b/>
                <w:color w:val="auto"/>
                <w:sz w:val="24"/>
                <w:highlight w:val="none"/>
                <w:lang w:val="zh-CN"/>
              </w:rPr>
              <w:t>负责人</w:t>
            </w:r>
          </w:p>
        </w:tc>
        <w:tc>
          <w:tcPr>
            <w:tcW w:w="1301" w:type="dxa"/>
            <w:vAlign w:val="center"/>
          </w:tcPr>
          <w:p w14:paraId="7A7E315D">
            <w:pPr>
              <w:jc w:val="center"/>
              <w:rPr>
                <w:rFonts w:hint="eastAsia" w:ascii="宋体" w:hAnsi="宋体"/>
                <w:b/>
                <w:color w:val="auto"/>
                <w:sz w:val="24"/>
                <w:highlight w:val="none"/>
              </w:rPr>
            </w:pPr>
            <w:r>
              <w:rPr>
                <w:rFonts w:hint="eastAsia" w:ascii="宋体" w:hAnsi="宋体"/>
                <w:b/>
                <w:color w:val="auto"/>
                <w:sz w:val="24"/>
                <w:highlight w:val="none"/>
              </w:rPr>
              <w:t>姓    名</w:t>
            </w:r>
          </w:p>
        </w:tc>
        <w:tc>
          <w:tcPr>
            <w:tcW w:w="1795" w:type="dxa"/>
            <w:vAlign w:val="top"/>
          </w:tcPr>
          <w:p w14:paraId="3E277ED5">
            <w:pPr>
              <w:autoSpaceDE w:val="0"/>
              <w:autoSpaceDN w:val="0"/>
              <w:rPr>
                <w:rFonts w:ascii="宋体" w:hAnsi="宋体"/>
                <w:b/>
                <w:bCs/>
                <w:color w:val="auto"/>
                <w:sz w:val="24"/>
                <w:highlight w:val="none"/>
                <w:lang w:val="zh-CN"/>
              </w:rPr>
            </w:pPr>
          </w:p>
        </w:tc>
      </w:tr>
      <w:tr w14:paraId="0ADD1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903" w:type="dxa"/>
            <w:vAlign w:val="center"/>
          </w:tcPr>
          <w:p w14:paraId="1936D9A8">
            <w:pPr>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委派的技术负责人</w:t>
            </w:r>
          </w:p>
        </w:tc>
        <w:tc>
          <w:tcPr>
            <w:tcW w:w="1301" w:type="dxa"/>
            <w:vAlign w:val="center"/>
          </w:tcPr>
          <w:p w14:paraId="59F2274E">
            <w:pPr>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姓    名</w:t>
            </w:r>
          </w:p>
        </w:tc>
        <w:tc>
          <w:tcPr>
            <w:tcW w:w="1795" w:type="dxa"/>
            <w:vAlign w:val="top"/>
          </w:tcPr>
          <w:p w14:paraId="1656836A">
            <w:pPr>
              <w:autoSpaceDE w:val="0"/>
              <w:autoSpaceDN w:val="0"/>
              <w:rPr>
                <w:rFonts w:ascii="宋体" w:hAnsi="宋体"/>
                <w:b/>
                <w:bCs/>
                <w:color w:val="auto"/>
                <w:sz w:val="24"/>
                <w:highlight w:val="none"/>
                <w:lang w:val="zh-CN"/>
              </w:rPr>
            </w:pPr>
          </w:p>
        </w:tc>
      </w:tr>
      <w:tr w14:paraId="40F5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903" w:type="dxa"/>
            <w:vAlign w:val="center"/>
          </w:tcPr>
          <w:p w14:paraId="2FF2AFAE">
            <w:pPr>
              <w:autoSpaceDE w:val="0"/>
              <w:autoSpaceDN w:val="0"/>
              <w:jc w:val="center"/>
              <w:rPr>
                <w:rFonts w:hint="eastAsia" w:ascii="宋体" w:hAnsi="宋体"/>
                <w:b/>
                <w:color w:val="auto"/>
                <w:sz w:val="24"/>
                <w:highlight w:val="none"/>
                <w:lang w:val="zh-CN"/>
              </w:rPr>
            </w:pPr>
            <w:r>
              <w:rPr>
                <w:rFonts w:hint="eastAsia" w:ascii="宋体" w:hAnsi="宋体"/>
                <w:b/>
                <w:color w:val="auto"/>
                <w:sz w:val="24"/>
                <w:highlight w:val="none"/>
                <w:lang w:val="zh-CN"/>
              </w:rPr>
              <w:t>委派的专职</w:t>
            </w:r>
            <w:r>
              <w:rPr>
                <w:rFonts w:hint="eastAsia" w:ascii="宋体" w:hAnsi="宋体"/>
                <w:b/>
                <w:bCs/>
                <w:color w:val="auto"/>
                <w:sz w:val="24"/>
                <w:highlight w:val="none"/>
                <w:lang w:val="zh-CN"/>
              </w:rPr>
              <w:t>安全员</w:t>
            </w:r>
          </w:p>
        </w:tc>
        <w:tc>
          <w:tcPr>
            <w:tcW w:w="1301" w:type="dxa"/>
            <w:vAlign w:val="center"/>
          </w:tcPr>
          <w:p w14:paraId="59407268">
            <w:pPr>
              <w:autoSpaceDE w:val="0"/>
              <w:autoSpaceDN w:val="0"/>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姓    名</w:t>
            </w:r>
          </w:p>
        </w:tc>
        <w:tc>
          <w:tcPr>
            <w:tcW w:w="1795" w:type="dxa"/>
            <w:vAlign w:val="top"/>
          </w:tcPr>
          <w:p w14:paraId="16AA1143">
            <w:pPr>
              <w:autoSpaceDE w:val="0"/>
              <w:autoSpaceDN w:val="0"/>
              <w:rPr>
                <w:rFonts w:ascii="宋体" w:hAnsi="宋体"/>
                <w:b/>
                <w:bCs/>
                <w:color w:val="auto"/>
                <w:sz w:val="24"/>
                <w:highlight w:val="none"/>
                <w:lang w:val="zh-CN"/>
              </w:rPr>
            </w:pPr>
          </w:p>
        </w:tc>
      </w:tr>
      <w:tr w14:paraId="678E9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03" w:type="dxa"/>
            <w:vAlign w:val="center"/>
          </w:tcPr>
          <w:p w14:paraId="75285D2C">
            <w:pPr>
              <w:autoSpaceDE w:val="0"/>
              <w:autoSpaceDN w:val="0"/>
              <w:jc w:val="center"/>
              <w:rPr>
                <w:rFonts w:hint="eastAsia" w:ascii="宋体" w:hAnsi="宋体"/>
                <w:b/>
                <w:color w:val="auto"/>
                <w:sz w:val="24"/>
                <w:highlight w:val="none"/>
                <w:lang w:val="zh-CN"/>
              </w:rPr>
            </w:pPr>
            <w:r>
              <w:rPr>
                <w:rFonts w:hint="eastAsia" w:ascii="宋体" w:hAnsi="宋体"/>
                <w:b/>
                <w:color w:val="auto"/>
                <w:sz w:val="24"/>
                <w:highlight w:val="none"/>
                <w:lang w:val="zh-CN"/>
              </w:rPr>
              <w:t>委派的</w:t>
            </w:r>
            <w:r>
              <w:rPr>
                <w:rFonts w:hint="eastAsia" w:ascii="宋体" w:hAnsi="宋体"/>
                <w:b/>
                <w:bCs/>
                <w:color w:val="auto"/>
                <w:sz w:val="24"/>
                <w:highlight w:val="none"/>
                <w:lang w:val="zh-CN"/>
              </w:rPr>
              <w:t>设计负责人</w:t>
            </w:r>
          </w:p>
        </w:tc>
        <w:tc>
          <w:tcPr>
            <w:tcW w:w="1301" w:type="dxa"/>
            <w:vAlign w:val="center"/>
          </w:tcPr>
          <w:p w14:paraId="740C4715">
            <w:pPr>
              <w:autoSpaceDE w:val="0"/>
              <w:autoSpaceDN w:val="0"/>
              <w:jc w:val="center"/>
              <w:rPr>
                <w:rFonts w:hint="eastAsia" w:ascii="宋体" w:hAnsi="宋体"/>
                <w:b/>
                <w:color w:val="auto"/>
                <w:sz w:val="24"/>
                <w:highlight w:val="none"/>
              </w:rPr>
            </w:pPr>
            <w:r>
              <w:rPr>
                <w:rFonts w:hint="eastAsia" w:ascii="宋体" w:hAnsi="宋体"/>
                <w:b/>
                <w:color w:val="auto"/>
                <w:sz w:val="24"/>
                <w:highlight w:val="none"/>
              </w:rPr>
              <w:t>姓    名</w:t>
            </w:r>
          </w:p>
        </w:tc>
        <w:tc>
          <w:tcPr>
            <w:tcW w:w="1795" w:type="dxa"/>
            <w:vAlign w:val="top"/>
          </w:tcPr>
          <w:p w14:paraId="77846DC5">
            <w:pPr>
              <w:autoSpaceDE w:val="0"/>
              <w:autoSpaceDN w:val="0"/>
              <w:rPr>
                <w:rFonts w:ascii="宋体" w:hAnsi="宋体"/>
                <w:b/>
                <w:bCs/>
                <w:color w:val="auto"/>
                <w:sz w:val="24"/>
                <w:highlight w:val="none"/>
                <w:lang w:val="zh-CN"/>
              </w:rPr>
            </w:pPr>
          </w:p>
        </w:tc>
      </w:tr>
      <w:tr w14:paraId="19F3C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1903" w:type="dxa"/>
            <w:vAlign w:val="center"/>
          </w:tcPr>
          <w:p w14:paraId="347D88E9">
            <w:pPr>
              <w:autoSpaceDE w:val="0"/>
              <w:autoSpaceDN w:val="0"/>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法 定 代 表 人</w:t>
            </w:r>
          </w:p>
          <w:p w14:paraId="53AD963A">
            <w:pPr>
              <w:autoSpaceDE w:val="0"/>
              <w:autoSpaceDN w:val="0"/>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（签字或盖章）</w:t>
            </w:r>
          </w:p>
        </w:tc>
        <w:tc>
          <w:tcPr>
            <w:tcW w:w="6043" w:type="dxa"/>
            <w:gridSpan w:val="2"/>
            <w:vAlign w:val="center"/>
          </w:tcPr>
          <w:p w14:paraId="6C4E2E4E">
            <w:pPr>
              <w:autoSpaceDE w:val="0"/>
              <w:autoSpaceDN w:val="0"/>
              <w:rPr>
                <w:rFonts w:ascii="宋体" w:hAnsi="宋体"/>
                <w:b/>
                <w:bCs/>
                <w:color w:val="auto"/>
                <w:sz w:val="24"/>
                <w:highlight w:val="none"/>
                <w:lang w:val="zh-CN"/>
              </w:rPr>
            </w:pPr>
          </w:p>
        </w:tc>
      </w:tr>
      <w:tr w14:paraId="6315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1903" w:type="dxa"/>
            <w:vAlign w:val="center"/>
          </w:tcPr>
          <w:p w14:paraId="7D132848">
            <w:pPr>
              <w:autoSpaceDE w:val="0"/>
              <w:autoSpaceDN w:val="0"/>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授 权 委 托 人</w:t>
            </w:r>
          </w:p>
          <w:p w14:paraId="75AD0ED7">
            <w:pPr>
              <w:autoSpaceDE w:val="0"/>
              <w:autoSpaceDN w:val="0"/>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（签字或盖章）</w:t>
            </w:r>
          </w:p>
        </w:tc>
        <w:tc>
          <w:tcPr>
            <w:tcW w:w="6043" w:type="dxa"/>
            <w:gridSpan w:val="2"/>
            <w:vAlign w:val="center"/>
          </w:tcPr>
          <w:p w14:paraId="7FEDF4A2">
            <w:pPr>
              <w:autoSpaceDE w:val="0"/>
              <w:autoSpaceDN w:val="0"/>
              <w:rPr>
                <w:rFonts w:ascii="宋体" w:hAnsi="宋体"/>
                <w:b/>
                <w:bCs/>
                <w:color w:val="auto"/>
                <w:sz w:val="24"/>
                <w:highlight w:val="none"/>
                <w:lang w:val="zh-CN"/>
              </w:rPr>
            </w:pPr>
          </w:p>
        </w:tc>
      </w:tr>
      <w:tr w14:paraId="1BC25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903" w:type="dxa"/>
            <w:vAlign w:val="center"/>
          </w:tcPr>
          <w:p w14:paraId="30F44BB2">
            <w:pPr>
              <w:autoSpaceDE w:val="0"/>
              <w:autoSpaceDN w:val="0"/>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投  标  单  位</w:t>
            </w:r>
          </w:p>
          <w:p w14:paraId="2152E12E">
            <w:pPr>
              <w:autoSpaceDE w:val="0"/>
              <w:autoSpaceDN w:val="0"/>
              <w:ind w:firstLine="239" w:firstLineChars="99"/>
              <w:jc w:val="center"/>
              <w:rPr>
                <w:rFonts w:hint="eastAsia" w:ascii="宋体" w:hAnsi="宋体"/>
                <w:b/>
                <w:bCs/>
                <w:color w:val="auto"/>
                <w:sz w:val="24"/>
                <w:highlight w:val="none"/>
                <w:lang w:val="zh-CN"/>
              </w:rPr>
            </w:pPr>
            <w:r>
              <w:rPr>
                <w:rFonts w:hint="eastAsia" w:ascii="宋体" w:hAnsi="宋体"/>
                <w:b/>
                <w:bCs/>
                <w:color w:val="auto"/>
                <w:sz w:val="24"/>
                <w:highlight w:val="none"/>
                <w:lang w:val="zh-CN"/>
              </w:rPr>
              <w:t>（企业公章）</w:t>
            </w:r>
          </w:p>
        </w:tc>
        <w:tc>
          <w:tcPr>
            <w:tcW w:w="6043" w:type="dxa"/>
            <w:gridSpan w:val="2"/>
            <w:vAlign w:val="center"/>
          </w:tcPr>
          <w:p w14:paraId="60CF3044">
            <w:pPr>
              <w:autoSpaceDE w:val="0"/>
              <w:autoSpaceDN w:val="0"/>
              <w:rPr>
                <w:rFonts w:ascii="宋体" w:hAnsi="宋体"/>
                <w:b/>
                <w:bCs/>
                <w:color w:val="auto"/>
                <w:sz w:val="24"/>
                <w:highlight w:val="none"/>
                <w:lang w:val="zh-CN"/>
              </w:rPr>
            </w:pPr>
          </w:p>
        </w:tc>
      </w:tr>
    </w:tbl>
    <w:p w14:paraId="30301023">
      <w:pPr>
        <w:widowControl/>
        <w:jc w:val="left"/>
        <w:rPr>
          <w:rFonts w:hint="eastAsia" w:ascii="宋体" w:hAnsi="宋体" w:eastAsia="宋体"/>
          <w:b/>
          <w:color w:val="auto"/>
          <w:szCs w:val="21"/>
          <w:highlight w:val="none"/>
        </w:rPr>
      </w:pPr>
      <w:r>
        <w:rPr>
          <w:rFonts w:hint="eastAsia" w:ascii="宋体" w:hAnsi="宋体" w:eastAsia="宋体"/>
          <w:b/>
          <w:color w:val="auto"/>
          <w:szCs w:val="21"/>
          <w:highlight w:val="none"/>
        </w:rPr>
        <w:t>注：</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1</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联合体投标的，“投标单位”一栏需书写所有联合体成员的单位全称，可由牵头方签字、盖章。（2）“投标工期”、“</w:t>
      </w:r>
      <w:r>
        <w:rPr>
          <w:rFonts w:hint="eastAsia" w:ascii="宋体" w:hAnsi="宋体" w:eastAsia="宋体"/>
          <w:b/>
          <w:color w:val="auto"/>
          <w:szCs w:val="21"/>
          <w:highlight w:val="none"/>
          <w:lang w:val="zh-CN"/>
        </w:rPr>
        <w:t>工程</w:t>
      </w:r>
      <w:r>
        <w:rPr>
          <w:rFonts w:hint="eastAsia" w:ascii="宋体" w:hAnsi="宋体" w:eastAsia="宋体"/>
          <w:b/>
          <w:color w:val="auto"/>
          <w:szCs w:val="21"/>
          <w:highlight w:val="none"/>
        </w:rPr>
        <w:t>质量标准”、“保修期限”可以填写“按招标文件要求”或按招标文件内容填写。</w:t>
      </w:r>
    </w:p>
    <w:p w14:paraId="41E9ED29">
      <w:pPr>
        <w:autoSpaceDE w:val="0"/>
        <w:autoSpaceDN w:val="0"/>
        <w:spacing w:line="360" w:lineRule="auto"/>
        <w:rPr>
          <w:rFonts w:ascii="宋体" w:hAnsi="宋体"/>
          <w:b/>
          <w:color w:val="auto"/>
          <w:szCs w:val="21"/>
          <w:highlight w:val="none"/>
        </w:rPr>
      </w:pPr>
    </w:p>
    <w:p w14:paraId="0C13F194">
      <w:pPr>
        <w:autoSpaceDE w:val="0"/>
        <w:autoSpaceDN w:val="0"/>
        <w:spacing w:line="360" w:lineRule="auto"/>
        <w:rPr>
          <w:rFonts w:ascii="宋体" w:hAnsi="宋体"/>
          <w:b/>
          <w:color w:val="auto"/>
          <w:szCs w:val="21"/>
          <w:highlight w:val="none"/>
        </w:rPr>
      </w:pPr>
    </w:p>
    <w:p w14:paraId="3E8C5B0D">
      <w:pPr>
        <w:spacing w:line="360" w:lineRule="auto"/>
        <w:ind w:firstLine="3720" w:firstLineChars="1550"/>
        <w:rPr>
          <w:rFonts w:ascii="宋体" w:hAnsi="宋体"/>
          <w:color w:val="auto"/>
          <w:sz w:val="24"/>
          <w:highlight w:val="none"/>
        </w:rPr>
      </w:pPr>
      <w:r>
        <w:rPr>
          <w:rFonts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盖章</w:t>
      </w:r>
      <w:r>
        <w:rPr>
          <w:rFonts w:hint="eastAsia" w:ascii="宋体" w:hAnsi="宋体"/>
          <w:color w:val="auto"/>
          <w:sz w:val="24"/>
          <w:highlight w:val="none"/>
        </w:rPr>
        <w:t>）</w:t>
      </w:r>
    </w:p>
    <w:p w14:paraId="79F9AF77">
      <w:pPr>
        <w:spacing w:line="360" w:lineRule="auto"/>
        <w:ind w:firstLine="3720" w:firstLineChars="1550"/>
        <w:rPr>
          <w:rFonts w:ascii="宋体" w:hAnsi="宋体"/>
          <w:color w:val="auto"/>
          <w:sz w:val="24"/>
          <w:highlight w:val="none"/>
        </w:rPr>
      </w:pPr>
      <w:r>
        <w:rPr>
          <w:rFonts w:ascii="宋体" w:hAnsi="宋体"/>
          <w:color w:val="auto"/>
          <w:sz w:val="24"/>
          <w:highlight w:val="none"/>
        </w:rPr>
        <w:t>法定代表人或其授权代理人(</w:t>
      </w:r>
      <w:r>
        <w:rPr>
          <w:rFonts w:hint="eastAsia" w:ascii="宋体" w:hAnsi="宋体"/>
          <w:color w:val="auto"/>
          <w:sz w:val="24"/>
          <w:highlight w:val="none"/>
        </w:rPr>
        <w:t>签字或盖章</w:t>
      </w:r>
      <w:r>
        <w:rPr>
          <w:rFonts w:ascii="宋体" w:hAnsi="宋体"/>
          <w:color w:val="auto"/>
          <w:sz w:val="24"/>
          <w:highlight w:val="none"/>
        </w:rPr>
        <w:t>)：</w:t>
      </w:r>
      <w:r>
        <w:rPr>
          <w:rFonts w:hint="eastAsia" w:ascii="宋体" w:hAnsi="宋体"/>
          <w:color w:val="auto"/>
          <w:sz w:val="24"/>
          <w:highlight w:val="none"/>
          <w:u w:val="single"/>
        </w:rPr>
        <w:t xml:space="preserve">    </w:t>
      </w:r>
    </w:p>
    <w:p w14:paraId="4D75BD8A">
      <w:pPr>
        <w:spacing w:line="360" w:lineRule="auto"/>
        <w:ind w:firstLine="6000" w:firstLineChars="2500"/>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0689D1E3">
      <w:pPr>
        <w:pStyle w:val="20"/>
        <w:rPr>
          <w:rFonts w:ascii="宋体" w:hAnsi="宋体"/>
          <w:b/>
          <w:color w:val="auto"/>
          <w:kern w:val="1"/>
          <w:sz w:val="24"/>
          <w:highlight w:val="none"/>
        </w:rPr>
      </w:pPr>
      <w:r>
        <w:rPr>
          <w:rFonts w:ascii="宋体" w:hAnsi="宋体"/>
          <w:b/>
          <w:color w:val="auto"/>
          <w:kern w:val="1"/>
          <w:sz w:val="24"/>
          <w:highlight w:val="none"/>
        </w:rPr>
        <w:br w:type="page"/>
      </w:r>
      <w:r>
        <w:rPr>
          <w:rFonts w:hint="eastAsia"/>
          <w:b/>
          <w:color w:val="auto"/>
          <w:kern w:val="1"/>
          <w:sz w:val="24"/>
          <w:highlight w:val="none"/>
        </w:rPr>
        <w:t>格式</w:t>
      </w:r>
      <w:r>
        <w:rPr>
          <w:rFonts w:hint="eastAsia"/>
          <w:b/>
          <w:color w:val="auto"/>
          <w:kern w:val="1"/>
          <w:sz w:val="24"/>
          <w:highlight w:val="none"/>
          <w:lang w:val="en-US" w:eastAsia="zh-CN"/>
        </w:rPr>
        <w:t>2</w:t>
      </w:r>
      <w:r>
        <w:rPr>
          <w:rFonts w:hint="eastAsia"/>
          <w:b/>
          <w:color w:val="auto"/>
          <w:kern w:val="1"/>
          <w:sz w:val="24"/>
          <w:highlight w:val="none"/>
        </w:rPr>
        <w:t>：</w:t>
      </w:r>
    </w:p>
    <w:p w14:paraId="73F650E1">
      <w:pPr>
        <w:spacing w:line="360" w:lineRule="auto"/>
        <w:jc w:val="center"/>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经济标投标书</w:t>
      </w:r>
    </w:p>
    <w:p w14:paraId="60F14F22">
      <w:pPr>
        <w:autoSpaceDE w:val="0"/>
        <w:autoSpaceDN w:val="0"/>
        <w:spacing w:line="360" w:lineRule="auto"/>
        <w:jc w:val="center"/>
        <w:rPr>
          <w:rFonts w:hint="eastAsia" w:ascii="宋体" w:hAnsi="宋体"/>
          <w:bCs/>
          <w:color w:val="auto"/>
          <w:sz w:val="52"/>
          <w:szCs w:val="52"/>
          <w:highlight w:val="none"/>
          <w:lang w:val="zh-CN"/>
        </w:rPr>
      </w:pPr>
      <w:r>
        <w:rPr>
          <w:rFonts w:hint="eastAsia" w:ascii="宋体" w:hAnsi="宋体"/>
          <w:bCs/>
          <w:color w:val="auto"/>
          <w:sz w:val="52"/>
          <w:szCs w:val="52"/>
          <w:highlight w:val="none"/>
          <w:lang w:val="zh-CN"/>
        </w:rPr>
        <w:t xml:space="preserve">       </w:t>
      </w:r>
      <w:r>
        <w:rPr>
          <w:rFonts w:hint="eastAsia" w:ascii="宋体" w:hAnsi="宋体"/>
          <w:color w:val="auto"/>
          <w:sz w:val="24"/>
          <w:highlight w:val="none"/>
          <w:lang w:val="zh-CN"/>
        </w:rPr>
        <w:t xml:space="preserve">                        投标日期：   年  月  日</w:t>
      </w:r>
    </w:p>
    <w:tbl>
      <w:tblPr>
        <w:tblStyle w:val="5"/>
        <w:tblW w:w="9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2032"/>
        <w:gridCol w:w="6293"/>
      </w:tblGrid>
      <w:tr w14:paraId="0580B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08" w:type="dxa"/>
            <w:gridSpan w:val="2"/>
            <w:vAlign w:val="center"/>
          </w:tcPr>
          <w:p w14:paraId="635C4FE3">
            <w:pPr>
              <w:jc w:val="center"/>
              <w:rPr>
                <w:rFonts w:hint="eastAsia" w:ascii="宋体" w:hAnsi="宋体"/>
                <w:b/>
                <w:color w:val="auto"/>
                <w:highlight w:val="none"/>
                <w:lang w:val="zh-CN"/>
              </w:rPr>
            </w:pPr>
            <w:r>
              <w:rPr>
                <w:rFonts w:hint="eastAsia" w:ascii="宋体" w:hAnsi="宋体"/>
                <w:b/>
                <w:color w:val="auto"/>
                <w:highlight w:val="none"/>
                <w:lang w:val="zh-CN"/>
              </w:rPr>
              <w:t>工 程 名 称</w:t>
            </w:r>
          </w:p>
        </w:tc>
        <w:tc>
          <w:tcPr>
            <w:tcW w:w="6293" w:type="dxa"/>
            <w:vAlign w:val="center"/>
          </w:tcPr>
          <w:p w14:paraId="71347A87">
            <w:pPr>
              <w:rPr>
                <w:rFonts w:ascii="宋体" w:hAnsi="宋体"/>
                <w:b/>
                <w:color w:val="auto"/>
                <w:highlight w:val="none"/>
              </w:rPr>
            </w:pPr>
          </w:p>
        </w:tc>
      </w:tr>
      <w:tr w14:paraId="5C87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3308" w:type="dxa"/>
            <w:gridSpan w:val="2"/>
            <w:vAlign w:val="center"/>
          </w:tcPr>
          <w:p w14:paraId="4181ACC3">
            <w:pPr>
              <w:spacing w:line="300" w:lineRule="exact"/>
              <w:jc w:val="center"/>
              <w:rPr>
                <w:rFonts w:hint="eastAsia" w:ascii="宋体" w:hAnsi="宋体" w:eastAsia="宋体"/>
                <w:b/>
                <w:color w:val="auto"/>
                <w:highlight w:val="none"/>
                <w:lang w:val="zh-CN"/>
              </w:rPr>
            </w:pPr>
            <w:r>
              <w:rPr>
                <w:rFonts w:hint="eastAsia" w:ascii="宋体" w:hAnsi="宋体" w:eastAsia="宋体"/>
                <w:b/>
                <w:color w:val="auto"/>
                <w:highlight w:val="none"/>
                <w:lang w:val="zh-CN"/>
              </w:rPr>
              <w:t>投标总报价</w:t>
            </w:r>
          </w:p>
        </w:tc>
        <w:tc>
          <w:tcPr>
            <w:tcW w:w="6293" w:type="dxa"/>
            <w:vAlign w:val="center"/>
          </w:tcPr>
          <w:p w14:paraId="5F466FE9">
            <w:pPr>
              <w:spacing w:line="360" w:lineRule="auto"/>
              <w:rPr>
                <w:rFonts w:hint="eastAsia" w:ascii="宋体" w:hAnsi="宋体"/>
                <w:b/>
                <w:color w:val="auto"/>
                <w:highlight w:val="none"/>
              </w:rPr>
            </w:pPr>
            <w:r>
              <w:rPr>
                <w:rFonts w:hint="eastAsia" w:ascii="宋体" w:hAnsi="宋体"/>
                <w:b/>
                <w:color w:val="auto"/>
                <w:highlight w:val="none"/>
              </w:rPr>
              <w:t>大写：</w:t>
            </w:r>
            <w:r>
              <w:rPr>
                <w:rFonts w:hint="eastAsia" w:ascii="宋体" w:hAnsi="宋体"/>
                <w:b/>
                <w:bCs/>
                <w:color w:val="auto"/>
                <w:highlight w:val="none"/>
                <w:u w:val="single"/>
              </w:rPr>
              <w:t xml:space="preserve">      </w:t>
            </w:r>
            <w:r>
              <w:rPr>
                <w:rFonts w:ascii="宋体" w:hAnsi="宋体"/>
                <w:b/>
                <w:bCs/>
                <w:color w:val="auto"/>
                <w:highlight w:val="none"/>
                <w:u w:val="single"/>
              </w:rPr>
              <w:t xml:space="preserve">          </w:t>
            </w:r>
            <w:r>
              <w:rPr>
                <w:rFonts w:hint="eastAsia" w:ascii="宋体" w:hAnsi="宋体"/>
                <w:b/>
                <w:color w:val="auto"/>
                <w:highlight w:val="none"/>
              </w:rPr>
              <w:t xml:space="preserve">     </w:t>
            </w:r>
          </w:p>
          <w:p w14:paraId="48ABE156">
            <w:pPr>
              <w:spacing w:line="360" w:lineRule="auto"/>
              <w:rPr>
                <w:rFonts w:hint="eastAsia" w:ascii="宋体" w:hAnsi="宋体"/>
                <w:b/>
                <w:color w:val="auto"/>
                <w:highlight w:val="none"/>
              </w:rPr>
            </w:pPr>
            <w:r>
              <w:rPr>
                <w:rFonts w:hint="eastAsia" w:ascii="宋体" w:hAnsi="宋体"/>
                <w:b/>
                <w:color w:val="auto"/>
                <w:highlight w:val="none"/>
              </w:rPr>
              <w:t>小写：</w:t>
            </w:r>
            <w:r>
              <w:rPr>
                <w:rFonts w:hint="eastAsia" w:ascii="宋体" w:hAnsi="宋体"/>
                <w:b/>
                <w:bCs/>
                <w:color w:val="auto"/>
                <w:highlight w:val="none"/>
                <w:u w:val="single"/>
              </w:rPr>
              <w:t xml:space="preserve">      </w:t>
            </w:r>
            <w:r>
              <w:rPr>
                <w:rFonts w:ascii="宋体" w:hAnsi="宋体"/>
                <w:b/>
                <w:bCs/>
                <w:color w:val="auto"/>
                <w:highlight w:val="none"/>
                <w:u w:val="single"/>
              </w:rPr>
              <w:t xml:space="preserve">          </w:t>
            </w:r>
            <w:r>
              <w:rPr>
                <w:rFonts w:hint="eastAsia" w:ascii="宋体" w:hAnsi="宋体"/>
                <w:b/>
                <w:bCs/>
                <w:color w:val="auto"/>
                <w:highlight w:val="none"/>
              </w:rPr>
              <w:t>元</w:t>
            </w:r>
            <w:r>
              <w:rPr>
                <w:rFonts w:hint="eastAsia" w:ascii="宋体" w:hAnsi="宋体"/>
                <w:b/>
                <w:color w:val="auto"/>
                <w:highlight w:val="none"/>
              </w:rPr>
              <w:t xml:space="preserve">                 </w:t>
            </w:r>
          </w:p>
        </w:tc>
      </w:tr>
      <w:tr w14:paraId="6B14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1276" w:type="dxa"/>
            <w:vMerge w:val="restart"/>
            <w:vAlign w:val="center"/>
          </w:tcPr>
          <w:p w14:paraId="00A2FDA8">
            <w:pPr>
              <w:spacing w:line="300" w:lineRule="exact"/>
              <w:jc w:val="center"/>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其　中</w:t>
            </w:r>
          </w:p>
        </w:tc>
        <w:tc>
          <w:tcPr>
            <w:tcW w:w="2032" w:type="dxa"/>
            <w:vAlign w:val="center"/>
          </w:tcPr>
          <w:p w14:paraId="513B40E6">
            <w:pPr>
              <w:spacing w:line="300" w:lineRule="exact"/>
              <w:jc w:val="center"/>
              <w:rPr>
                <w:rFonts w:hint="eastAsia" w:ascii="宋体" w:hAnsi="宋体" w:eastAsia="宋体"/>
                <w:b/>
                <w:color w:val="auto"/>
                <w:highlight w:val="none"/>
                <w:lang w:val="zh-CN"/>
              </w:rPr>
            </w:pPr>
            <w:r>
              <w:rPr>
                <w:rFonts w:hint="eastAsia" w:ascii="宋体" w:hAnsi="宋体" w:eastAsia="宋体"/>
                <w:b/>
                <w:color w:val="auto"/>
                <w:highlight w:val="none"/>
                <w:lang w:val="zh-CN"/>
              </w:rPr>
              <w:t>工程设计费</w:t>
            </w:r>
          </w:p>
        </w:tc>
        <w:tc>
          <w:tcPr>
            <w:tcW w:w="6293" w:type="dxa"/>
            <w:vAlign w:val="center"/>
          </w:tcPr>
          <w:p w14:paraId="15D2E73C">
            <w:pPr>
              <w:spacing w:line="360" w:lineRule="auto"/>
              <w:rPr>
                <w:rFonts w:hint="eastAsia" w:ascii="宋体" w:hAnsi="宋体"/>
                <w:b/>
                <w:bCs/>
                <w:color w:val="auto"/>
                <w:highlight w:val="none"/>
                <w:u w:val="single"/>
              </w:rPr>
            </w:pPr>
            <w:r>
              <w:rPr>
                <w:rFonts w:hint="eastAsia" w:ascii="宋体" w:hAnsi="宋体"/>
                <w:b/>
                <w:bCs/>
                <w:color w:val="auto"/>
                <w:highlight w:val="none"/>
                <w:u w:val="single"/>
              </w:rPr>
              <w:t xml:space="preserve">       </w:t>
            </w:r>
            <w:r>
              <w:rPr>
                <w:rFonts w:hint="eastAsia" w:ascii="宋体" w:hAnsi="宋体"/>
                <w:b/>
                <w:bCs/>
                <w:color w:val="auto"/>
                <w:highlight w:val="none"/>
              </w:rPr>
              <w:t>元；投标下浮率：</w:t>
            </w:r>
            <w:r>
              <w:rPr>
                <w:rFonts w:hint="eastAsia" w:ascii="宋体" w:hAnsi="宋体"/>
                <w:b/>
                <w:bCs/>
                <w:color w:val="auto"/>
                <w:highlight w:val="none"/>
                <w:u w:val="single"/>
              </w:rPr>
              <w:t xml:space="preserve">       %；</w:t>
            </w:r>
          </w:p>
          <w:p w14:paraId="29A9DF56">
            <w:pPr>
              <w:spacing w:line="360" w:lineRule="auto"/>
              <w:rPr>
                <w:rFonts w:hint="eastAsia" w:ascii="宋体" w:hAnsi="宋体"/>
                <w:b/>
                <w:bCs/>
                <w:color w:val="auto"/>
                <w:highlight w:val="none"/>
                <w:u w:val="single"/>
              </w:rPr>
            </w:pPr>
            <w:r>
              <w:rPr>
                <w:rFonts w:hint="eastAsia" w:ascii="宋体" w:hAnsi="宋体"/>
                <w:b/>
                <w:bCs/>
                <w:color w:val="auto"/>
                <w:highlight w:val="none"/>
                <w:u w:val="single"/>
              </w:rPr>
              <w:t>说明：设计费报价=设计费最高投标限价×(1-投标下浮率)。</w:t>
            </w:r>
          </w:p>
        </w:tc>
      </w:tr>
      <w:tr w14:paraId="01A55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276" w:type="dxa"/>
            <w:vMerge w:val="continue"/>
            <w:vAlign w:val="center"/>
          </w:tcPr>
          <w:p w14:paraId="1F692B47">
            <w:pPr>
              <w:spacing w:line="300" w:lineRule="exact"/>
              <w:jc w:val="center"/>
              <w:rPr>
                <w:rFonts w:hint="eastAsia" w:ascii="宋体" w:hAnsi="宋体" w:eastAsia="宋体"/>
                <w:b/>
                <w:color w:val="auto"/>
                <w:highlight w:val="none"/>
                <w:lang w:val="zh-CN"/>
              </w:rPr>
            </w:pPr>
          </w:p>
        </w:tc>
        <w:tc>
          <w:tcPr>
            <w:tcW w:w="2032" w:type="dxa"/>
            <w:vAlign w:val="center"/>
          </w:tcPr>
          <w:p w14:paraId="3C03DA38">
            <w:pPr>
              <w:spacing w:line="300" w:lineRule="exact"/>
              <w:jc w:val="center"/>
              <w:rPr>
                <w:rFonts w:hint="eastAsia" w:ascii="宋体" w:hAnsi="宋体" w:eastAsia="宋体"/>
                <w:b/>
                <w:color w:val="auto"/>
                <w:highlight w:val="none"/>
                <w:lang w:val="zh-CN"/>
              </w:rPr>
            </w:pPr>
            <w:r>
              <w:rPr>
                <w:rFonts w:hint="eastAsia" w:ascii="宋体" w:hAnsi="宋体" w:eastAsia="宋体"/>
                <w:b/>
                <w:color w:val="auto"/>
                <w:highlight w:val="none"/>
                <w:lang w:val="zh-CN"/>
              </w:rPr>
              <w:t>建安工程费</w:t>
            </w:r>
          </w:p>
        </w:tc>
        <w:tc>
          <w:tcPr>
            <w:tcW w:w="6293" w:type="dxa"/>
            <w:vAlign w:val="center"/>
          </w:tcPr>
          <w:p w14:paraId="07AB45D0">
            <w:pPr>
              <w:spacing w:line="360" w:lineRule="auto"/>
              <w:rPr>
                <w:rFonts w:hint="eastAsia" w:ascii="宋体" w:hAnsi="宋体"/>
                <w:b/>
                <w:bCs/>
                <w:color w:val="auto"/>
                <w:highlight w:val="none"/>
                <w:u w:val="single"/>
              </w:rPr>
            </w:pPr>
            <w:r>
              <w:rPr>
                <w:rFonts w:hint="eastAsia" w:ascii="宋体" w:hAnsi="宋体"/>
                <w:b/>
                <w:bCs/>
                <w:color w:val="auto"/>
                <w:highlight w:val="none"/>
                <w:u w:val="single"/>
              </w:rPr>
              <w:t xml:space="preserve">      </w:t>
            </w:r>
            <w:r>
              <w:rPr>
                <w:rFonts w:hint="eastAsia" w:ascii="宋体" w:hAnsi="宋体"/>
                <w:b/>
                <w:bCs/>
                <w:color w:val="auto"/>
                <w:highlight w:val="none"/>
              </w:rPr>
              <w:t>元；投标下浮率：</w:t>
            </w:r>
            <w:r>
              <w:rPr>
                <w:rFonts w:hint="eastAsia" w:ascii="宋体" w:hAnsi="宋体"/>
                <w:b/>
                <w:bCs/>
                <w:color w:val="auto"/>
                <w:highlight w:val="none"/>
                <w:u w:val="single"/>
              </w:rPr>
              <w:t xml:space="preserve">       %；</w:t>
            </w:r>
          </w:p>
          <w:p w14:paraId="52749C49">
            <w:pPr>
              <w:spacing w:line="360" w:lineRule="auto"/>
              <w:rPr>
                <w:rFonts w:hint="eastAsia" w:ascii="宋体" w:hAnsi="宋体"/>
                <w:b/>
                <w:bCs/>
                <w:color w:val="auto"/>
                <w:highlight w:val="none"/>
                <w:u w:val="single"/>
              </w:rPr>
            </w:pPr>
            <w:r>
              <w:rPr>
                <w:rFonts w:hint="eastAsia" w:ascii="宋体" w:hAnsi="宋体"/>
                <w:b/>
                <w:bCs/>
                <w:color w:val="auto"/>
                <w:highlight w:val="none"/>
                <w:u w:val="single"/>
              </w:rPr>
              <w:t>说明：建安工程费报价=建安工程费最高投标限价×(1-投标下浮率)。</w:t>
            </w:r>
          </w:p>
        </w:tc>
      </w:tr>
      <w:tr w14:paraId="2722D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3308" w:type="dxa"/>
            <w:gridSpan w:val="2"/>
            <w:vAlign w:val="center"/>
          </w:tcPr>
          <w:p w14:paraId="7E90A555">
            <w:pPr>
              <w:jc w:val="center"/>
              <w:rPr>
                <w:rFonts w:hint="eastAsia" w:ascii="宋体" w:hAnsi="宋体"/>
                <w:b/>
                <w:color w:val="auto"/>
                <w:highlight w:val="none"/>
              </w:rPr>
            </w:pPr>
            <w:r>
              <w:rPr>
                <w:rFonts w:hint="eastAsia" w:ascii="宋体" w:hAnsi="宋体"/>
                <w:b/>
                <w:color w:val="auto"/>
                <w:highlight w:val="none"/>
              </w:rPr>
              <w:t>法 定 代 表 人</w:t>
            </w:r>
          </w:p>
          <w:p w14:paraId="38CE415B">
            <w:pPr>
              <w:jc w:val="center"/>
              <w:rPr>
                <w:rFonts w:hint="eastAsia" w:ascii="宋体" w:hAnsi="宋体"/>
                <w:b/>
                <w:color w:val="auto"/>
                <w:highlight w:val="none"/>
              </w:rPr>
            </w:pPr>
            <w:r>
              <w:rPr>
                <w:rFonts w:hint="eastAsia" w:ascii="宋体" w:hAnsi="宋体"/>
                <w:b/>
                <w:color w:val="auto"/>
                <w:highlight w:val="none"/>
              </w:rPr>
              <w:t>（签字或盖章）</w:t>
            </w:r>
          </w:p>
        </w:tc>
        <w:tc>
          <w:tcPr>
            <w:tcW w:w="6293" w:type="dxa"/>
            <w:vAlign w:val="top"/>
          </w:tcPr>
          <w:p w14:paraId="39A09730">
            <w:pPr>
              <w:spacing w:line="300" w:lineRule="exact"/>
              <w:rPr>
                <w:rFonts w:ascii="宋体" w:hAnsi="宋体"/>
                <w:b/>
                <w:color w:val="auto"/>
                <w:highlight w:val="none"/>
              </w:rPr>
            </w:pPr>
          </w:p>
        </w:tc>
      </w:tr>
      <w:tr w14:paraId="5ACEF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3308" w:type="dxa"/>
            <w:gridSpan w:val="2"/>
            <w:vAlign w:val="center"/>
          </w:tcPr>
          <w:p w14:paraId="0D07555E">
            <w:pPr>
              <w:jc w:val="center"/>
              <w:rPr>
                <w:rFonts w:hint="eastAsia" w:ascii="宋体" w:hAnsi="宋体"/>
                <w:b/>
                <w:color w:val="auto"/>
                <w:highlight w:val="none"/>
              </w:rPr>
            </w:pPr>
            <w:r>
              <w:rPr>
                <w:rFonts w:hint="eastAsia" w:ascii="宋体" w:hAnsi="宋体"/>
                <w:b/>
                <w:color w:val="auto"/>
                <w:highlight w:val="none"/>
              </w:rPr>
              <w:t>授 权 委 托 人</w:t>
            </w:r>
          </w:p>
          <w:p w14:paraId="5E0F3225">
            <w:pPr>
              <w:jc w:val="center"/>
              <w:rPr>
                <w:rFonts w:hint="eastAsia" w:ascii="宋体" w:hAnsi="宋体"/>
                <w:b/>
                <w:color w:val="auto"/>
                <w:highlight w:val="none"/>
              </w:rPr>
            </w:pPr>
            <w:r>
              <w:rPr>
                <w:rFonts w:hint="eastAsia" w:ascii="宋体" w:hAnsi="宋体"/>
                <w:b/>
                <w:color w:val="auto"/>
                <w:highlight w:val="none"/>
              </w:rPr>
              <w:t>（签字或盖章）</w:t>
            </w:r>
          </w:p>
        </w:tc>
        <w:tc>
          <w:tcPr>
            <w:tcW w:w="6293" w:type="dxa"/>
            <w:vAlign w:val="top"/>
          </w:tcPr>
          <w:p w14:paraId="46C2BEC4">
            <w:pPr>
              <w:spacing w:line="300" w:lineRule="exact"/>
              <w:rPr>
                <w:rFonts w:ascii="宋体" w:hAnsi="宋体"/>
                <w:b/>
                <w:color w:val="auto"/>
                <w:highlight w:val="none"/>
              </w:rPr>
            </w:pPr>
          </w:p>
        </w:tc>
      </w:tr>
      <w:tr w14:paraId="7BEB8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3308" w:type="dxa"/>
            <w:gridSpan w:val="2"/>
            <w:vAlign w:val="center"/>
          </w:tcPr>
          <w:p w14:paraId="235EDEA4">
            <w:pPr>
              <w:jc w:val="center"/>
              <w:rPr>
                <w:rFonts w:hint="eastAsia" w:ascii="宋体" w:hAnsi="宋体"/>
                <w:b/>
                <w:color w:val="auto"/>
                <w:highlight w:val="none"/>
              </w:rPr>
            </w:pPr>
            <w:r>
              <w:rPr>
                <w:rFonts w:hint="eastAsia" w:ascii="宋体" w:hAnsi="宋体"/>
                <w:b/>
                <w:color w:val="auto"/>
                <w:highlight w:val="none"/>
              </w:rPr>
              <w:t>投  标  单  位</w:t>
            </w:r>
          </w:p>
          <w:p w14:paraId="423C4F32">
            <w:pPr>
              <w:jc w:val="center"/>
              <w:rPr>
                <w:rFonts w:hint="eastAsia" w:ascii="宋体" w:hAnsi="宋体"/>
                <w:b/>
                <w:color w:val="auto"/>
                <w:highlight w:val="none"/>
              </w:rPr>
            </w:pPr>
            <w:r>
              <w:rPr>
                <w:rFonts w:hint="eastAsia" w:ascii="宋体" w:hAnsi="宋体"/>
                <w:b/>
                <w:color w:val="auto"/>
                <w:highlight w:val="none"/>
              </w:rPr>
              <w:t>（盖章）</w:t>
            </w:r>
          </w:p>
        </w:tc>
        <w:tc>
          <w:tcPr>
            <w:tcW w:w="6293" w:type="dxa"/>
            <w:vAlign w:val="top"/>
          </w:tcPr>
          <w:p w14:paraId="4DD9D074">
            <w:pPr>
              <w:rPr>
                <w:rFonts w:ascii="宋体" w:hAnsi="宋体"/>
                <w:b/>
                <w:color w:val="auto"/>
                <w:highlight w:val="none"/>
              </w:rPr>
            </w:pPr>
          </w:p>
        </w:tc>
      </w:tr>
    </w:tbl>
    <w:p w14:paraId="0A60664B">
      <w:pPr>
        <w:pStyle w:val="3"/>
        <w:spacing w:line="360" w:lineRule="auto"/>
        <w:rPr>
          <w:rFonts w:hint="eastAsia" w:hAnsi="宋体"/>
          <w:color w:val="auto"/>
          <w:sz w:val="18"/>
          <w:szCs w:val="18"/>
          <w:highlight w:val="none"/>
        </w:rPr>
      </w:pPr>
      <w:r>
        <w:rPr>
          <w:rFonts w:hint="eastAsia" w:hAnsi="宋体"/>
          <w:color w:val="auto"/>
          <w:sz w:val="18"/>
          <w:szCs w:val="18"/>
          <w:highlight w:val="none"/>
        </w:rPr>
        <w:t>注：（1）联合体投标的，“投标单位”一栏需书写所有联合体成员的单位全称，可由牵头方签字、盖章。</w:t>
      </w:r>
    </w:p>
    <w:p w14:paraId="3F3434AB">
      <w:pPr>
        <w:pStyle w:val="3"/>
        <w:spacing w:line="360" w:lineRule="auto"/>
        <w:rPr>
          <w:rFonts w:hint="eastAsia" w:hAnsi="宋体"/>
          <w:color w:val="auto"/>
          <w:sz w:val="18"/>
          <w:szCs w:val="18"/>
          <w:highlight w:val="none"/>
        </w:rPr>
      </w:pPr>
      <w:r>
        <w:rPr>
          <w:rFonts w:hint="eastAsia" w:hAnsi="宋体"/>
          <w:color w:val="auto"/>
          <w:sz w:val="18"/>
          <w:szCs w:val="18"/>
          <w:highlight w:val="none"/>
        </w:rPr>
        <w:t>（2）投标总报价的大写金额和小写金额不一致的，以大写金额为准。</w:t>
      </w:r>
    </w:p>
    <w:p w14:paraId="164FF5EB">
      <w:pPr>
        <w:pStyle w:val="3"/>
        <w:spacing w:line="360" w:lineRule="auto"/>
        <w:rPr>
          <w:rFonts w:hint="eastAsia" w:hAnsi="宋体"/>
          <w:bCs/>
          <w:color w:val="auto"/>
          <w:sz w:val="18"/>
          <w:szCs w:val="18"/>
          <w:highlight w:val="none"/>
        </w:rPr>
      </w:pPr>
      <w:r>
        <w:rPr>
          <w:rFonts w:hint="eastAsia" w:hAnsi="宋体"/>
          <w:bCs/>
          <w:color w:val="auto"/>
          <w:sz w:val="18"/>
          <w:szCs w:val="18"/>
          <w:highlight w:val="none"/>
        </w:rPr>
        <w:t>（3）建安工程费部分、设计费部分报价下浮率分别只算一个。投标下浮率如下浮5.00%，填写“5.00%”。投标报价及投标下浮率小数点后保留二位小数，第三位小数四舍五入。</w:t>
      </w:r>
    </w:p>
    <w:p w14:paraId="5B5E16EB">
      <w:pPr>
        <w:pStyle w:val="3"/>
        <w:spacing w:line="276" w:lineRule="auto"/>
        <w:rPr>
          <w:rFonts w:hAnsi="宋体"/>
          <w:b/>
          <w:bCs/>
          <w:color w:val="auto"/>
          <w:sz w:val="18"/>
          <w:szCs w:val="18"/>
          <w:highlight w:val="none"/>
        </w:rPr>
      </w:pPr>
    </w:p>
    <w:p w14:paraId="6A5D75F1">
      <w:pPr>
        <w:pStyle w:val="4"/>
        <w:spacing w:line="360" w:lineRule="auto"/>
        <w:ind w:right="420" w:firstLine="3780" w:firstLineChars="1800"/>
        <w:rPr>
          <w:rFonts w:hint="eastAsia" w:ascii="宋体" w:hAnsi="宋体"/>
          <w:color w:val="auto"/>
          <w:szCs w:val="21"/>
          <w:highlight w:val="none"/>
        </w:rPr>
      </w:pPr>
      <w:r>
        <w:rPr>
          <w:rFonts w:hint="eastAsia" w:ascii="宋体" w:hAnsi="宋体"/>
          <w:color w:val="auto"/>
          <w:szCs w:val="21"/>
          <w:highlight w:val="none"/>
        </w:rPr>
        <w:t xml:space="preserve">投标人名称（盖章）： </w:t>
      </w:r>
    </w:p>
    <w:p w14:paraId="76029E3D">
      <w:pPr>
        <w:pStyle w:val="4"/>
        <w:spacing w:line="360" w:lineRule="auto"/>
        <w:ind w:right="420" w:firstLine="3780" w:firstLineChars="1800"/>
        <w:rPr>
          <w:rFonts w:hint="eastAsia" w:ascii="宋体" w:hAnsi="宋体"/>
          <w:color w:val="auto"/>
          <w:szCs w:val="21"/>
          <w:highlight w:val="none"/>
        </w:rPr>
      </w:pPr>
      <w:r>
        <w:rPr>
          <w:rFonts w:hint="eastAsia" w:ascii="宋体" w:hAnsi="宋体"/>
          <w:color w:val="auto"/>
          <w:szCs w:val="21"/>
          <w:highlight w:val="none"/>
        </w:rPr>
        <w:t xml:space="preserve">法定代表人或其授权代表（签字或盖章）： </w:t>
      </w:r>
    </w:p>
    <w:p w14:paraId="40D163F6">
      <w:pPr>
        <w:pStyle w:val="20"/>
        <w:spacing w:line="360" w:lineRule="auto"/>
        <w:ind w:firstLine="3780" w:firstLineChars="1800"/>
        <w:rPr>
          <w:rFonts w:hint="eastAsia"/>
          <w:color w:val="auto"/>
          <w:sz w:val="21"/>
          <w:szCs w:val="21"/>
          <w:highlight w:val="none"/>
        </w:rPr>
      </w:pPr>
      <w:r>
        <w:rPr>
          <w:rFonts w:hint="eastAsia"/>
          <w:color w:val="auto"/>
          <w:sz w:val="21"/>
          <w:szCs w:val="21"/>
          <w:highlight w:val="none"/>
        </w:rPr>
        <w:t>日</w:t>
      </w:r>
      <w:r>
        <w:rPr>
          <w:color w:val="auto"/>
          <w:sz w:val="21"/>
          <w:szCs w:val="21"/>
          <w:highlight w:val="none"/>
        </w:rPr>
        <w:t xml:space="preserve">    </w:t>
      </w:r>
      <w:r>
        <w:rPr>
          <w:rFonts w:hint="eastAsia"/>
          <w:color w:val="auto"/>
          <w:sz w:val="21"/>
          <w:szCs w:val="21"/>
          <w:highlight w:val="none"/>
        </w:rPr>
        <w:t>期：    年   月   日</w:t>
      </w:r>
    </w:p>
    <w:p w14:paraId="3FE81FE7">
      <w:pPr>
        <w:autoSpaceDE w:val="0"/>
        <w:autoSpaceDN w:val="0"/>
        <w:spacing w:line="360" w:lineRule="auto"/>
        <w:jc w:val="left"/>
        <w:rPr>
          <w:color w:val="auto"/>
          <w:highlight w:val="none"/>
        </w:rPr>
      </w:pPr>
      <w:r>
        <w:rPr>
          <w:color w:val="auto"/>
          <w:highlight w:val="none"/>
        </w:rPr>
        <w:br w:type="page"/>
      </w:r>
      <w:r>
        <w:rPr>
          <w:rFonts w:hint="eastAsia" w:ascii="宋体" w:hAnsi="宋体"/>
          <w:b/>
          <w:color w:val="auto"/>
          <w:kern w:val="1"/>
          <w:sz w:val="24"/>
          <w:highlight w:val="none"/>
        </w:rPr>
        <w:t>格式</w:t>
      </w:r>
      <w:r>
        <w:rPr>
          <w:rFonts w:hint="eastAsia" w:ascii="宋体" w:hAnsi="宋体"/>
          <w:b/>
          <w:color w:val="auto"/>
          <w:kern w:val="1"/>
          <w:sz w:val="24"/>
          <w:highlight w:val="none"/>
          <w:lang w:val="en-US" w:eastAsia="zh-CN"/>
        </w:rPr>
        <w:t>3</w:t>
      </w:r>
      <w:r>
        <w:rPr>
          <w:rFonts w:hint="eastAsia" w:ascii="宋体" w:hAnsi="宋体"/>
          <w:b/>
          <w:color w:val="auto"/>
          <w:kern w:val="1"/>
          <w:sz w:val="24"/>
          <w:highlight w:val="none"/>
        </w:rPr>
        <w:t>：</w:t>
      </w:r>
    </w:p>
    <w:p w14:paraId="4EC4455A">
      <w:pPr>
        <w:autoSpaceDE w:val="0"/>
        <w:autoSpaceDN w:val="0"/>
        <w:spacing w:line="360" w:lineRule="auto"/>
        <w:jc w:val="center"/>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投标承诺书</w:t>
      </w:r>
    </w:p>
    <w:p w14:paraId="52F15610">
      <w:pPr>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（招标人名称）       </w:t>
      </w:r>
    </w:p>
    <w:p w14:paraId="472DF9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我司确认收到贵司提供的</w:t>
      </w:r>
      <w:r>
        <w:rPr>
          <w:rFonts w:hint="eastAsia" w:ascii="宋体" w:hAnsi="宋体"/>
          <w:color w:val="auto"/>
          <w:sz w:val="24"/>
          <w:highlight w:val="none"/>
          <w:u w:val="single"/>
        </w:rPr>
        <w:t xml:space="preserve">      （项目名称）      </w:t>
      </w:r>
      <w:r>
        <w:rPr>
          <w:rFonts w:hint="eastAsia" w:ascii="宋体" w:hAnsi="宋体"/>
          <w:color w:val="auto"/>
          <w:sz w:val="24"/>
          <w:highlight w:val="none"/>
        </w:rPr>
        <w:t>招标文件的全部内容，我司：</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已作为投标人正式授权</w:t>
      </w:r>
      <w:r>
        <w:rPr>
          <w:rFonts w:hint="eastAsia" w:ascii="宋体" w:hAnsi="宋体"/>
          <w:color w:val="auto"/>
          <w:sz w:val="24"/>
          <w:highlight w:val="none"/>
          <w:u w:val="single"/>
        </w:rPr>
        <w:t xml:space="preserve">         (授权代表全名，职务)    </w:t>
      </w:r>
      <w:r>
        <w:rPr>
          <w:rFonts w:hint="eastAsia" w:ascii="宋体" w:hAnsi="宋体"/>
          <w:color w:val="auto"/>
          <w:sz w:val="24"/>
          <w:highlight w:val="none"/>
        </w:rPr>
        <w:t>代表我司进行有关本投标的一切事宜。</w:t>
      </w:r>
    </w:p>
    <w:p w14:paraId="7E1C1A5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我司已完全明白和接受招标文件的所有条款要求，并重申以下几点：</w:t>
      </w:r>
    </w:p>
    <w:p w14:paraId="5754860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58013F3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我司已充分阅读了</w:t>
      </w:r>
      <w:r>
        <w:rPr>
          <w:rFonts w:hint="eastAsia" w:ascii="宋体" w:hAnsi="宋体"/>
          <w:color w:val="auto"/>
          <w:sz w:val="24"/>
          <w:highlight w:val="none"/>
        </w:rPr>
        <w:t>本项目</w:t>
      </w:r>
      <w:r>
        <w:rPr>
          <w:rFonts w:ascii="宋体" w:hAnsi="宋体"/>
          <w:color w:val="auto"/>
          <w:sz w:val="24"/>
          <w:highlight w:val="none"/>
        </w:rPr>
        <w:t>招标文件并充分了解</w:t>
      </w:r>
      <w:r>
        <w:rPr>
          <w:rFonts w:hint="eastAsia" w:ascii="宋体" w:hAnsi="宋体"/>
          <w:color w:val="auto"/>
          <w:sz w:val="24"/>
          <w:highlight w:val="none"/>
        </w:rPr>
        <w:t>有关报价方式及变更、结算方式，我司完全响应招标文件的规定。</w:t>
      </w:r>
    </w:p>
    <w:p w14:paraId="5B1575E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3．本投标文件的有效期为投标截止日后</w:t>
      </w:r>
      <w:r>
        <w:rPr>
          <w:rFonts w:hint="eastAsia" w:ascii="宋体"/>
          <w:b/>
          <w:color w:val="auto"/>
          <w:sz w:val="24"/>
          <w:highlight w:val="none"/>
          <w:u w:val="single"/>
        </w:rPr>
        <w:t>180日历天</w:t>
      </w:r>
      <w:r>
        <w:rPr>
          <w:rFonts w:hint="eastAsia" w:ascii="宋体" w:hAnsi="宋体"/>
          <w:color w:val="auto"/>
          <w:sz w:val="24"/>
          <w:highlight w:val="none"/>
        </w:rPr>
        <w:t>内有效；</w:t>
      </w:r>
    </w:p>
    <w:p w14:paraId="74DE1C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4．我司承诺投标文件中的一切资料、数据是真实的，并承担由此引起的一切责任。</w:t>
      </w:r>
    </w:p>
    <w:p w14:paraId="77B95AA1">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．我司同意按照贵司可能提出的要求而提供与投标有关的任何其它数据或信息。</w:t>
      </w:r>
    </w:p>
    <w:p w14:paraId="489C01C3">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．我司如果中标，我司保证：</w:t>
      </w:r>
    </w:p>
    <w:p w14:paraId="76513F54">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.1保证履行招标文件以及招标文件修改书(如有)中的全部责任和义务，在中标通知书规定的时间内签订合同，并严格按国家有关法规履行我司的全部责任，按质、按量、按期完成合同约定的全部任务。</w:t>
      </w:r>
    </w:p>
    <w:p w14:paraId="52A7AEFC">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2保证将我司的资质承包范围不能涵盖或不具备相应能力(该能力须保证进度和质量且须获得发包人认可)的部分专业工程（如果有），委托获得发包人批准的具备相应专业资质和能力的单位实施，确保项目质量及进度。</w:t>
      </w:r>
    </w:p>
    <w:p w14:paraId="7424D24C">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3保证所完成的设计将完全符合国家相关规范要求，符合或优于招标文件、技术条件、合同条款的要求。若我司完成的设计文件未能达到发包人（或相关政府部门）的要求，我司将无条件根据要求进行修改设计文件，直至得到发包人（及相关政府部门）的认可为止。</w:t>
      </w:r>
    </w:p>
    <w:p w14:paraId="1AF2B1F9">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.4</w:t>
      </w:r>
      <w:r>
        <w:rPr>
          <w:rFonts w:ascii="宋体" w:hAnsi="宋体"/>
          <w:color w:val="auto"/>
          <w:sz w:val="24"/>
          <w:highlight w:val="none"/>
        </w:rPr>
        <w:t>保证尽一切力量确保投标承诺的竣工日期</w:t>
      </w:r>
      <w:r>
        <w:rPr>
          <w:rFonts w:hint="eastAsia" w:ascii="宋体" w:hAnsi="宋体"/>
          <w:color w:val="auto"/>
          <w:sz w:val="24"/>
          <w:highlight w:val="none"/>
        </w:rPr>
        <w:t>，若我司未能按投标承诺的工期完成本项目，除承担合同约定的违约责任外，发包人有权解除合同，我司承担由于违约解除合同退场造成的对发包人的一切损失</w:t>
      </w:r>
      <w:r>
        <w:rPr>
          <w:rFonts w:ascii="宋体" w:hAnsi="宋体"/>
          <w:color w:val="auto"/>
          <w:sz w:val="24"/>
          <w:highlight w:val="none"/>
        </w:rPr>
        <w:t>。</w:t>
      </w:r>
    </w:p>
    <w:p w14:paraId="3BF3A892">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.5</w:t>
      </w:r>
      <w:r>
        <w:rPr>
          <w:rFonts w:ascii="宋体" w:hAnsi="宋体"/>
          <w:color w:val="auto"/>
          <w:sz w:val="24"/>
          <w:highlight w:val="none"/>
        </w:rPr>
        <w:t>保证投标所报的</w:t>
      </w:r>
      <w:r>
        <w:rPr>
          <w:rFonts w:hint="eastAsia" w:ascii="宋体" w:hAnsi="宋体"/>
          <w:color w:val="auto"/>
          <w:sz w:val="24"/>
          <w:highlight w:val="none"/>
        </w:rPr>
        <w:t>项目负责人、设计负责人在本项目合同签订后7日内到职，全过程服务于本项目，在过程中非不可抗力或发包人要求不得更换。我司违反以上承诺的，同意按合同条款的规定承担违约责任。</w:t>
      </w:r>
    </w:p>
    <w:p w14:paraId="2A6B0302">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.6保证所投入本项目的主要材料、设备质量符合或优于招标文件要求，所投入本项目的辅助设备、材料与主主要材料、设备质量一致并有良好的配套性。</w:t>
      </w:r>
    </w:p>
    <w:p w14:paraId="36C9E050">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.7保证按照招标文件的要求确保安全生产及文明施工，如有违反，我司愿意按合同约定承担违约责任，</w:t>
      </w:r>
      <w:r>
        <w:rPr>
          <w:rFonts w:ascii="宋体" w:hAnsi="宋体"/>
          <w:color w:val="auto"/>
          <w:sz w:val="24"/>
          <w:highlight w:val="none"/>
        </w:rPr>
        <w:t>并为此负相关的法律责任。</w:t>
      </w:r>
    </w:p>
    <w:p w14:paraId="36465BB6">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.8</w:t>
      </w:r>
      <w:r>
        <w:rPr>
          <w:rFonts w:ascii="宋体" w:hAnsi="宋体"/>
          <w:color w:val="auto"/>
          <w:sz w:val="24"/>
          <w:highlight w:val="none"/>
        </w:rPr>
        <w:t>保证按国家的有关规定制订保证民工工资支付的方案及保证措施，否则，我司愿</w:t>
      </w:r>
      <w:r>
        <w:rPr>
          <w:rFonts w:hint="eastAsia" w:ascii="宋体" w:hAnsi="宋体"/>
          <w:color w:val="auto"/>
          <w:sz w:val="24"/>
          <w:highlight w:val="none"/>
        </w:rPr>
        <w:t>按</w:t>
      </w:r>
      <w:r>
        <w:rPr>
          <w:rFonts w:ascii="宋体" w:hAnsi="宋体"/>
          <w:color w:val="auto"/>
          <w:sz w:val="24"/>
          <w:highlight w:val="none"/>
        </w:rPr>
        <w:t>合同条款</w:t>
      </w:r>
      <w:r>
        <w:rPr>
          <w:rFonts w:hint="eastAsia" w:ascii="宋体" w:hAnsi="宋体"/>
          <w:color w:val="auto"/>
          <w:sz w:val="24"/>
          <w:highlight w:val="none"/>
        </w:rPr>
        <w:t>规定</w:t>
      </w:r>
      <w:r>
        <w:rPr>
          <w:rFonts w:ascii="宋体" w:hAnsi="宋体"/>
          <w:color w:val="auto"/>
          <w:sz w:val="24"/>
          <w:highlight w:val="none"/>
        </w:rPr>
        <w:t>承担违约</w:t>
      </w:r>
      <w:r>
        <w:rPr>
          <w:rFonts w:hint="eastAsia" w:ascii="宋体" w:hAnsi="宋体"/>
          <w:color w:val="auto"/>
          <w:sz w:val="24"/>
          <w:highlight w:val="none"/>
        </w:rPr>
        <w:t>责任</w:t>
      </w:r>
      <w:r>
        <w:rPr>
          <w:rFonts w:ascii="宋体" w:hAnsi="宋体"/>
          <w:color w:val="auto"/>
          <w:sz w:val="24"/>
          <w:highlight w:val="none"/>
        </w:rPr>
        <w:t>并赔偿</w:t>
      </w:r>
      <w:r>
        <w:rPr>
          <w:rFonts w:hint="eastAsia" w:ascii="宋体" w:hAnsi="宋体"/>
          <w:color w:val="auto"/>
          <w:sz w:val="24"/>
          <w:highlight w:val="none"/>
        </w:rPr>
        <w:t>发包人</w:t>
      </w:r>
      <w:r>
        <w:rPr>
          <w:rFonts w:ascii="宋体" w:hAnsi="宋体"/>
          <w:color w:val="auto"/>
          <w:sz w:val="24"/>
          <w:highlight w:val="none"/>
        </w:rPr>
        <w:t>的</w:t>
      </w:r>
      <w:r>
        <w:rPr>
          <w:rFonts w:hint="eastAsia" w:ascii="宋体" w:hAnsi="宋体"/>
          <w:color w:val="auto"/>
          <w:sz w:val="24"/>
          <w:highlight w:val="none"/>
        </w:rPr>
        <w:t>全部</w:t>
      </w:r>
      <w:r>
        <w:rPr>
          <w:rFonts w:ascii="宋体" w:hAnsi="宋体"/>
          <w:color w:val="auto"/>
          <w:sz w:val="24"/>
          <w:highlight w:val="none"/>
        </w:rPr>
        <w:t>损失</w:t>
      </w:r>
      <w:r>
        <w:rPr>
          <w:rFonts w:hint="eastAsia" w:ascii="宋体" w:hAnsi="宋体"/>
          <w:color w:val="auto"/>
          <w:sz w:val="24"/>
          <w:highlight w:val="none"/>
        </w:rPr>
        <w:t>。</w:t>
      </w:r>
    </w:p>
    <w:p w14:paraId="667E3032">
      <w:pPr>
        <w:spacing w:line="360" w:lineRule="auto"/>
        <w:ind w:firstLine="3720" w:firstLineChars="1550"/>
        <w:rPr>
          <w:rFonts w:ascii="宋体" w:hAnsi="宋体"/>
          <w:color w:val="auto"/>
          <w:sz w:val="24"/>
          <w:highlight w:val="none"/>
        </w:rPr>
      </w:pPr>
    </w:p>
    <w:p w14:paraId="70783F04">
      <w:pPr>
        <w:spacing w:line="360" w:lineRule="auto"/>
        <w:ind w:firstLine="3720" w:firstLineChars="1550"/>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盖章</w:t>
      </w:r>
      <w:r>
        <w:rPr>
          <w:rFonts w:hint="eastAsia" w:ascii="宋体" w:hAnsi="宋体"/>
          <w:color w:val="auto"/>
          <w:sz w:val="24"/>
          <w:highlight w:val="none"/>
        </w:rPr>
        <w:t>）</w:t>
      </w:r>
    </w:p>
    <w:p w14:paraId="12F8980F">
      <w:pPr>
        <w:spacing w:line="360" w:lineRule="auto"/>
        <w:ind w:firstLine="3720" w:firstLineChars="1550"/>
        <w:rPr>
          <w:rFonts w:ascii="宋体" w:hAnsi="宋体"/>
          <w:color w:val="auto"/>
          <w:sz w:val="24"/>
          <w:highlight w:val="none"/>
        </w:rPr>
      </w:pPr>
      <w:r>
        <w:rPr>
          <w:rFonts w:ascii="宋体" w:hAnsi="宋体"/>
          <w:color w:val="auto"/>
          <w:sz w:val="24"/>
          <w:highlight w:val="none"/>
        </w:rPr>
        <w:t>法定代表人或其授权代理人(</w:t>
      </w:r>
      <w:r>
        <w:rPr>
          <w:rFonts w:hint="eastAsia" w:ascii="宋体" w:hAnsi="宋体"/>
          <w:color w:val="auto"/>
          <w:sz w:val="24"/>
          <w:highlight w:val="none"/>
        </w:rPr>
        <w:t>签字或盖章</w:t>
      </w:r>
      <w:r>
        <w:rPr>
          <w:rFonts w:ascii="宋体" w:hAnsi="宋体"/>
          <w:color w:val="auto"/>
          <w:sz w:val="24"/>
          <w:highlight w:val="none"/>
        </w:rPr>
        <w:t>)：</w:t>
      </w:r>
      <w:r>
        <w:rPr>
          <w:rFonts w:hint="eastAsia" w:ascii="宋体" w:hAnsi="宋体"/>
          <w:color w:val="auto"/>
          <w:sz w:val="24"/>
          <w:highlight w:val="none"/>
          <w:u w:val="single"/>
        </w:rPr>
        <w:t xml:space="preserve">    </w:t>
      </w:r>
    </w:p>
    <w:p w14:paraId="2C492FFA">
      <w:pPr>
        <w:spacing w:line="360" w:lineRule="auto"/>
        <w:ind w:firstLine="3840" w:firstLineChars="1600"/>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14:paraId="1266599C">
      <w:pPr>
        <w:spacing w:line="360" w:lineRule="auto"/>
        <w:ind w:firstLine="3840" w:firstLineChars="1600"/>
        <w:rPr>
          <w:rFonts w:hint="eastAsia" w:ascii="宋体" w:hAnsi="宋体"/>
          <w:color w:val="auto"/>
          <w:sz w:val="24"/>
          <w:highlight w:val="none"/>
        </w:rPr>
      </w:pPr>
    </w:p>
    <w:p w14:paraId="2B4E5DAA">
      <w:pPr>
        <w:spacing w:line="360" w:lineRule="auto"/>
        <w:ind w:firstLine="3840" w:firstLineChars="1600"/>
        <w:rPr>
          <w:rFonts w:ascii="宋体" w:hAnsi="宋体"/>
          <w:color w:val="auto"/>
          <w:sz w:val="24"/>
          <w:highlight w:val="none"/>
        </w:rPr>
      </w:pPr>
    </w:p>
    <w:p w14:paraId="40C34098">
      <w:pPr>
        <w:pStyle w:val="20"/>
        <w:spacing w:line="360" w:lineRule="auto"/>
        <w:rPr>
          <w:rFonts w:hint="eastAsia"/>
          <w:b/>
          <w:color w:val="auto"/>
          <w:szCs w:val="21"/>
          <w:highlight w:val="none"/>
        </w:rPr>
      </w:pPr>
      <w:r>
        <w:rPr>
          <w:rFonts w:hint="eastAsia"/>
          <w:b/>
          <w:color w:val="auto"/>
          <w:szCs w:val="21"/>
          <w:highlight w:val="none"/>
        </w:rPr>
        <w:t>注：联合体投标的，“投标人”一栏需书写所有联合体成员的单位全称，可由牵头方签字、盖章。</w:t>
      </w:r>
    </w:p>
    <w:p w14:paraId="5C89BD14">
      <w:pPr>
        <w:autoSpaceDE w:val="0"/>
        <w:autoSpaceDN w:val="0"/>
        <w:spacing w:line="360" w:lineRule="auto"/>
        <w:rPr>
          <w:color w:val="auto"/>
          <w:highlight w:val="none"/>
        </w:rPr>
      </w:pPr>
      <w:r>
        <w:rPr>
          <w:color w:val="auto"/>
          <w:highlight w:val="none"/>
        </w:rPr>
        <w:br w:type="page"/>
      </w:r>
      <w:r>
        <w:rPr>
          <w:rFonts w:hint="eastAsia" w:ascii="宋体"/>
          <w:b/>
          <w:color w:val="auto"/>
          <w:sz w:val="24"/>
          <w:highlight w:val="none"/>
        </w:rPr>
        <w:t>格式4：</w:t>
      </w:r>
    </w:p>
    <w:p w14:paraId="75E63647">
      <w:pPr>
        <w:autoSpaceDE w:val="0"/>
        <w:autoSpaceDN w:val="0"/>
        <w:spacing w:line="360" w:lineRule="auto"/>
        <w:jc w:val="center"/>
        <w:rPr>
          <w:rFonts w:hint="eastAsia" w:ascii="宋体"/>
          <w:b/>
          <w:bCs/>
          <w:color w:val="auto"/>
          <w:sz w:val="36"/>
          <w:szCs w:val="36"/>
          <w:highlight w:val="none"/>
          <w:lang w:val="zh-CN"/>
        </w:rPr>
      </w:pPr>
      <w:r>
        <w:rPr>
          <w:rFonts w:hint="eastAsia" w:ascii="宋体"/>
          <w:b/>
          <w:bCs/>
          <w:color w:val="auto"/>
          <w:sz w:val="36"/>
          <w:szCs w:val="36"/>
          <w:highlight w:val="none"/>
          <w:lang w:val="zh-CN"/>
        </w:rPr>
        <w:t>法定代表人（负责人）证明书、法定代表人授权委托书</w:t>
      </w:r>
    </w:p>
    <w:p w14:paraId="27E412F1">
      <w:pPr>
        <w:spacing w:line="360" w:lineRule="auto"/>
        <w:jc w:val="center"/>
        <w:rPr>
          <w:rFonts w:hint="eastAsia" w:ascii="宋体"/>
          <w:b/>
          <w:color w:val="auto"/>
          <w:sz w:val="28"/>
          <w:highlight w:val="none"/>
        </w:rPr>
      </w:pPr>
      <w:r>
        <w:rPr>
          <w:rFonts w:hint="eastAsia" w:ascii="宋体"/>
          <w:b/>
          <w:color w:val="auto"/>
          <w:sz w:val="28"/>
          <w:highlight w:val="none"/>
        </w:rPr>
        <w:t>法定代表人（负责人）证明书</w:t>
      </w:r>
    </w:p>
    <w:p w14:paraId="188D1FD0">
      <w:pPr>
        <w:spacing w:line="360" w:lineRule="auto"/>
        <w:jc w:val="right"/>
        <w:rPr>
          <w:rFonts w:hint="eastAsia" w:ascii="宋体"/>
          <w:color w:val="auto"/>
          <w:highlight w:val="none"/>
        </w:rPr>
      </w:pPr>
      <w:r>
        <w:rPr>
          <w:rFonts w:hint="eastAsia" w:ascii="宋体"/>
          <w:color w:val="auto"/>
          <w:highlight w:val="none"/>
        </w:rPr>
        <w:t>（　 ）第　号</w:t>
      </w:r>
    </w:p>
    <w:tbl>
      <w:tblPr>
        <w:tblStyle w:val="5"/>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9243"/>
      </w:tblGrid>
      <w:tr w14:paraId="3141CE8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9243" w:type="dxa"/>
            <w:vAlign w:val="top"/>
          </w:tcPr>
          <w:p w14:paraId="224180BB">
            <w:pPr>
              <w:spacing w:line="360" w:lineRule="auto"/>
              <w:rPr>
                <w:rFonts w:hint="eastAsia"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u w:val="single"/>
              </w:rPr>
              <w:t>　　　　</w:t>
            </w:r>
            <w:r>
              <w:rPr>
                <w:rFonts w:hint="eastAsia" w:ascii="宋体"/>
                <w:color w:val="auto"/>
                <w:sz w:val="24"/>
                <w:highlight w:val="none"/>
              </w:rPr>
              <w:t>现任我单位</w:t>
            </w:r>
            <w:r>
              <w:rPr>
                <w:rFonts w:hint="eastAsia" w:ascii="宋体"/>
                <w:color w:val="auto"/>
                <w:sz w:val="24"/>
                <w:highlight w:val="none"/>
                <w:u w:val="single"/>
              </w:rPr>
              <w:t>　　　　　</w:t>
            </w:r>
            <w:r>
              <w:rPr>
                <w:rFonts w:hint="eastAsia" w:ascii="宋体"/>
                <w:color w:val="auto"/>
                <w:sz w:val="24"/>
                <w:highlight w:val="none"/>
              </w:rPr>
              <w:t>职务，为法定代表人（负责人），特此证明。</w:t>
            </w:r>
          </w:p>
          <w:p w14:paraId="552266F3">
            <w:pPr>
              <w:spacing w:line="360" w:lineRule="auto"/>
              <w:rPr>
                <w:rFonts w:hint="eastAsia" w:ascii="宋体"/>
                <w:color w:val="auto"/>
                <w:sz w:val="24"/>
                <w:highlight w:val="none"/>
              </w:rPr>
            </w:pPr>
            <w:r>
              <w:rPr>
                <w:rFonts w:hint="eastAsia" w:ascii="宋体"/>
                <w:color w:val="auto"/>
                <w:sz w:val="24"/>
                <w:highlight w:val="none"/>
              </w:rPr>
              <w:t>有效期限：</w:t>
            </w:r>
            <w:r>
              <w:rPr>
                <w:rFonts w:hint="eastAsia" w:ascii="宋体"/>
                <w:color w:val="auto"/>
                <w:sz w:val="24"/>
                <w:highlight w:val="none"/>
                <w:u w:val="single"/>
              </w:rPr>
              <w:t xml:space="preserve">                                                              </w:t>
            </w:r>
          </w:p>
          <w:p w14:paraId="2CB89280">
            <w:pPr>
              <w:spacing w:line="360" w:lineRule="auto"/>
              <w:rPr>
                <w:rFonts w:hint="eastAsia" w:ascii="宋体"/>
                <w:color w:val="auto"/>
                <w:sz w:val="24"/>
                <w:highlight w:val="none"/>
              </w:rPr>
            </w:pPr>
            <w:r>
              <w:rPr>
                <w:rFonts w:hint="eastAsia" w:ascii="宋体"/>
                <w:color w:val="auto"/>
                <w:sz w:val="24"/>
                <w:highlight w:val="none"/>
              </w:rPr>
              <w:t>附：法定代表人（负责人）性别：</w:t>
            </w:r>
            <w:r>
              <w:rPr>
                <w:rFonts w:hint="eastAsia" w:ascii="宋体"/>
                <w:color w:val="auto"/>
                <w:sz w:val="24"/>
                <w:highlight w:val="none"/>
                <w:u w:val="single"/>
              </w:rPr>
              <w:t>　　</w:t>
            </w:r>
            <w:r>
              <w:rPr>
                <w:rFonts w:hint="eastAsia" w:ascii="宋体"/>
                <w:color w:val="auto"/>
                <w:sz w:val="24"/>
                <w:highlight w:val="none"/>
              </w:rPr>
              <w:t>年龄：</w:t>
            </w:r>
            <w:r>
              <w:rPr>
                <w:rFonts w:hint="eastAsia" w:ascii="宋体"/>
                <w:color w:val="auto"/>
                <w:sz w:val="24"/>
                <w:highlight w:val="none"/>
                <w:u w:val="single"/>
              </w:rPr>
              <w:t>　　</w:t>
            </w:r>
            <w:r>
              <w:rPr>
                <w:rFonts w:hint="eastAsia" w:ascii="宋体"/>
                <w:color w:val="auto"/>
                <w:sz w:val="24"/>
                <w:highlight w:val="none"/>
              </w:rPr>
              <w:t>身份证号码：</w:t>
            </w:r>
            <w:r>
              <w:rPr>
                <w:rFonts w:hint="eastAsia" w:ascii="宋体"/>
                <w:color w:val="auto"/>
                <w:sz w:val="24"/>
                <w:highlight w:val="none"/>
                <w:u w:val="single"/>
              </w:rPr>
              <w:t xml:space="preserve">       </w:t>
            </w:r>
          </w:p>
          <w:p w14:paraId="3E769532">
            <w:pPr>
              <w:spacing w:line="360" w:lineRule="auto"/>
              <w:rPr>
                <w:rFonts w:hint="eastAsia" w:ascii="宋体"/>
                <w:color w:val="auto"/>
                <w:sz w:val="24"/>
                <w:highlight w:val="none"/>
              </w:rPr>
            </w:pPr>
            <w:r>
              <w:rPr>
                <w:rFonts w:hint="eastAsia" w:ascii="宋体"/>
                <w:color w:val="auto"/>
                <w:sz w:val="24"/>
                <w:highlight w:val="none"/>
              </w:rPr>
              <w:t>注册号码：</w:t>
            </w:r>
            <w:r>
              <w:rPr>
                <w:rFonts w:hint="eastAsia" w:ascii="宋体"/>
                <w:color w:val="auto"/>
                <w:sz w:val="24"/>
                <w:highlight w:val="none"/>
                <w:u w:val="single"/>
              </w:rPr>
              <w:t>　　　　　　　　　　</w:t>
            </w:r>
            <w:r>
              <w:rPr>
                <w:rFonts w:hint="eastAsia" w:ascii="宋体"/>
                <w:color w:val="auto"/>
                <w:sz w:val="24"/>
                <w:highlight w:val="none"/>
              </w:rPr>
              <w:t>企业类型：</w:t>
            </w:r>
          </w:p>
          <w:p w14:paraId="4D6857D7">
            <w:pPr>
              <w:spacing w:line="360" w:lineRule="auto"/>
              <w:rPr>
                <w:rFonts w:hint="eastAsia" w:ascii="宋体"/>
                <w:color w:val="auto"/>
                <w:sz w:val="24"/>
                <w:highlight w:val="none"/>
              </w:rPr>
            </w:pPr>
            <w:r>
              <w:rPr>
                <w:rFonts w:hint="eastAsia" w:ascii="宋体"/>
                <w:color w:val="auto"/>
                <w:sz w:val="24"/>
                <w:highlight w:val="none"/>
              </w:rPr>
              <w:t>经营范围：</w:t>
            </w:r>
            <w:r>
              <w:rPr>
                <w:rFonts w:hint="eastAsia" w:ascii="宋体"/>
                <w:color w:val="auto"/>
                <w:sz w:val="24"/>
                <w:highlight w:val="none"/>
                <w:u w:val="single"/>
              </w:rPr>
              <w:t xml:space="preserve">            </w:t>
            </w:r>
          </w:p>
          <w:p w14:paraId="7458D995">
            <w:pPr>
              <w:spacing w:line="360" w:lineRule="auto"/>
              <w:ind w:firstLine="5040" w:firstLineChars="2100"/>
              <w:jc w:val="right"/>
              <w:rPr>
                <w:rFonts w:hint="eastAsia" w:ascii="宋体"/>
                <w:color w:val="auto"/>
                <w:sz w:val="24"/>
                <w:highlight w:val="none"/>
              </w:rPr>
            </w:pPr>
            <w:r>
              <w:rPr>
                <w:rFonts w:hint="eastAsia" w:ascii="宋体"/>
                <w:color w:val="auto"/>
                <w:sz w:val="24"/>
                <w:highlight w:val="none"/>
              </w:rPr>
              <w:t>单位：</w:t>
            </w:r>
            <w:r>
              <w:rPr>
                <w:rFonts w:hint="eastAsia" w:ascii="宋体"/>
                <w:color w:val="auto"/>
                <w:sz w:val="24"/>
                <w:highlight w:val="none"/>
                <w:u w:val="single"/>
              </w:rPr>
              <w:t xml:space="preserve">         （盖章）</w:t>
            </w:r>
            <w:r>
              <w:rPr>
                <w:rFonts w:hint="eastAsia" w:ascii="宋体"/>
                <w:color w:val="auto"/>
                <w:sz w:val="24"/>
                <w:highlight w:val="none"/>
              </w:rPr>
              <w:t xml:space="preserve"> </w:t>
            </w:r>
          </w:p>
          <w:p w14:paraId="57F59486">
            <w:pPr>
              <w:spacing w:line="360" w:lineRule="auto"/>
              <w:ind w:firstLine="5280" w:firstLineChars="2200"/>
              <w:jc w:val="right"/>
              <w:rPr>
                <w:rFonts w:hint="eastAsia" w:ascii="宋体"/>
                <w:color w:val="auto"/>
                <w:sz w:val="24"/>
                <w:highlight w:val="none"/>
              </w:rPr>
            </w:pPr>
            <w:r>
              <w:rPr>
                <w:rFonts w:hint="eastAsia" w:ascii="宋体"/>
                <w:color w:val="auto"/>
                <w:sz w:val="24"/>
                <w:highlight w:val="none"/>
              </w:rPr>
              <w:t xml:space="preserve">   年   月   日</w:t>
            </w:r>
          </w:p>
        </w:tc>
      </w:tr>
    </w:tbl>
    <w:p w14:paraId="2D23ECF8">
      <w:pPr>
        <w:spacing w:line="360" w:lineRule="auto"/>
        <w:rPr>
          <w:rFonts w:hint="eastAsia" w:ascii="宋体"/>
          <w:color w:val="auto"/>
          <w:szCs w:val="21"/>
          <w:highlight w:val="none"/>
        </w:rPr>
      </w:pPr>
      <w:r>
        <w:rPr>
          <w:rFonts w:hint="eastAsia" w:ascii="宋体"/>
          <w:color w:val="auto"/>
          <w:szCs w:val="21"/>
          <w:highlight w:val="none"/>
        </w:rPr>
        <w:t>注：1、法定代表人证明书也可以采用工商行政管理局统一印制的格式。</w:t>
      </w:r>
    </w:p>
    <w:p w14:paraId="1E05FC4E">
      <w:pPr>
        <w:spacing w:line="360" w:lineRule="auto"/>
        <w:rPr>
          <w:rFonts w:hint="eastAsia" w:ascii="宋体"/>
          <w:color w:val="auto"/>
          <w:szCs w:val="21"/>
          <w:highlight w:val="none"/>
        </w:rPr>
      </w:pPr>
      <w:r>
        <w:rPr>
          <w:rFonts w:hint="eastAsia" w:ascii="宋体"/>
          <w:color w:val="auto"/>
          <w:szCs w:val="21"/>
          <w:highlight w:val="none"/>
        </w:rPr>
        <w:t>2、联合体投标的，本证明书由主办方出具，仅填写主办方单位名称并由主办方盖章即可。</w:t>
      </w:r>
    </w:p>
    <w:p w14:paraId="44E2EAD3">
      <w:pPr>
        <w:spacing w:line="360" w:lineRule="auto"/>
        <w:jc w:val="center"/>
        <w:rPr>
          <w:rFonts w:hint="eastAsia" w:ascii="宋体"/>
          <w:b/>
          <w:color w:val="auto"/>
          <w:sz w:val="24"/>
          <w:highlight w:val="none"/>
        </w:rPr>
      </w:pPr>
      <w:r>
        <w:rPr>
          <w:rFonts w:hint="eastAsia" w:ascii="宋体"/>
          <w:b/>
          <w:color w:val="auto"/>
          <w:sz w:val="24"/>
          <w:highlight w:val="none"/>
        </w:rPr>
        <w:t>法定代表人授权委托书</w:t>
      </w:r>
    </w:p>
    <w:p w14:paraId="04AC6328">
      <w:pPr>
        <w:spacing w:line="360" w:lineRule="auto"/>
        <w:jc w:val="right"/>
        <w:rPr>
          <w:rFonts w:hint="eastAsia" w:ascii="宋体"/>
          <w:color w:val="auto"/>
          <w:highlight w:val="none"/>
        </w:rPr>
      </w:pPr>
      <w:r>
        <w:rPr>
          <w:rFonts w:hint="eastAsia" w:ascii="宋体"/>
          <w:color w:val="auto"/>
          <w:highlight w:val="none"/>
        </w:rPr>
        <w:t>（　 ）第　号</w:t>
      </w:r>
    </w:p>
    <w:tbl>
      <w:tblPr>
        <w:tblStyle w:val="5"/>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9243"/>
      </w:tblGrid>
      <w:tr w14:paraId="12E4EEF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jc w:val="center"/>
        </w:trPr>
        <w:tc>
          <w:tcPr>
            <w:tcW w:w="9243" w:type="dxa"/>
            <w:vAlign w:val="top"/>
          </w:tcPr>
          <w:p w14:paraId="747634A4">
            <w:pPr>
              <w:spacing w:line="360" w:lineRule="auto"/>
              <w:ind w:firstLine="480" w:firstLineChars="200"/>
              <w:rPr>
                <w:rFonts w:hint="eastAsia" w:ascii="宋体"/>
                <w:color w:val="auto"/>
                <w:sz w:val="24"/>
                <w:highlight w:val="none"/>
              </w:rPr>
            </w:pPr>
            <w:r>
              <w:rPr>
                <w:rFonts w:hint="eastAsia" w:ascii="宋体"/>
                <w:color w:val="auto"/>
                <w:sz w:val="24"/>
                <w:highlight w:val="none"/>
              </w:rPr>
              <w:t>兹授权</w:t>
            </w:r>
            <w:r>
              <w:rPr>
                <w:rFonts w:hint="eastAsia" w:ascii="宋体"/>
                <w:color w:val="auto"/>
                <w:sz w:val="24"/>
                <w:highlight w:val="none"/>
                <w:u w:val="single"/>
              </w:rPr>
              <w:t xml:space="preserve">     </w:t>
            </w:r>
            <w:r>
              <w:rPr>
                <w:rFonts w:hint="eastAsia" w:ascii="宋体"/>
                <w:color w:val="auto"/>
                <w:sz w:val="24"/>
                <w:highlight w:val="none"/>
              </w:rPr>
              <w:t>为我方委托代理人，其权限是：</w:t>
            </w:r>
            <w:r>
              <w:rPr>
                <w:rFonts w:hint="eastAsia" w:ascii="宋体"/>
                <w:color w:val="auto"/>
                <w:sz w:val="24"/>
                <w:highlight w:val="none"/>
                <w:u w:val="single"/>
              </w:rPr>
              <w:t xml:space="preserve">                               </w:t>
            </w:r>
          </w:p>
          <w:p w14:paraId="06C5724D">
            <w:pPr>
              <w:spacing w:line="360" w:lineRule="auto"/>
              <w:rPr>
                <w:rFonts w:hint="eastAsia" w:ascii="宋体"/>
                <w:color w:val="auto"/>
                <w:sz w:val="24"/>
                <w:highlight w:val="none"/>
                <w:u w:val="single"/>
              </w:rPr>
            </w:pPr>
            <w:r>
              <w:rPr>
                <w:rFonts w:hint="eastAsia" w:ascii="宋体"/>
                <w:color w:val="auto"/>
                <w:sz w:val="24"/>
                <w:highlight w:val="none"/>
                <w:u w:val="single"/>
              </w:rPr>
              <w:t xml:space="preserve">                                          </w:t>
            </w:r>
          </w:p>
          <w:p w14:paraId="49140280">
            <w:pPr>
              <w:spacing w:line="360" w:lineRule="auto"/>
              <w:rPr>
                <w:rFonts w:hint="eastAsia" w:ascii="宋体"/>
                <w:color w:val="auto"/>
                <w:sz w:val="24"/>
                <w:highlight w:val="none"/>
              </w:rPr>
            </w:pPr>
            <w:r>
              <w:rPr>
                <w:rFonts w:hint="eastAsia" w:ascii="宋体"/>
                <w:color w:val="auto"/>
                <w:sz w:val="24"/>
                <w:highlight w:val="none"/>
              </w:rPr>
              <w:t>有效期限：</w:t>
            </w:r>
            <w:r>
              <w:rPr>
                <w:rFonts w:hint="eastAsia" w:ascii="宋体"/>
                <w:color w:val="auto"/>
                <w:sz w:val="24"/>
                <w:highlight w:val="none"/>
                <w:u w:val="single"/>
              </w:rPr>
              <w:t xml:space="preserve">                                                                </w:t>
            </w:r>
          </w:p>
          <w:p w14:paraId="1577E7D9">
            <w:pPr>
              <w:spacing w:line="360" w:lineRule="auto"/>
              <w:rPr>
                <w:rFonts w:hint="eastAsia" w:ascii="宋体"/>
                <w:color w:val="auto"/>
                <w:sz w:val="24"/>
                <w:highlight w:val="none"/>
              </w:rPr>
            </w:pPr>
            <w:r>
              <w:rPr>
                <w:rFonts w:hint="eastAsia" w:ascii="宋体"/>
                <w:color w:val="auto"/>
                <w:sz w:val="24"/>
                <w:highlight w:val="none"/>
              </w:rPr>
              <w:t>附：代理人性别：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p>
          <w:p w14:paraId="0DDF7514">
            <w:pPr>
              <w:spacing w:line="360" w:lineRule="auto"/>
              <w:rPr>
                <w:rFonts w:hint="eastAsia" w:ascii="宋体"/>
                <w:color w:val="auto"/>
                <w:sz w:val="24"/>
                <w:highlight w:val="none"/>
              </w:rPr>
            </w:pPr>
            <w:r>
              <w:rPr>
                <w:rFonts w:hint="eastAsia" w:ascii="宋体"/>
                <w:color w:val="auto"/>
                <w:sz w:val="24"/>
                <w:highlight w:val="none"/>
              </w:rPr>
              <w:t>注册号码：</w:t>
            </w:r>
            <w:r>
              <w:rPr>
                <w:rFonts w:hint="eastAsia" w:ascii="宋体"/>
                <w:color w:val="auto"/>
                <w:sz w:val="24"/>
                <w:highlight w:val="none"/>
                <w:u w:val="single"/>
              </w:rPr>
              <w:t xml:space="preserve">          </w:t>
            </w:r>
            <w:r>
              <w:rPr>
                <w:rFonts w:hint="eastAsia" w:ascii="宋体"/>
                <w:color w:val="auto"/>
                <w:sz w:val="24"/>
                <w:highlight w:val="none"/>
              </w:rPr>
              <w:t>企业类型：</w:t>
            </w:r>
            <w:r>
              <w:rPr>
                <w:rFonts w:hint="eastAsia" w:ascii="宋体"/>
                <w:color w:val="auto"/>
                <w:sz w:val="24"/>
                <w:highlight w:val="none"/>
                <w:u w:val="single"/>
              </w:rPr>
              <w:t xml:space="preserve">               </w:t>
            </w:r>
          </w:p>
          <w:p w14:paraId="15EE0171">
            <w:pPr>
              <w:spacing w:line="360" w:lineRule="auto"/>
              <w:rPr>
                <w:rFonts w:hint="eastAsia" w:ascii="宋体"/>
                <w:color w:val="auto"/>
                <w:sz w:val="24"/>
                <w:highlight w:val="none"/>
              </w:rPr>
            </w:pPr>
            <w:r>
              <w:rPr>
                <w:rFonts w:hint="eastAsia" w:ascii="宋体"/>
                <w:color w:val="auto"/>
                <w:sz w:val="24"/>
                <w:highlight w:val="none"/>
              </w:rPr>
              <w:t>经营范围：</w:t>
            </w:r>
            <w:r>
              <w:rPr>
                <w:rFonts w:hint="eastAsia" w:ascii="宋体"/>
                <w:color w:val="auto"/>
                <w:sz w:val="24"/>
                <w:highlight w:val="none"/>
                <w:u w:val="single"/>
              </w:rPr>
              <w:t xml:space="preserve">           </w:t>
            </w:r>
          </w:p>
          <w:p w14:paraId="2AF49654">
            <w:pPr>
              <w:spacing w:line="360" w:lineRule="auto"/>
              <w:jc w:val="right"/>
              <w:rPr>
                <w:rFonts w:hint="eastAsia" w:ascii="宋体"/>
                <w:color w:val="auto"/>
                <w:sz w:val="24"/>
                <w:highlight w:val="none"/>
              </w:rPr>
            </w:pPr>
            <w:r>
              <w:rPr>
                <w:rFonts w:hint="eastAsia" w:ascii="宋体"/>
                <w:color w:val="auto"/>
                <w:sz w:val="24"/>
                <w:highlight w:val="none"/>
              </w:rPr>
              <w:t>法定代表人（负责人）：</w:t>
            </w:r>
            <w:r>
              <w:rPr>
                <w:rFonts w:hint="eastAsia" w:ascii="宋体"/>
                <w:color w:val="auto"/>
                <w:sz w:val="24"/>
                <w:highlight w:val="none"/>
                <w:u w:val="single"/>
              </w:rPr>
              <w:t xml:space="preserve">       （签名或盖章）</w:t>
            </w:r>
          </w:p>
          <w:p w14:paraId="35CAA965">
            <w:pPr>
              <w:spacing w:line="360" w:lineRule="auto"/>
              <w:ind w:right="840"/>
              <w:jc w:val="right"/>
              <w:rPr>
                <w:rFonts w:hint="eastAsia" w:ascii="宋体"/>
                <w:color w:val="auto"/>
                <w:sz w:val="24"/>
                <w:highlight w:val="none"/>
              </w:rPr>
            </w:pPr>
            <w:r>
              <w:rPr>
                <w:rFonts w:hint="eastAsia" w:ascii="宋体"/>
                <w:color w:val="auto"/>
                <w:sz w:val="24"/>
                <w:highlight w:val="none"/>
              </w:rPr>
              <w:t>授权单位：</w:t>
            </w:r>
            <w:r>
              <w:rPr>
                <w:rFonts w:hint="eastAsia" w:ascii="宋体"/>
                <w:color w:val="auto"/>
                <w:sz w:val="24"/>
                <w:highlight w:val="none"/>
                <w:u w:val="single"/>
              </w:rPr>
              <w:t xml:space="preserve">      （盖章）</w:t>
            </w:r>
          </w:p>
          <w:p w14:paraId="21A17526">
            <w:pPr>
              <w:spacing w:line="360" w:lineRule="auto"/>
              <w:ind w:right="720" w:firstLine="720" w:firstLineChars="300"/>
              <w:jc w:val="right"/>
              <w:rPr>
                <w:rFonts w:hint="eastAsia" w:ascii="宋体"/>
                <w:color w:val="auto"/>
                <w:sz w:val="24"/>
                <w:highlight w:val="none"/>
              </w:rPr>
            </w:pPr>
            <w:r>
              <w:rPr>
                <w:rFonts w:hint="eastAsia" w:ascii="宋体"/>
                <w:color w:val="auto"/>
                <w:sz w:val="24"/>
                <w:highlight w:val="none"/>
              </w:rPr>
              <w:t>年  月   日</w:t>
            </w:r>
          </w:p>
        </w:tc>
      </w:tr>
    </w:tbl>
    <w:p w14:paraId="3BFF25A4">
      <w:pPr>
        <w:spacing w:line="360" w:lineRule="auto"/>
        <w:rPr>
          <w:rFonts w:hint="eastAsia" w:ascii="宋体"/>
          <w:color w:val="auto"/>
          <w:szCs w:val="21"/>
          <w:highlight w:val="none"/>
        </w:rPr>
      </w:pPr>
      <w:r>
        <w:rPr>
          <w:rFonts w:hint="eastAsia" w:ascii="宋体"/>
          <w:color w:val="auto"/>
          <w:szCs w:val="21"/>
          <w:highlight w:val="none"/>
        </w:rPr>
        <w:t>注：1、法定代表人授权委托书也可以采用工商行政管理局统一印制的格式。</w:t>
      </w:r>
    </w:p>
    <w:p w14:paraId="7A431A73">
      <w:pPr>
        <w:spacing w:line="360" w:lineRule="auto"/>
        <w:rPr>
          <w:rFonts w:hint="eastAsia" w:ascii="宋体"/>
          <w:color w:val="auto"/>
          <w:szCs w:val="21"/>
          <w:highlight w:val="none"/>
        </w:rPr>
        <w:sectPr>
          <w:footerReference r:id="rId13" w:type="default"/>
          <w:pgSz w:w="11906" w:h="16838"/>
          <w:pgMar w:top="1440" w:right="1106" w:bottom="1440" w:left="1259" w:header="851" w:footer="992" w:gutter="0"/>
          <w:cols w:space="720" w:num="1"/>
          <w:docGrid w:type="lines" w:linePitch="312" w:charSpace="0"/>
        </w:sectPr>
      </w:pPr>
      <w:r>
        <w:rPr>
          <w:rFonts w:hint="eastAsia" w:ascii="宋体"/>
          <w:color w:val="auto"/>
          <w:szCs w:val="21"/>
          <w:highlight w:val="none"/>
        </w:rPr>
        <w:t>2、联合体投标的，本授权书由主办方出具，仅填写主办方单位名称并由主办方签字或盖章即可。</w:t>
      </w:r>
    </w:p>
    <w:p w14:paraId="13F2EDD7">
      <w:pPr>
        <w:widowControl/>
        <w:snapToGrid w:val="0"/>
        <w:spacing w:line="360" w:lineRule="auto"/>
        <w:ind w:right="102"/>
        <w:jc w:val="left"/>
        <w:rPr>
          <w:rFonts w:hint="eastAsia" w:ascii="宋体" w:hAnsi="宋体"/>
          <w:b/>
          <w:color w:val="auto"/>
          <w:kern w:val="1"/>
          <w:sz w:val="24"/>
          <w:highlight w:val="none"/>
        </w:rPr>
      </w:pPr>
      <w:r>
        <w:rPr>
          <w:rFonts w:hint="eastAsia" w:ascii="宋体" w:hAnsi="宋体"/>
          <w:b/>
          <w:color w:val="auto"/>
          <w:kern w:val="1"/>
          <w:sz w:val="24"/>
          <w:highlight w:val="none"/>
        </w:rPr>
        <w:t>格式</w:t>
      </w:r>
      <w:r>
        <w:rPr>
          <w:rFonts w:hint="eastAsia" w:ascii="宋体" w:hAnsi="宋体"/>
          <w:b/>
          <w:color w:val="auto"/>
          <w:kern w:val="1"/>
          <w:sz w:val="24"/>
          <w:highlight w:val="none"/>
          <w:lang w:val="en-US" w:eastAsia="zh-CN"/>
        </w:rPr>
        <w:t>5</w:t>
      </w:r>
    </w:p>
    <w:p w14:paraId="65888E3E">
      <w:pPr>
        <w:spacing w:line="360" w:lineRule="auto"/>
        <w:jc w:val="center"/>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投标人基本情况表</w:t>
      </w:r>
    </w:p>
    <w:tbl>
      <w:tblPr>
        <w:tblStyle w:val="5"/>
        <w:tblW w:w="0" w:type="auto"/>
        <w:jc w:val="center"/>
        <w:tblLayout w:type="fixed"/>
        <w:tblCellMar>
          <w:top w:w="0" w:type="dxa"/>
          <w:left w:w="0" w:type="dxa"/>
          <w:bottom w:w="0" w:type="dxa"/>
          <w:right w:w="0" w:type="dxa"/>
        </w:tblCellMar>
      </w:tblPr>
      <w:tblGrid>
        <w:gridCol w:w="1885"/>
        <w:gridCol w:w="1102"/>
        <w:gridCol w:w="1214"/>
        <w:gridCol w:w="840"/>
        <w:gridCol w:w="425"/>
        <w:gridCol w:w="212"/>
        <w:gridCol w:w="1265"/>
        <w:gridCol w:w="204"/>
        <w:gridCol w:w="840"/>
        <w:gridCol w:w="1060"/>
      </w:tblGrid>
      <w:tr w14:paraId="19272D83">
        <w:tblPrEx>
          <w:tblCellMar>
            <w:top w:w="0" w:type="dxa"/>
            <w:left w:w="0" w:type="dxa"/>
            <w:bottom w:w="0" w:type="dxa"/>
            <w:right w:w="0" w:type="dxa"/>
          </w:tblCellMar>
        </w:tblPrEx>
        <w:trPr>
          <w:trHeight w:val="50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6BA37FCF">
            <w:pPr>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7162" w:type="dxa"/>
            <w:gridSpan w:val="9"/>
            <w:tcBorders>
              <w:top w:val="single" w:color="000000" w:sz="8" w:space="0"/>
              <w:left w:val="single" w:color="000000" w:sz="8" w:space="0"/>
              <w:bottom w:val="single" w:color="000000" w:sz="8" w:space="0"/>
              <w:right w:val="single" w:color="000000" w:sz="8" w:space="0"/>
            </w:tcBorders>
            <w:vAlign w:val="center"/>
          </w:tcPr>
          <w:p w14:paraId="58494017">
            <w:pPr>
              <w:jc w:val="center"/>
              <w:rPr>
                <w:rFonts w:ascii="宋体" w:hAnsi="宋体"/>
                <w:color w:val="auto"/>
                <w:szCs w:val="21"/>
                <w:highlight w:val="none"/>
              </w:rPr>
            </w:pPr>
          </w:p>
        </w:tc>
      </w:tr>
      <w:tr w14:paraId="13C9E806">
        <w:tblPrEx>
          <w:tblCellMar>
            <w:top w:w="0" w:type="dxa"/>
            <w:left w:w="0" w:type="dxa"/>
            <w:bottom w:w="0" w:type="dxa"/>
            <w:right w:w="0" w:type="dxa"/>
          </w:tblCellMar>
        </w:tblPrEx>
        <w:trPr>
          <w:trHeight w:val="52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0D82C4F7">
            <w:pPr>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793" w:type="dxa"/>
            <w:gridSpan w:val="5"/>
            <w:tcBorders>
              <w:top w:val="single" w:color="000000" w:sz="8" w:space="0"/>
              <w:left w:val="single" w:color="000000" w:sz="8" w:space="0"/>
              <w:bottom w:val="single" w:color="000000" w:sz="8" w:space="0"/>
              <w:right w:val="single" w:color="000000" w:sz="8" w:space="0"/>
            </w:tcBorders>
            <w:vAlign w:val="center"/>
          </w:tcPr>
          <w:p w14:paraId="1136F6E8">
            <w:pPr>
              <w:jc w:val="center"/>
              <w:rPr>
                <w:rFonts w:ascii="宋体" w:hAnsi="宋体"/>
                <w:color w:val="auto"/>
                <w:szCs w:val="21"/>
                <w:highlight w:val="none"/>
              </w:rPr>
            </w:pPr>
          </w:p>
        </w:tc>
        <w:tc>
          <w:tcPr>
            <w:tcW w:w="1265" w:type="dxa"/>
            <w:tcBorders>
              <w:top w:val="single" w:color="000000" w:sz="8" w:space="0"/>
              <w:left w:val="single" w:color="000000" w:sz="8" w:space="0"/>
              <w:bottom w:val="single" w:color="000000" w:sz="8" w:space="0"/>
              <w:right w:val="single" w:color="000000" w:sz="8" w:space="0"/>
            </w:tcBorders>
            <w:vAlign w:val="center"/>
          </w:tcPr>
          <w:p w14:paraId="0B19C4A2">
            <w:pPr>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104" w:type="dxa"/>
            <w:gridSpan w:val="3"/>
            <w:tcBorders>
              <w:top w:val="single" w:color="000000" w:sz="8" w:space="0"/>
              <w:left w:val="single" w:color="000000" w:sz="8" w:space="0"/>
              <w:bottom w:val="single" w:color="000000" w:sz="8" w:space="0"/>
              <w:right w:val="single" w:color="000000" w:sz="8" w:space="0"/>
            </w:tcBorders>
            <w:vAlign w:val="center"/>
          </w:tcPr>
          <w:p w14:paraId="6CCD120F">
            <w:pPr>
              <w:jc w:val="center"/>
              <w:rPr>
                <w:rFonts w:ascii="宋体" w:hAnsi="宋体"/>
                <w:color w:val="auto"/>
                <w:szCs w:val="21"/>
                <w:highlight w:val="none"/>
              </w:rPr>
            </w:pPr>
          </w:p>
        </w:tc>
      </w:tr>
      <w:tr w14:paraId="7A33727B">
        <w:tblPrEx>
          <w:tblCellMar>
            <w:top w:w="0" w:type="dxa"/>
            <w:left w:w="0" w:type="dxa"/>
            <w:bottom w:w="0" w:type="dxa"/>
            <w:right w:w="0" w:type="dxa"/>
          </w:tblCellMar>
        </w:tblPrEx>
        <w:trPr>
          <w:cantSplit/>
          <w:trHeight w:val="540" w:hRule="exact"/>
          <w:jc w:val="center"/>
        </w:trPr>
        <w:tc>
          <w:tcPr>
            <w:tcW w:w="1885" w:type="dxa"/>
            <w:vMerge w:val="restart"/>
            <w:tcBorders>
              <w:top w:val="single" w:color="000000" w:sz="8" w:space="0"/>
              <w:left w:val="single" w:color="000000" w:sz="8" w:space="0"/>
              <w:bottom w:val="nil"/>
              <w:right w:val="single" w:color="000000" w:sz="8" w:space="0"/>
            </w:tcBorders>
            <w:vAlign w:val="center"/>
          </w:tcPr>
          <w:p w14:paraId="2CF5277A">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102" w:type="dxa"/>
            <w:tcBorders>
              <w:top w:val="single" w:color="000000" w:sz="8" w:space="0"/>
              <w:left w:val="single" w:color="000000" w:sz="8" w:space="0"/>
              <w:bottom w:val="single" w:color="000000" w:sz="8" w:space="0"/>
              <w:right w:val="single" w:color="000000" w:sz="8" w:space="0"/>
            </w:tcBorders>
            <w:vAlign w:val="center"/>
          </w:tcPr>
          <w:p w14:paraId="27CA8D08">
            <w:pPr>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691" w:type="dxa"/>
            <w:gridSpan w:val="4"/>
            <w:tcBorders>
              <w:top w:val="single" w:color="000000" w:sz="8" w:space="0"/>
              <w:left w:val="single" w:color="000000" w:sz="8" w:space="0"/>
              <w:bottom w:val="single" w:color="000000" w:sz="8" w:space="0"/>
              <w:right w:val="single" w:color="000000" w:sz="8" w:space="0"/>
            </w:tcBorders>
            <w:vAlign w:val="center"/>
          </w:tcPr>
          <w:p w14:paraId="7A5CDEEC">
            <w:pPr>
              <w:jc w:val="center"/>
              <w:rPr>
                <w:rFonts w:ascii="宋体" w:hAnsi="宋体"/>
                <w:color w:val="auto"/>
                <w:szCs w:val="21"/>
                <w:highlight w:val="none"/>
              </w:rPr>
            </w:pPr>
          </w:p>
        </w:tc>
        <w:tc>
          <w:tcPr>
            <w:tcW w:w="1265" w:type="dxa"/>
            <w:tcBorders>
              <w:top w:val="single" w:color="000000" w:sz="8" w:space="0"/>
              <w:left w:val="single" w:color="000000" w:sz="8" w:space="0"/>
              <w:bottom w:val="single" w:color="000000" w:sz="8" w:space="0"/>
              <w:right w:val="single" w:color="000000" w:sz="8" w:space="0"/>
            </w:tcBorders>
            <w:vAlign w:val="center"/>
          </w:tcPr>
          <w:p w14:paraId="057CD10C">
            <w:pPr>
              <w:jc w:val="center"/>
              <w:rPr>
                <w:rFonts w:hint="eastAsia"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104" w:type="dxa"/>
            <w:gridSpan w:val="3"/>
            <w:tcBorders>
              <w:top w:val="single" w:color="000000" w:sz="8" w:space="0"/>
              <w:left w:val="single" w:color="000000" w:sz="8" w:space="0"/>
              <w:bottom w:val="single" w:color="000000" w:sz="8" w:space="0"/>
              <w:right w:val="single" w:color="000000" w:sz="8" w:space="0"/>
            </w:tcBorders>
            <w:vAlign w:val="center"/>
          </w:tcPr>
          <w:p w14:paraId="102C4F1F">
            <w:pPr>
              <w:jc w:val="center"/>
              <w:rPr>
                <w:rFonts w:ascii="宋体" w:hAnsi="宋体"/>
                <w:color w:val="auto"/>
                <w:szCs w:val="21"/>
                <w:highlight w:val="none"/>
              </w:rPr>
            </w:pPr>
          </w:p>
        </w:tc>
      </w:tr>
      <w:tr w14:paraId="4483A64C">
        <w:tblPrEx>
          <w:tblCellMar>
            <w:top w:w="0" w:type="dxa"/>
            <w:left w:w="0" w:type="dxa"/>
            <w:bottom w:w="0" w:type="dxa"/>
            <w:right w:w="0" w:type="dxa"/>
          </w:tblCellMar>
        </w:tblPrEx>
        <w:trPr>
          <w:cantSplit/>
          <w:trHeight w:val="520" w:hRule="exact"/>
          <w:jc w:val="center"/>
        </w:trPr>
        <w:tc>
          <w:tcPr>
            <w:tcW w:w="1885" w:type="dxa"/>
            <w:vMerge w:val="continue"/>
            <w:tcBorders>
              <w:top w:val="nil"/>
              <w:left w:val="single" w:color="000000" w:sz="8" w:space="0"/>
              <w:bottom w:val="single" w:color="000000" w:sz="8" w:space="0"/>
              <w:right w:val="single" w:color="000000" w:sz="8" w:space="0"/>
            </w:tcBorders>
            <w:vAlign w:val="center"/>
          </w:tcPr>
          <w:p w14:paraId="27394748">
            <w:pPr>
              <w:jc w:val="center"/>
              <w:rPr>
                <w:rFonts w:ascii="宋体" w:hAnsi="宋体"/>
                <w:color w:val="auto"/>
                <w:szCs w:val="21"/>
                <w:highlight w:val="none"/>
              </w:rPr>
            </w:pPr>
          </w:p>
        </w:tc>
        <w:tc>
          <w:tcPr>
            <w:tcW w:w="1102" w:type="dxa"/>
            <w:tcBorders>
              <w:top w:val="single" w:color="000000" w:sz="8" w:space="0"/>
              <w:left w:val="single" w:color="000000" w:sz="8" w:space="0"/>
              <w:bottom w:val="single" w:color="000000" w:sz="8" w:space="0"/>
              <w:right w:val="single" w:color="000000" w:sz="8" w:space="0"/>
            </w:tcBorders>
            <w:vAlign w:val="center"/>
          </w:tcPr>
          <w:p w14:paraId="0DF8936A">
            <w:pPr>
              <w:jc w:val="center"/>
              <w:rPr>
                <w:rFonts w:hint="eastAsia"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691" w:type="dxa"/>
            <w:gridSpan w:val="4"/>
            <w:tcBorders>
              <w:top w:val="single" w:color="000000" w:sz="8" w:space="0"/>
              <w:left w:val="single" w:color="000000" w:sz="8" w:space="0"/>
              <w:bottom w:val="single" w:color="000000" w:sz="8" w:space="0"/>
              <w:right w:val="single" w:color="000000" w:sz="8" w:space="0"/>
            </w:tcBorders>
            <w:vAlign w:val="center"/>
          </w:tcPr>
          <w:p w14:paraId="4CE3C0F6">
            <w:pPr>
              <w:jc w:val="center"/>
              <w:rPr>
                <w:rFonts w:ascii="宋体" w:hAnsi="宋体"/>
                <w:color w:val="auto"/>
                <w:szCs w:val="21"/>
                <w:highlight w:val="none"/>
              </w:rPr>
            </w:pPr>
          </w:p>
        </w:tc>
        <w:tc>
          <w:tcPr>
            <w:tcW w:w="1265" w:type="dxa"/>
            <w:tcBorders>
              <w:top w:val="single" w:color="000000" w:sz="8" w:space="0"/>
              <w:left w:val="single" w:color="000000" w:sz="8" w:space="0"/>
              <w:bottom w:val="single" w:color="000000" w:sz="8" w:space="0"/>
              <w:right w:val="single" w:color="000000" w:sz="8" w:space="0"/>
            </w:tcBorders>
            <w:vAlign w:val="center"/>
          </w:tcPr>
          <w:p w14:paraId="63F9029A">
            <w:pPr>
              <w:jc w:val="center"/>
              <w:rPr>
                <w:rFonts w:hint="eastAsia" w:ascii="宋体" w:hAnsi="宋体"/>
                <w:color w:val="auto"/>
                <w:szCs w:val="21"/>
                <w:highlight w:val="none"/>
              </w:rPr>
            </w:pPr>
            <w:r>
              <w:rPr>
                <w:rFonts w:hint="eastAsia" w:ascii="宋体" w:hAnsi="宋体"/>
                <w:color w:val="auto"/>
                <w:szCs w:val="21"/>
                <w:highlight w:val="none"/>
              </w:rPr>
              <w:t>电子邮件</w:t>
            </w:r>
          </w:p>
        </w:tc>
        <w:tc>
          <w:tcPr>
            <w:tcW w:w="2104" w:type="dxa"/>
            <w:gridSpan w:val="3"/>
            <w:tcBorders>
              <w:top w:val="single" w:color="000000" w:sz="8" w:space="0"/>
              <w:left w:val="single" w:color="000000" w:sz="8" w:space="0"/>
              <w:bottom w:val="single" w:color="000000" w:sz="8" w:space="0"/>
              <w:right w:val="single" w:color="000000" w:sz="8" w:space="0"/>
            </w:tcBorders>
            <w:vAlign w:val="center"/>
          </w:tcPr>
          <w:p w14:paraId="3D428ECE">
            <w:pPr>
              <w:jc w:val="center"/>
              <w:rPr>
                <w:rFonts w:ascii="宋体" w:hAnsi="宋体"/>
                <w:color w:val="auto"/>
                <w:szCs w:val="21"/>
                <w:highlight w:val="none"/>
              </w:rPr>
            </w:pPr>
          </w:p>
        </w:tc>
      </w:tr>
      <w:tr w14:paraId="5F9EC37A">
        <w:tblPrEx>
          <w:tblCellMar>
            <w:top w:w="0" w:type="dxa"/>
            <w:left w:w="0" w:type="dxa"/>
            <w:bottom w:w="0" w:type="dxa"/>
            <w:right w:w="0" w:type="dxa"/>
          </w:tblCellMar>
        </w:tblPrEx>
        <w:trPr>
          <w:trHeight w:val="52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177DD2B7">
            <w:pPr>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1102" w:type="dxa"/>
            <w:tcBorders>
              <w:top w:val="single" w:color="000000" w:sz="8" w:space="0"/>
              <w:left w:val="single" w:color="000000" w:sz="8" w:space="0"/>
              <w:bottom w:val="single" w:color="000000" w:sz="8" w:space="0"/>
              <w:right w:val="single" w:color="000000" w:sz="8" w:space="0"/>
            </w:tcBorders>
            <w:vAlign w:val="center"/>
          </w:tcPr>
          <w:p w14:paraId="3FCD76F1">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214" w:type="dxa"/>
            <w:tcBorders>
              <w:top w:val="single" w:color="000000" w:sz="8" w:space="0"/>
              <w:left w:val="single" w:color="000000" w:sz="8" w:space="0"/>
              <w:bottom w:val="single" w:color="000000" w:sz="8" w:space="0"/>
              <w:right w:val="single" w:color="000000" w:sz="8" w:space="0"/>
            </w:tcBorders>
            <w:vAlign w:val="center"/>
          </w:tcPr>
          <w:p w14:paraId="12F86E98">
            <w:pPr>
              <w:jc w:val="center"/>
              <w:rPr>
                <w:rFonts w:ascii="宋体" w:hAnsi="宋体"/>
                <w:color w:val="auto"/>
                <w:szCs w:val="21"/>
                <w:highlight w:val="none"/>
              </w:rPr>
            </w:pPr>
          </w:p>
        </w:tc>
        <w:tc>
          <w:tcPr>
            <w:tcW w:w="1265" w:type="dxa"/>
            <w:gridSpan w:val="2"/>
            <w:tcBorders>
              <w:top w:val="single" w:color="000000" w:sz="8" w:space="0"/>
              <w:left w:val="single" w:color="000000" w:sz="8" w:space="0"/>
              <w:bottom w:val="single" w:color="000000" w:sz="8" w:space="0"/>
              <w:right w:val="single" w:color="000000" w:sz="8" w:space="0"/>
            </w:tcBorders>
            <w:vAlign w:val="center"/>
          </w:tcPr>
          <w:p w14:paraId="39AA6008">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681" w:type="dxa"/>
            <w:gridSpan w:val="3"/>
            <w:tcBorders>
              <w:top w:val="single" w:color="000000" w:sz="8" w:space="0"/>
              <w:left w:val="single" w:color="000000" w:sz="8" w:space="0"/>
              <w:bottom w:val="single" w:color="000000" w:sz="8" w:space="0"/>
              <w:right w:val="single" w:color="000000" w:sz="8" w:space="0"/>
            </w:tcBorders>
            <w:vAlign w:val="center"/>
          </w:tcPr>
          <w:p w14:paraId="3AFF97D0">
            <w:pPr>
              <w:jc w:val="center"/>
              <w:rPr>
                <w:rFonts w:ascii="宋体" w:hAnsi="宋体"/>
                <w:color w:val="auto"/>
                <w:szCs w:val="21"/>
                <w:highlight w:val="none"/>
              </w:rPr>
            </w:pPr>
          </w:p>
        </w:tc>
        <w:tc>
          <w:tcPr>
            <w:tcW w:w="840" w:type="dxa"/>
            <w:tcBorders>
              <w:top w:val="single" w:color="000000" w:sz="8" w:space="0"/>
              <w:left w:val="single" w:color="000000" w:sz="8" w:space="0"/>
              <w:bottom w:val="single" w:color="000000" w:sz="8" w:space="0"/>
              <w:right w:val="single" w:color="000000" w:sz="8" w:space="0"/>
            </w:tcBorders>
            <w:vAlign w:val="center"/>
          </w:tcPr>
          <w:p w14:paraId="1BDB06B7">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060" w:type="dxa"/>
            <w:tcBorders>
              <w:top w:val="single" w:color="000000" w:sz="8" w:space="0"/>
              <w:left w:val="single" w:color="000000" w:sz="8" w:space="0"/>
              <w:bottom w:val="single" w:color="000000" w:sz="8" w:space="0"/>
              <w:right w:val="single" w:color="000000" w:sz="8" w:space="0"/>
            </w:tcBorders>
            <w:vAlign w:val="center"/>
          </w:tcPr>
          <w:p w14:paraId="335EFF2C">
            <w:pPr>
              <w:jc w:val="center"/>
              <w:rPr>
                <w:rFonts w:ascii="宋体" w:hAnsi="宋体"/>
                <w:color w:val="auto"/>
                <w:szCs w:val="21"/>
                <w:highlight w:val="none"/>
              </w:rPr>
            </w:pPr>
          </w:p>
        </w:tc>
      </w:tr>
      <w:tr w14:paraId="7CA595D3">
        <w:tblPrEx>
          <w:tblCellMar>
            <w:top w:w="0" w:type="dxa"/>
            <w:left w:w="0" w:type="dxa"/>
            <w:bottom w:w="0" w:type="dxa"/>
            <w:right w:w="0" w:type="dxa"/>
          </w:tblCellMar>
        </w:tblPrEx>
        <w:trPr>
          <w:trHeight w:val="52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70E9321B">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1102" w:type="dxa"/>
            <w:tcBorders>
              <w:top w:val="single" w:color="000000" w:sz="8" w:space="0"/>
              <w:left w:val="single" w:color="000000" w:sz="8" w:space="0"/>
              <w:bottom w:val="single" w:color="000000" w:sz="8" w:space="0"/>
              <w:right w:val="single" w:color="000000" w:sz="8" w:space="0"/>
            </w:tcBorders>
            <w:vAlign w:val="center"/>
          </w:tcPr>
          <w:p w14:paraId="290E957F">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214" w:type="dxa"/>
            <w:tcBorders>
              <w:top w:val="single" w:color="000000" w:sz="8" w:space="0"/>
              <w:left w:val="single" w:color="000000" w:sz="8" w:space="0"/>
              <w:bottom w:val="single" w:color="000000" w:sz="8" w:space="0"/>
              <w:right w:val="single" w:color="000000" w:sz="8" w:space="0"/>
            </w:tcBorders>
            <w:vAlign w:val="center"/>
          </w:tcPr>
          <w:p w14:paraId="33009337">
            <w:pPr>
              <w:jc w:val="center"/>
              <w:rPr>
                <w:rFonts w:ascii="宋体" w:hAnsi="宋体"/>
                <w:color w:val="auto"/>
                <w:szCs w:val="21"/>
                <w:highlight w:val="none"/>
              </w:rPr>
            </w:pPr>
          </w:p>
        </w:tc>
        <w:tc>
          <w:tcPr>
            <w:tcW w:w="1265" w:type="dxa"/>
            <w:gridSpan w:val="2"/>
            <w:tcBorders>
              <w:top w:val="single" w:color="000000" w:sz="8" w:space="0"/>
              <w:left w:val="single" w:color="000000" w:sz="8" w:space="0"/>
              <w:bottom w:val="single" w:color="000000" w:sz="8" w:space="0"/>
              <w:right w:val="single" w:color="000000" w:sz="8" w:space="0"/>
            </w:tcBorders>
            <w:vAlign w:val="center"/>
          </w:tcPr>
          <w:p w14:paraId="6A62E831">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681" w:type="dxa"/>
            <w:gridSpan w:val="3"/>
            <w:tcBorders>
              <w:top w:val="single" w:color="000000" w:sz="8" w:space="0"/>
              <w:left w:val="single" w:color="000000" w:sz="8" w:space="0"/>
              <w:bottom w:val="single" w:color="000000" w:sz="8" w:space="0"/>
              <w:right w:val="single" w:color="000000" w:sz="8" w:space="0"/>
            </w:tcBorders>
            <w:vAlign w:val="center"/>
          </w:tcPr>
          <w:p w14:paraId="2547DB3D">
            <w:pPr>
              <w:jc w:val="center"/>
              <w:rPr>
                <w:rFonts w:ascii="宋体" w:hAnsi="宋体"/>
                <w:color w:val="auto"/>
                <w:szCs w:val="21"/>
                <w:highlight w:val="none"/>
              </w:rPr>
            </w:pPr>
          </w:p>
        </w:tc>
        <w:tc>
          <w:tcPr>
            <w:tcW w:w="840" w:type="dxa"/>
            <w:tcBorders>
              <w:top w:val="single" w:color="000000" w:sz="8" w:space="0"/>
              <w:left w:val="single" w:color="000000" w:sz="8" w:space="0"/>
              <w:bottom w:val="single" w:color="000000" w:sz="8" w:space="0"/>
              <w:right w:val="single" w:color="000000" w:sz="8" w:space="0"/>
            </w:tcBorders>
            <w:vAlign w:val="center"/>
          </w:tcPr>
          <w:p w14:paraId="54C66AF9">
            <w:pPr>
              <w:jc w:val="center"/>
              <w:rPr>
                <w:rFonts w:hint="eastAsia" w:ascii="宋体" w:hAnsi="宋体"/>
                <w:color w:val="auto"/>
                <w:szCs w:val="21"/>
                <w:highlight w:val="none"/>
              </w:rPr>
            </w:pPr>
            <w:r>
              <w:rPr>
                <w:rFonts w:hint="eastAsia" w:ascii="宋体" w:hAnsi="宋体"/>
                <w:color w:val="auto"/>
                <w:szCs w:val="21"/>
                <w:highlight w:val="none"/>
              </w:rPr>
              <w:t>电话</w:t>
            </w:r>
          </w:p>
        </w:tc>
        <w:tc>
          <w:tcPr>
            <w:tcW w:w="1060" w:type="dxa"/>
            <w:tcBorders>
              <w:top w:val="single" w:color="000000" w:sz="8" w:space="0"/>
              <w:left w:val="single" w:color="000000" w:sz="8" w:space="0"/>
              <w:bottom w:val="single" w:color="000000" w:sz="8" w:space="0"/>
              <w:right w:val="single" w:color="000000" w:sz="8" w:space="0"/>
            </w:tcBorders>
            <w:vAlign w:val="center"/>
          </w:tcPr>
          <w:p w14:paraId="00FF1FE6">
            <w:pPr>
              <w:jc w:val="center"/>
              <w:rPr>
                <w:rFonts w:ascii="宋体" w:hAnsi="宋体"/>
                <w:color w:val="auto"/>
                <w:szCs w:val="21"/>
                <w:highlight w:val="none"/>
              </w:rPr>
            </w:pPr>
          </w:p>
        </w:tc>
      </w:tr>
      <w:tr w14:paraId="059AD95D">
        <w:tblPrEx>
          <w:tblCellMar>
            <w:top w:w="0" w:type="dxa"/>
            <w:left w:w="0" w:type="dxa"/>
            <w:bottom w:w="0" w:type="dxa"/>
            <w:right w:w="0" w:type="dxa"/>
          </w:tblCellMar>
        </w:tblPrEx>
        <w:trPr>
          <w:trHeight w:val="54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6D86FDBF">
            <w:pPr>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316" w:type="dxa"/>
            <w:gridSpan w:val="2"/>
            <w:tcBorders>
              <w:top w:val="single" w:color="000000" w:sz="8" w:space="0"/>
              <w:left w:val="single" w:color="000000" w:sz="8" w:space="0"/>
              <w:bottom w:val="single" w:color="000000" w:sz="8" w:space="0"/>
              <w:right w:val="single" w:color="000000" w:sz="8" w:space="0"/>
            </w:tcBorders>
            <w:vAlign w:val="center"/>
          </w:tcPr>
          <w:p w14:paraId="52EC73C0">
            <w:pPr>
              <w:jc w:val="center"/>
              <w:rPr>
                <w:rFonts w:ascii="宋体" w:hAnsi="宋体"/>
                <w:color w:val="auto"/>
                <w:szCs w:val="21"/>
                <w:highlight w:val="none"/>
              </w:rPr>
            </w:pPr>
          </w:p>
        </w:tc>
        <w:tc>
          <w:tcPr>
            <w:tcW w:w="4846" w:type="dxa"/>
            <w:gridSpan w:val="7"/>
            <w:tcBorders>
              <w:top w:val="single" w:color="000000" w:sz="8" w:space="0"/>
              <w:left w:val="single" w:color="000000" w:sz="8" w:space="0"/>
              <w:bottom w:val="single" w:color="000000" w:sz="8" w:space="0"/>
              <w:right w:val="single" w:color="000000" w:sz="8" w:space="0"/>
            </w:tcBorders>
            <w:vAlign w:val="center"/>
          </w:tcPr>
          <w:p w14:paraId="067BCE28">
            <w:pPr>
              <w:jc w:val="center"/>
              <w:rPr>
                <w:rFonts w:hint="eastAsia" w:ascii="宋体" w:hAnsi="宋体"/>
                <w:color w:val="auto"/>
                <w:szCs w:val="21"/>
                <w:highlight w:val="none"/>
              </w:rPr>
            </w:pPr>
            <w:r>
              <w:rPr>
                <w:rFonts w:hint="eastAsia" w:ascii="宋体" w:hAnsi="宋体"/>
                <w:color w:val="auto"/>
                <w:szCs w:val="21"/>
                <w:highlight w:val="none"/>
              </w:rPr>
              <w:t>员工总人数：</w:t>
            </w:r>
          </w:p>
        </w:tc>
      </w:tr>
      <w:tr w14:paraId="0472BC37">
        <w:tblPrEx>
          <w:tblCellMar>
            <w:top w:w="0" w:type="dxa"/>
            <w:left w:w="0" w:type="dxa"/>
            <w:bottom w:w="0" w:type="dxa"/>
            <w:right w:w="0" w:type="dxa"/>
          </w:tblCellMar>
        </w:tblPrEx>
        <w:trPr>
          <w:trHeight w:val="50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4AB714E5">
            <w:pPr>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316" w:type="dxa"/>
            <w:gridSpan w:val="2"/>
            <w:tcBorders>
              <w:top w:val="single" w:color="000000" w:sz="8" w:space="0"/>
              <w:left w:val="single" w:color="000000" w:sz="8" w:space="0"/>
              <w:bottom w:val="single" w:color="000000" w:sz="8" w:space="0"/>
              <w:right w:val="single" w:color="000000" w:sz="8" w:space="0"/>
            </w:tcBorders>
            <w:vAlign w:val="center"/>
          </w:tcPr>
          <w:p w14:paraId="2B0C14CF">
            <w:pPr>
              <w:jc w:val="center"/>
              <w:rPr>
                <w:rFonts w:ascii="宋体" w:hAnsi="宋体"/>
                <w:color w:val="auto"/>
                <w:szCs w:val="21"/>
                <w:highlight w:val="none"/>
              </w:rPr>
            </w:pPr>
          </w:p>
        </w:tc>
        <w:tc>
          <w:tcPr>
            <w:tcW w:w="840" w:type="dxa"/>
            <w:vMerge w:val="restart"/>
            <w:tcBorders>
              <w:top w:val="single" w:color="000000" w:sz="8" w:space="0"/>
              <w:left w:val="single" w:color="000000" w:sz="8" w:space="0"/>
              <w:right w:val="single" w:color="000000" w:sz="8" w:space="0"/>
            </w:tcBorders>
            <w:vAlign w:val="center"/>
          </w:tcPr>
          <w:p w14:paraId="10520ED0">
            <w:pPr>
              <w:jc w:val="center"/>
              <w:rPr>
                <w:rFonts w:hint="eastAsia" w:ascii="宋体" w:hAnsi="宋体"/>
                <w:color w:val="auto"/>
                <w:szCs w:val="21"/>
                <w:highlight w:val="none"/>
              </w:rPr>
            </w:pPr>
            <w:r>
              <w:rPr>
                <w:rFonts w:hint="eastAsia" w:ascii="宋体" w:hAnsi="宋体"/>
                <w:color w:val="auto"/>
                <w:szCs w:val="21"/>
                <w:highlight w:val="none"/>
              </w:rPr>
              <w:t>其中</w:t>
            </w:r>
          </w:p>
        </w:tc>
        <w:tc>
          <w:tcPr>
            <w:tcW w:w="2106" w:type="dxa"/>
            <w:gridSpan w:val="4"/>
            <w:tcBorders>
              <w:top w:val="single" w:color="000000" w:sz="8" w:space="0"/>
              <w:left w:val="single" w:color="000000" w:sz="8" w:space="0"/>
              <w:bottom w:val="single" w:color="000000" w:sz="8" w:space="0"/>
              <w:right w:val="single" w:color="000000" w:sz="8" w:space="0"/>
            </w:tcBorders>
            <w:vAlign w:val="center"/>
          </w:tcPr>
          <w:p w14:paraId="59714F98">
            <w:pPr>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1900" w:type="dxa"/>
            <w:gridSpan w:val="2"/>
            <w:tcBorders>
              <w:top w:val="single" w:color="000000" w:sz="8" w:space="0"/>
              <w:left w:val="single" w:color="000000" w:sz="8" w:space="0"/>
              <w:bottom w:val="single" w:color="000000" w:sz="8" w:space="0"/>
              <w:right w:val="single" w:color="000000" w:sz="8" w:space="0"/>
            </w:tcBorders>
            <w:vAlign w:val="center"/>
          </w:tcPr>
          <w:p w14:paraId="67333ACF">
            <w:pPr>
              <w:jc w:val="center"/>
              <w:rPr>
                <w:rFonts w:ascii="宋体" w:hAnsi="宋体"/>
                <w:color w:val="auto"/>
                <w:szCs w:val="21"/>
                <w:highlight w:val="none"/>
              </w:rPr>
            </w:pPr>
          </w:p>
        </w:tc>
      </w:tr>
      <w:tr w14:paraId="258C0709">
        <w:tblPrEx>
          <w:tblCellMar>
            <w:top w:w="0" w:type="dxa"/>
            <w:left w:w="0" w:type="dxa"/>
            <w:bottom w:w="0" w:type="dxa"/>
            <w:right w:w="0" w:type="dxa"/>
          </w:tblCellMar>
        </w:tblPrEx>
        <w:trPr>
          <w:cantSplit/>
          <w:trHeight w:val="54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026A9D01">
            <w:pPr>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316" w:type="dxa"/>
            <w:gridSpan w:val="2"/>
            <w:tcBorders>
              <w:top w:val="single" w:color="000000" w:sz="8" w:space="0"/>
              <w:left w:val="single" w:color="000000" w:sz="8" w:space="0"/>
              <w:bottom w:val="single" w:color="000000" w:sz="8" w:space="0"/>
              <w:right w:val="single" w:color="000000" w:sz="8" w:space="0"/>
            </w:tcBorders>
            <w:vAlign w:val="center"/>
          </w:tcPr>
          <w:p w14:paraId="7D0C3F25">
            <w:pPr>
              <w:jc w:val="center"/>
              <w:rPr>
                <w:rFonts w:ascii="宋体" w:hAnsi="宋体"/>
                <w:color w:val="auto"/>
                <w:szCs w:val="21"/>
                <w:highlight w:val="none"/>
              </w:rPr>
            </w:pPr>
          </w:p>
        </w:tc>
        <w:tc>
          <w:tcPr>
            <w:tcW w:w="840" w:type="dxa"/>
            <w:vMerge w:val="continue"/>
            <w:tcBorders>
              <w:left w:val="single" w:color="000000" w:sz="8" w:space="0"/>
              <w:right w:val="single" w:color="000000" w:sz="8" w:space="0"/>
            </w:tcBorders>
            <w:vAlign w:val="center"/>
          </w:tcPr>
          <w:p w14:paraId="7F303C90">
            <w:pPr>
              <w:jc w:val="center"/>
              <w:rPr>
                <w:rFonts w:ascii="宋体" w:hAnsi="宋体"/>
                <w:color w:val="auto"/>
                <w:szCs w:val="21"/>
                <w:highlight w:val="none"/>
              </w:rPr>
            </w:pPr>
          </w:p>
        </w:tc>
        <w:tc>
          <w:tcPr>
            <w:tcW w:w="2106" w:type="dxa"/>
            <w:gridSpan w:val="4"/>
            <w:tcBorders>
              <w:top w:val="single" w:color="000000" w:sz="8" w:space="0"/>
              <w:left w:val="single" w:color="000000" w:sz="8" w:space="0"/>
              <w:bottom w:val="single" w:color="000000" w:sz="8" w:space="0"/>
              <w:right w:val="single" w:color="000000" w:sz="8" w:space="0"/>
            </w:tcBorders>
            <w:vAlign w:val="center"/>
          </w:tcPr>
          <w:p w14:paraId="7E9D76C3">
            <w:pPr>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1900" w:type="dxa"/>
            <w:gridSpan w:val="2"/>
            <w:tcBorders>
              <w:top w:val="single" w:color="000000" w:sz="8" w:space="0"/>
              <w:left w:val="single" w:color="000000" w:sz="8" w:space="0"/>
              <w:bottom w:val="single" w:color="000000" w:sz="8" w:space="0"/>
              <w:right w:val="single" w:color="000000" w:sz="8" w:space="0"/>
            </w:tcBorders>
            <w:vAlign w:val="center"/>
          </w:tcPr>
          <w:p w14:paraId="4A05DFC1">
            <w:pPr>
              <w:jc w:val="center"/>
              <w:rPr>
                <w:rFonts w:ascii="宋体" w:hAnsi="宋体"/>
                <w:color w:val="auto"/>
                <w:szCs w:val="21"/>
                <w:highlight w:val="none"/>
              </w:rPr>
            </w:pPr>
          </w:p>
        </w:tc>
      </w:tr>
      <w:tr w14:paraId="5E5B1BA4">
        <w:tblPrEx>
          <w:tblCellMar>
            <w:top w:w="0" w:type="dxa"/>
            <w:left w:w="0" w:type="dxa"/>
            <w:bottom w:w="0" w:type="dxa"/>
            <w:right w:w="0" w:type="dxa"/>
          </w:tblCellMar>
        </w:tblPrEx>
        <w:trPr>
          <w:trHeight w:val="52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51BF9CAD">
            <w:pPr>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316" w:type="dxa"/>
            <w:gridSpan w:val="2"/>
            <w:tcBorders>
              <w:top w:val="single" w:color="000000" w:sz="8" w:space="0"/>
              <w:left w:val="single" w:color="000000" w:sz="8" w:space="0"/>
              <w:bottom w:val="single" w:color="000000" w:sz="8" w:space="0"/>
              <w:right w:val="single" w:color="000000" w:sz="8" w:space="0"/>
            </w:tcBorders>
            <w:vAlign w:val="center"/>
          </w:tcPr>
          <w:p w14:paraId="41BC1E6E">
            <w:pPr>
              <w:jc w:val="center"/>
              <w:rPr>
                <w:rFonts w:ascii="宋体" w:hAnsi="宋体"/>
                <w:color w:val="auto"/>
                <w:szCs w:val="21"/>
                <w:highlight w:val="none"/>
              </w:rPr>
            </w:pPr>
          </w:p>
        </w:tc>
        <w:tc>
          <w:tcPr>
            <w:tcW w:w="840" w:type="dxa"/>
            <w:vMerge w:val="continue"/>
            <w:tcBorders>
              <w:left w:val="single" w:color="000000" w:sz="8" w:space="0"/>
              <w:right w:val="single" w:color="000000" w:sz="8" w:space="0"/>
            </w:tcBorders>
            <w:vAlign w:val="center"/>
          </w:tcPr>
          <w:p w14:paraId="77A75374">
            <w:pPr>
              <w:jc w:val="center"/>
              <w:rPr>
                <w:rFonts w:ascii="宋体" w:hAnsi="宋体"/>
                <w:color w:val="auto"/>
                <w:szCs w:val="21"/>
                <w:highlight w:val="none"/>
              </w:rPr>
            </w:pPr>
          </w:p>
        </w:tc>
        <w:tc>
          <w:tcPr>
            <w:tcW w:w="2106" w:type="dxa"/>
            <w:gridSpan w:val="4"/>
            <w:tcBorders>
              <w:top w:val="single" w:color="000000" w:sz="8" w:space="0"/>
              <w:left w:val="single" w:color="000000" w:sz="8" w:space="0"/>
              <w:bottom w:val="single" w:color="000000" w:sz="8" w:space="0"/>
              <w:right w:val="single" w:color="000000" w:sz="8" w:space="0"/>
            </w:tcBorders>
            <w:vAlign w:val="center"/>
          </w:tcPr>
          <w:p w14:paraId="4744B6FC">
            <w:pPr>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1900" w:type="dxa"/>
            <w:gridSpan w:val="2"/>
            <w:tcBorders>
              <w:top w:val="single" w:color="000000" w:sz="8" w:space="0"/>
              <w:left w:val="single" w:color="000000" w:sz="8" w:space="0"/>
              <w:bottom w:val="single" w:color="000000" w:sz="8" w:space="0"/>
              <w:right w:val="single" w:color="000000" w:sz="8" w:space="0"/>
            </w:tcBorders>
            <w:vAlign w:val="center"/>
          </w:tcPr>
          <w:p w14:paraId="73697A25">
            <w:pPr>
              <w:jc w:val="center"/>
              <w:rPr>
                <w:rFonts w:ascii="宋体" w:hAnsi="宋体"/>
                <w:color w:val="auto"/>
                <w:szCs w:val="21"/>
                <w:highlight w:val="none"/>
              </w:rPr>
            </w:pPr>
          </w:p>
        </w:tc>
      </w:tr>
      <w:tr w14:paraId="3830321D">
        <w:tblPrEx>
          <w:tblCellMar>
            <w:top w:w="0" w:type="dxa"/>
            <w:left w:w="0" w:type="dxa"/>
            <w:bottom w:w="0" w:type="dxa"/>
            <w:right w:w="0" w:type="dxa"/>
          </w:tblCellMar>
        </w:tblPrEx>
        <w:trPr>
          <w:cantSplit/>
          <w:trHeight w:val="782"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671ED7A4">
            <w:pPr>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2316" w:type="dxa"/>
            <w:gridSpan w:val="2"/>
            <w:tcBorders>
              <w:top w:val="single" w:color="000000" w:sz="8" w:space="0"/>
              <w:left w:val="single" w:color="000000" w:sz="8" w:space="0"/>
              <w:bottom w:val="single" w:color="000000" w:sz="8" w:space="0"/>
              <w:right w:val="single" w:color="000000" w:sz="8" w:space="0"/>
            </w:tcBorders>
            <w:vAlign w:val="center"/>
          </w:tcPr>
          <w:p w14:paraId="1CD8B5C7">
            <w:pPr>
              <w:jc w:val="center"/>
              <w:rPr>
                <w:rFonts w:ascii="宋体" w:hAnsi="宋体"/>
                <w:color w:val="auto"/>
                <w:szCs w:val="21"/>
                <w:highlight w:val="none"/>
              </w:rPr>
            </w:pPr>
          </w:p>
        </w:tc>
        <w:tc>
          <w:tcPr>
            <w:tcW w:w="840" w:type="dxa"/>
            <w:vMerge w:val="continue"/>
            <w:tcBorders>
              <w:left w:val="single" w:color="000000" w:sz="8" w:space="0"/>
              <w:right w:val="single" w:color="000000" w:sz="8" w:space="0"/>
            </w:tcBorders>
            <w:vAlign w:val="center"/>
          </w:tcPr>
          <w:p w14:paraId="01A63370">
            <w:pPr>
              <w:jc w:val="center"/>
              <w:rPr>
                <w:rFonts w:ascii="宋体" w:hAnsi="宋体"/>
                <w:color w:val="auto"/>
                <w:szCs w:val="21"/>
                <w:highlight w:val="none"/>
              </w:rPr>
            </w:pPr>
          </w:p>
        </w:tc>
        <w:tc>
          <w:tcPr>
            <w:tcW w:w="2106" w:type="dxa"/>
            <w:gridSpan w:val="4"/>
            <w:tcBorders>
              <w:top w:val="single" w:color="000000" w:sz="8" w:space="0"/>
              <w:left w:val="single" w:color="000000" w:sz="8" w:space="0"/>
              <w:bottom w:val="single" w:color="000000" w:sz="8" w:space="0"/>
              <w:right w:val="single" w:color="000000" w:sz="8" w:space="0"/>
            </w:tcBorders>
            <w:vAlign w:val="center"/>
          </w:tcPr>
          <w:p w14:paraId="3018EC0E">
            <w:pPr>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1900" w:type="dxa"/>
            <w:gridSpan w:val="2"/>
            <w:tcBorders>
              <w:top w:val="single" w:color="000000" w:sz="8" w:space="0"/>
              <w:left w:val="single" w:color="000000" w:sz="8" w:space="0"/>
              <w:bottom w:val="single" w:color="000000" w:sz="8" w:space="0"/>
              <w:right w:val="single" w:color="000000" w:sz="8" w:space="0"/>
            </w:tcBorders>
            <w:vAlign w:val="center"/>
          </w:tcPr>
          <w:p w14:paraId="1618B570">
            <w:pPr>
              <w:jc w:val="center"/>
              <w:rPr>
                <w:rFonts w:ascii="宋体" w:hAnsi="宋体"/>
                <w:color w:val="auto"/>
                <w:szCs w:val="21"/>
                <w:highlight w:val="none"/>
              </w:rPr>
            </w:pPr>
          </w:p>
        </w:tc>
      </w:tr>
      <w:tr w14:paraId="0CAAB3BC">
        <w:tblPrEx>
          <w:tblCellMar>
            <w:top w:w="0" w:type="dxa"/>
            <w:left w:w="0" w:type="dxa"/>
            <w:bottom w:w="0" w:type="dxa"/>
            <w:right w:w="0" w:type="dxa"/>
          </w:tblCellMar>
        </w:tblPrEx>
        <w:trPr>
          <w:cantSplit/>
          <w:trHeight w:val="710"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6D123FE0">
            <w:pPr>
              <w:jc w:val="center"/>
              <w:rPr>
                <w:rFonts w:hint="eastAsia" w:ascii="宋体" w:hAnsi="宋体"/>
                <w:color w:val="auto"/>
                <w:szCs w:val="21"/>
                <w:highlight w:val="none"/>
              </w:rPr>
            </w:pPr>
            <w:r>
              <w:rPr>
                <w:rFonts w:hint="eastAsia" w:ascii="宋体" w:hAnsi="宋体"/>
                <w:color w:val="auto"/>
                <w:szCs w:val="21"/>
                <w:highlight w:val="none"/>
              </w:rPr>
              <w:t>基本账户账号</w:t>
            </w:r>
          </w:p>
        </w:tc>
        <w:tc>
          <w:tcPr>
            <w:tcW w:w="2316" w:type="dxa"/>
            <w:gridSpan w:val="2"/>
            <w:tcBorders>
              <w:top w:val="single" w:color="000000" w:sz="8" w:space="0"/>
              <w:left w:val="single" w:color="000000" w:sz="8" w:space="0"/>
              <w:bottom w:val="single" w:color="000000" w:sz="8" w:space="0"/>
              <w:right w:val="single" w:color="000000" w:sz="8" w:space="0"/>
            </w:tcBorders>
            <w:vAlign w:val="center"/>
          </w:tcPr>
          <w:p w14:paraId="0B0FA590">
            <w:pPr>
              <w:jc w:val="center"/>
              <w:rPr>
                <w:rFonts w:ascii="宋体" w:hAnsi="宋体"/>
                <w:color w:val="auto"/>
                <w:szCs w:val="21"/>
                <w:highlight w:val="none"/>
              </w:rPr>
            </w:pPr>
          </w:p>
        </w:tc>
        <w:tc>
          <w:tcPr>
            <w:tcW w:w="840" w:type="dxa"/>
            <w:vMerge w:val="continue"/>
            <w:tcBorders>
              <w:left w:val="single" w:color="000000" w:sz="8" w:space="0"/>
              <w:bottom w:val="single" w:color="000000" w:sz="8" w:space="0"/>
              <w:right w:val="single" w:color="000000" w:sz="8" w:space="0"/>
            </w:tcBorders>
            <w:vAlign w:val="center"/>
          </w:tcPr>
          <w:p w14:paraId="7BFE551A">
            <w:pPr>
              <w:jc w:val="center"/>
              <w:rPr>
                <w:rFonts w:ascii="宋体" w:hAnsi="宋体"/>
                <w:color w:val="auto"/>
                <w:szCs w:val="21"/>
                <w:highlight w:val="none"/>
              </w:rPr>
            </w:pPr>
          </w:p>
        </w:tc>
        <w:tc>
          <w:tcPr>
            <w:tcW w:w="2106" w:type="dxa"/>
            <w:gridSpan w:val="4"/>
            <w:tcBorders>
              <w:top w:val="single" w:color="000000" w:sz="8" w:space="0"/>
              <w:left w:val="single" w:color="000000" w:sz="8" w:space="0"/>
              <w:bottom w:val="single" w:color="000000" w:sz="8" w:space="0"/>
              <w:right w:val="single" w:color="000000" w:sz="8" w:space="0"/>
            </w:tcBorders>
            <w:vAlign w:val="center"/>
          </w:tcPr>
          <w:p w14:paraId="794D8401">
            <w:pPr>
              <w:jc w:val="center"/>
              <w:rPr>
                <w:rFonts w:hint="eastAsia" w:ascii="宋体" w:hAnsi="宋体"/>
                <w:color w:val="auto"/>
                <w:szCs w:val="21"/>
                <w:highlight w:val="none"/>
              </w:rPr>
            </w:pPr>
            <w:r>
              <w:rPr>
                <w:rFonts w:hint="eastAsia" w:ascii="宋体" w:hAnsi="宋体"/>
                <w:color w:val="auto"/>
                <w:szCs w:val="21"/>
                <w:highlight w:val="none"/>
              </w:rPr>
              <w:t>技工</w:t>
            </w:r>
          </w:p>
        </w:tc>
        <w:tc>
          <w:tcPr>
            <w:tcW w:w="1900" w:type="dxa"/>
            <w:gridSpan w:val="2"/>
            <w:tcBorders>
              <w:top w:val="single" w:color="000000" w:sz="8" w:space="0"/>
              <w:left w:val="single" w:color="000000" w:sz="8" w:space="0"/>
              <w:bottom w:val="single" w:color="000000" w:sz="8" w:space="0"/>
              <w:right w:val="single" w:color="000000" w:sz="8" w:space="0"/>
            </w:tcBorders>
            <w:vAlign w:val="center"/>
          </w:tcPr>
          <w:p w14:paraId="25736B75">
            <w:pPr>
              <w:jc w:val="center"/>
              <w:rPr>
                <w:rFonts w:ascii="宋体" w:hAnsi="宋体"/>
                <w:color w:val="auto"/>
                <w:szCs w:val="21"/>
                <w:highlight w:val="none"/>
              </w:rPr>
            </w:pPr>
          </w:p>
        </w:tc>
      </w:tr>
      <w:tr w14:paraId="558D37DC">
        <w:tblPrEx>
          <w:tblCellMar>
            <w:top w:w="0" w:type="dxa"/>
            <w:left w:w="0" w:type="dxa"/>
            <w:bottom w:w="0" w:type="dxa"/>
            <w:right w:w="0" w:type="dxa"/>
          </w:tblCellMar>
        </w:tblPrEx>
        <w:trPr>
          <w:trHeight w:val="1676"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41307F27">
            <w:pPr>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7162" w:type="dxa"/>
            <w:gridSpan w:val="9"/>
            <w:tcBorders>
              <w:top w:val="single" w:color="000000" w:sz="8" w:space="0"/>
              <w:left w:val="single" w:color="000000" w:sz="8" w:space="0"/>
              <w:bottom w:val="single" w:color="000000" w:sz="8" w:space="0"/>
              <w:right w:val="single" w:color="000000" w:sz="8" w:space="0"/>
            </w:tcBorders>
            <w:vAlign w:val="center"/>
          </w:tcPr>
          <w:p w14:paraId="4D40CABC">
            <w:pPr>
              <w:jc w:val="center"/>
              <w:rPr>
                <w:rFonts w:ascii="宋体" w:hAnsi="宋体"/>
                <w:color w:val="auto"/>
                <w:szCs w:val="21"/>
                <w:highlight w:val="none"/>
              </w:rPr>
            </w:pPr>
          </w:p>
        </w:tc>
      </w:tr>
      <w:tr w14:paraId="640972B3">
        <w:tblPrEx>
          <w:tblCellMar>
            <w:top w:w="0" w:type="dxa"/>
            <w:left w:w="0" w:type="dxa"/>
            <w:bottom w:w="0" w:type="dxa"/>
            <w:right w:w="0" w:type="dxa"/>
          </w:tblCellMar>
        </w:tblPrEx>
        <w:trPr>
          <w:trHeight w:val="1421"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45355C18">
            <w:pPr>
              <w:jc w:val="center"/>
              <w:rPr>
                <w:rFonts w:hint="eastAsia" w:ascii="宋体" w:hAnsi="宋体"/>
                <w:color w:val="auto"/>
                <w:szCs w:val="21"/>
                <w:highlight w:val="none"/>
              </w:rPr>
            </w:pPr>
            <w:r>
              <w:rPr>
                <w:rFonts w:hint="eastAsia" w:ascii="宋体" w:hAnsi="宋体"/>
                <w:color w:val="auto"/>
                <w:szCs w:val="21"/>
                <w:highlight w:val="none"/>
              </w:rPr>
              <w:t>企业简介</w:t>
            </w:r>
          </w:p>
        </w:tc>
        <w:tc>
          <w:tcPr>
            <w:tcW w:w="7162" w:type="dxa"/>
            <w:gridSpan w:val="9"/>
            <w:tcBorders>
              <w:top w:val="single" w:color="000000" w:sz="8" w:space="0"/>
              <w:left w:val="single" w:color="000000" w:sz="8" w:space="0"/>
              <w:bottom w:val="single" w:color="000000" w:sz="8" w:space="0"/>
              <w:right w:val="single" w:color="000000" w:sz="8" w:space="0"/>
            </w:tcBorders>
            <w:vAlign w:val="center"/>
          </w:tcPr>
          <w:p w14:paraId="06F594AF">
            <w:pPr>
              <w:jc w:val="center"/>
              <w:rPr>
                <w:rFonts w:hint="eastAsia" w:ascii="宋体" w:hAnsi="宋体"/>
                <w:color w:val="auto"/>
                <w:szCs w:val="21"/>
                <w:highlight w:val="none"/>
              </w:rPr>
            </w:pPr>
            <w:r>
              <w:rPr>
                <w:rFonts w:hint="eastAsia" w:ascii="宋体" w:hAnsi="宋体"/>
                <w:color w:val="auto"/>
                <w:szCs w:val="21"/>
                <w:highlight w:val="none"/>
              </w:rPr>
              <w:t>（本项内容可另附页）</w:t>
            </w:r>
          </w:p>
        </w:tc>
      </w:tr>
      <w:tr w14:paraId="476C6E5A">
        <w:tblPrEx>
          <w:tblCellMar>
            <w:top w:w="0" w:type="dxa"/>
            <w:left w:w="0" w:type="dxa"/>
            <w:bottom w:w="0" w:type="dxa"/>
            <w:right w:w="0" w:type="dxa"/>
          </w:tblCellMar>
        </w:tblPrEx>
        <w:trPr>
          <w:trHeight w:val="1084" w:hRule="exact"/>
          <w:jc w:val="center"/>
        </w:trPr>
        <w:tc>
          <w:tcPr>
            <w:tcW w:w="1885" w:type="dxa"/>
            <w:tcBorders>
              <w:top w:val="single" w:color="000000" w:sz="8" w:space="0"/>
              <w:left w:val="single" w:color="000000" w:sz="8" w:space="0"/>
              <w:bottom w:val="single" w:color="000000" w:sz="8" w:space="0"/>
              <w:right w:val="single" w:color="000000" w:sz="8" w:space="0"/>
            </w:tcBorders>
            <w:vAlign w:val="center"/>
          </w:tcPr>
          <w:p w14:paraId="2EB98E24">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7162" w:type="dxa"/>
            <w:gridSpan w:val="9"/>
            <w:tcBorders>
              <w:top w:val="single" w:color="000000" w:sz="8" w:space="0"/>
              <w:left w:val="single" w:color="000000" w:sz="8" w:space="0"/>
              <w:bottom w:val="single" w:color="000000" w:sz="8" w:space="0"/>
              <w:right w:val="single" w:color="000000" w:sz="8" w:space="0"/>
            </w:tcBorders>
            <w:vAlign w:val="center"/>
          </w:tcPr>
          <w:p w14:paraId="5BC8A9AE">
            <w:pPr>
              <w:jc w:val="center"/>
              <w:rPr>
                <w:rFonts w:ascii="宋体" w:hAnsi="宋体"/>
                <w:color w:val="auto"/>
                <w:szCs w:val="21"/>
                <w:highlight w:val="none"/>
              </w:rPr>
            </w:pPr>
          </w:p>
        </w:tc>
      </w:tr>
    </w:tbl>
    <w:p w14:paraId="42E33024">
      <w:pPr>
        <w:autoSpaceDE w:val="0"/>
        <w:autoSpaceDN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注：如为联合体投标，则联合体各方均须提供本表。</w:t>
      </w:r>
    </w:p>
    <w:sectPr>
      <w:headerReference r:id="rId14" w:type="default"/>
      <w:footerReference r:id="rId15" w:type="default"/>
      <w:pgSz w:w="11907" w:h="16840"/>
      <w:pgMar w:top="1361" w:right="1304" w:bottom="1304" w:left="1304" w:header="851" w:footer="720"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1396">
    <w:pPr>
      <w:pStyle w:val="2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92100" cy="191770"/>
              <wp:effectExtent l="0" t="0" r="0" b="0"/>
              <wp:wrapNone/>
              <wp:docPr id="2" name="_x0000_s2056"/>
              <wp:cNvGraphicFramePr/>
              <a:graphic xmlns:a="http://schemas.openxmlformats.org/drawingml/2006/main">
                <a:graphicData uri="http://schemas.microsoft.com/office/word/2010/wordprocessingShape">
                  <wps:wsp>
                    <wps:cNvSpPr/>
                    <wps:spPr>
                      <a:xfrm>
                        <a:off x="0" y="0"/>
                        <a:ext cx="292100" cy="191770"/>
                      </a:xfrm>
                      <a:prstGeom prst="rect">
                        <a:avLst/>
                      </a:prstGeom>
                    </wps:spPr>
                    <wps:txbx>
                      <w:txbxContent>
                        <w:p w14:paraId="4E4D018D">
                          <w:pPr>
                            <w:pStyle w:val="21"/>
                            <w:tabs>
                              <w:tab w:val="clear" w:pos="4153"/>
                              <w:tab w:val="clear" w:pos="8306"/>
                            </w:tabs>
                          </w:pPr>
                          <w:r>
                            <w:fldChar w:fldCharType="begin"/>
                          </w:r>
                          <w:r>
                            <w:instrText xml:space="preserve"> PAGE \* Arabic </w:instrText>
                          </w:r>
                          <w:r>
                            <w:fldChar w:fldCharType="separate"/>
                          </w:r>
                          <w:r>
                            <w:t>26</w:t>
                          </w:r>
                          <w:r>
                            <w:fldChar w:fldCharType="end"/>
                          </w:r>
                        </w:p>
                        <w:p w14:paraId="3E998DE9"/>
                      </w:txbxContent>
                    </wps:txbx>
                    <wps:bodyPr rot="0" vert="horz" wrap="square" lIns="91440" tIns="45720" rIns="91440" bIns="45720" anchor="t" anchorCtr="0"/>
                  </wps:wsp>
                </a:graphicData>
              </a:graphic>
            </wp:anchor>
          </w:drawing>
        </mc:Choice>
        <mc:Fallback>
          <w:pict>
            <v:rect id="_x0000_s2056" o:spid="_x0000_s1026" o:spt="1" style="position:absolute;left:0pt;margin-top:0pt;height:15.1pt;width:23pt;mso-position-horizontal:center;mso-position-horizontal-relative:margin;z-index:251659264;mso-width-relative:page;mso-height-relative:page;" filled="f" stroked="f" coordsize="21600,21600" o:gfxdata="UEsDBAoAAAAAAIdO4kAAAAAAAAAAAAAAAAAEAAAAZHJzL1BLAwQUAAAACACHTuJAunwN/NQAAAAD&#10;AQAADwAAAGRycy9kb3ducmV2LnhtbE2PQWvCQBCF74X+h2UKvRTd1RYpMRsPgiilII2t5zU7TUKz&#10;szG7Jvbfd/RiLw8eb3jvm3Rxdo3osQu1Jw2TsQKBVHhbU6nhc7cavYII0ZA1jSfU8IsBFtn9XWoS&#10;6wf6wD6PpeASConRUMXYJlKGokJnwti3SJx9+86ZyLYrpe3MwOWukVOlZtKZmnihMi0uKyx+8pPT&#10;MBTbfr97X8vt037j6bg5LvOvN60fHyZqDiLiOd6O4YLP6JAx08GfyAbRaOBH4lU5e5mxO2h4VlOQ&#10;WSr/s2d/UEsDBBQAAAAIAIdO4kAS2FkZvQEAAIQDAAAOAAAAZHJzL2Uyb0RvYy54bWytU01v2zAM&#10;vQ/YfxB0b/yBtFmMKD002DBg2Ap0OxeKLMcGrI+RSuzs14+S3TToLj3MB5kU6Ue+R3pzP5qenTRg&#10;56zgxSLnTFvl6s4eBP/18/PNJ84wSFvL3lkt+Fkjv99+/LAZfKVL17q+1sAIxGI1eMHbEHyVZaha&#10;bSQunNeWgo0DIwO5cMhqkAOhmz4r8/wuGxzUHpzSiHS7m4J8RoT3ALqm6ZTeOXU02oYJFXQvA1HC&#10;tvPIt6nbptEq/Gga1IH1ghPTkE4qQvY+ntl2I6sDSN92am5BvqeFN5yM7CwVvUDtZJDsCN0/UKZT&#10;4NA1YaGcySYiSRFiUeRvtHlqpdeJC0mN/iI6/j9Y9f30CKyrBS85s9LQwJ/HnJ5nLPPbu6jP4LGi&#10;tCf/CLOHZEayYwMmvokGG5Om54umegxM0WW5Louc1FYUKtbFapU0z14/9oDhi3aGRUNwoJElJeXp&#10;GwYqSKkvKeTEZqby0Qrjfpx72rv6TEzATSOmBSejdfCHs4HGKzj+PkrQnPVfLem3LpbLuA/JWd6u&#10;SnLgOrK/jkirCErwwNlkPoS0Q7G92AcNJzU6L1Kc/rWfsl5/nu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nwN/NQAAAADAQAADwAAAAAAAAABACAAAAAiAAAAZHJzL2Rvd25yZXYueG1sUEsBAhQA&#10;FAAAAAgAh07iQBLYWRm9AQAAhAMAAA4AAAAAAAAAAQAgAAAAIwEAAGRycy9lMm9Eb2MueG1sUEsF&#10;BgAAAAAGAAYAWQEAAFIFAAAAAA==&#10;">
              <v:fill on="f" focussize="0,0"/>
              <v:stroke on="f"/>
              <v:imagedata o:title=""/>
              <o:lock v:ext="edit" aspectratio="f"/>
              <v:textbox>
                <w:txbxContent>
                  <w:p w14:paraId="4E4D018D">
                    <w:pPr>
                      <w:pStyle w:val="21"/>
                      <w:tabs>
                        <w:tab w:val="clear" w:pos="4153"/>
                        <w:tab w:val="clear" w:pos="8306"/>
                      </w:tabs>
                    </w:pPr>
                    <w:r>
                      <w:fldChar w:fldCharType="begin"/>
                    </w:r>
                    <w:r>
                      <w:instrText xml:space="preserve"> PAGE \* Arabic </w:instrText>
                    </w:r>
                    <w:r>
                      <w:fldChar w:fldCharType="separate"/>
                    </w:r>
                    <w:r>
                      <w:t>26</w:t>
                    </w:r>
                    <w:r>
                      <w:fldChar w:fldCharType="end"/>
                    </w:r>
                  </w:p>
                  <w:p w14:paraId="3E998DE9"/>
                </w:txbxContent>
              </v:textbox>
            </v:rect>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901D">
    <w:pPr>
      <w:pStyle w:val="21"/>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_x0000_s2057"/>
              <wp:cNvGraphicFramePr/>
              <a:graphic xmlns:a="http://schemas.openxmlformats.org/drawingml/2006/main">
                <a:graphicData uri="http://schemas.microsoft.com/office/word/2010/wordprocessingShape">
                  <wps:wsp>
                    <wps:cNvSpPr/>
                    <wps:spPr>
                      <a:xfrm>
                        <a:off x="0" y="0"/>
                        <a:ext cx="116204" cy="139700"/>
                      </a:xfrm>
                      <a:prstGeom prst="rect">
                        <a:avLst/>
                      </a:prstGeom>
                    </wps:spPr>
                    <wps:txbx>
                      <w:txbxContent>
                        <w:p w14:paraId="26DA6202">
                          <w:pPr>
                            <w:pStyle w:val="21"/>
                            <w:tabs>
                              <w:tab w:val="clear" w:pos="4153"/>
                              <w:tab w:val="clear" w:pos="8306"/>
                            </w:tabs>
                          </w:pPr>
                          <w:r>
                            <w:fldChar w:fldCharType="begin"/>
                          </w:r>
                          <w:r>
                            <w:instrText xml:space="preserve"> PAGE \* Arabic </w:instrText>
                          </w:r>
                          <w:r>
                            <w:fldChar w:fldCharType="separate"/>
                          </w:r>
                          <w:r>
                            <w:t>27</w:t>
                          </w:r>
                          <w:r>
                            <w:fldChar w:fldCharType="end"/>
                          </w:r>
                        </w:p>
                        <w:p w14:paraId="24F94AEC"/>
                      </w:txbxContent>
                    </wps:txbx>
                    <wps:bodyPr rot="0" vert="horz" wrap="square" lIns="91440" tIns="45720" rIns="91440" bIns="45720" anchor="t" anchorCtr="0"/>
                  </wps:wsp>
                </a:graphicData>
              </a:graphic>
            </wp:anchor>
          </w:drawing>
        </mc:Choice>
        <mc:Fallback>
          <w:pict>
            <v:rect id="_x0000_s2057" o:spid="_x0000_s1026" o:spt="1" style="position:absolute;left:0pt;margin-top:0pt;height:11pt;width:9.15pt;mso-position-horizontal:center;mso-position-horizontal-relative:margin;z-index:251659264;mso-width-relative:page;mso-height-relative:page;" filled="f" stroked="f" coordsize="21600,21600" o:gfxdata="UEsDBAoAAAAAAIdO4kAAAAAAAAAAAAAAAAAEAAAAZHJzL1BLAwQUAAAACACHTuJAyf9DUtQAAAAD&#10;AQAADwAAAGRycy9kb3ducmV2LnhtbE2PQWvCQBCF7wX/wzJCL6XumkKRNBsPgiilII2t5zE7TUKz&#10;szG7Jvbfd+2lXgYe7/HeN9nyYlsxUO8bxxrmMwWCuHSm4UrDx379uADhA7LB1jFp+CEPy3xyl2Fq&#10;3MjvNBShErGEfYoa6hC6VEpf1mTRz1xHHL0v11sMUfaVND2Osdy2MlHqWVpsOC7U2NGqpvK7OFsN&#10;Y7kbDvu3jdw9HLaOT9vTqvh81fp+OlcvIAJdwn8YrvgRHfLIdHRnNl60GuIj4e9evcUTiKOGJFEg&#10;80zesue/UEsDBBQAAAAIAIdO4kDhww/avgEAAIQDAAAOAAAAZHJzL2Uyb0RvYy54bWytU01v2zAM&#10;vQ/YfxB0X/zRtFmNOD002DBg2Ap0OxeKLMcCrI+RSuzs14+S3TToLj3UB5kU6Ue+R3p9N5qeHRWg&#10;drbmxSLnTFnpGm33Nf/968unz5xhELYRvbOq5ieF/G7z8cN68JUqXef6RgEjEIvV4GveheCrLEPZ&#10;KSNw4byyFGwdGBHIhX3WgBgI3fRZmec32eCg8eCkQqTb7RTkMyK8BdC1rZZq6+TBKBsmVFC9CEQJ&#10;O+2Rb1K3batk+Nm2qALra05MQzqpCNm7eGabtaj2IHyn5dyCeEsLrzgZoS0VPUNtRRDsAPo/KKMl&#10;OHRtWEhnsolIUoRYFPkrbR474VXiQlKjP4uO7wcrfxwfgOmm5lecWWFo4E9jTs8Tlvn1KuozeKwo&#10;7dE/wOwhmZHs2IKJb6LBxqTp6aypGgOTdFkUN2W+5ExSqLi6XeVJ8+zlYw8YvipnWDRqDjSypKQ4&#10;fsdABSn1OYWc2MxUPlph3I1zTzvXnIgJuGnEtOBkdA7+cjbQeGuOfw4CFGf9N0v63RbLZdyH5Cyv&#10;VyU5cBnZXUaElQRV88DZZN6HtEOxvdgHDSc1Oi9SnP6ln7Jefp7N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n/Q1LUAAAAAwEAAA8AAAAAAAAAAQAgAAAAIgAAAGRycy9kb3ducmV2LnhtbFBLAQIU&#10;ABQAAAAIAIdO4kDhww/avgEAAIQDAAAOAAAAAAAAAAEAIAAAACMBAABkcnMvZTJvRG9jLnhtbFBL&#10;BQYAAAAABgAGAFkBAABTBQAAAAA=&#10;">
              <v:fill on="f" focussize="0,0"/>
              <v:stroke on="f"/>
              <v:imagedata o:title=""/>
              <o:lock v:ext="edit" aspectratio="f"/>
              <v:textbox>
                <w:txbxContent>
                  <w:p w14:paraId="26DA6202">
                    <w:pPr>
                      <w:pStyle w:val="21"/>
                      <w:tabs>
                        <w:tab w:val="clear" w:pos="4153"/>
                        <w:tab w:val="clear" w:pos="8306"/>
                      </w:tabs>
                    </w:pPr>
                    <w:r>
                      <w:fldChar w:fldCharType="begin"/>
                    </w:r>
                    <w:r>
                      <w:instrText xml:space="preserve"> PAGE \* Arabic </w:instrText>
                    </w:r>
                    <w:r>
                      <w:fldChar w:fldCharType="separate"/>
                    </w:r>
                    <w:r>
                      <w:t>27</w:t>
                    </w:r>
                    <w:r>
                      <w:fldChar w:fldCharType="end"/>
                    </w:r>
                  </w:p>
                  <w:p w14:paraId="24F94AEC"/>
                </w:txbxContent>
              </v:textbox>
            </v:rect>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1357">
    <w:pPr>
      <w:pStyle w:val="22"/>
      <w:pBdr>
        <w:bottom w:val="none" w:color="000000" w:sz="0" w:space="0"/>
      </w:pBdr>
      <w:tabs>
        <w:tab w:val="clear" w:pos="4153"/>
        <w:tab w:val="clear" w:pos="8306"/>
      </w:tabs>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_x0000_s2058"/>
              <wp:cNvGraphicFramePr/>
              <a:graphic xmlns:a="http://schemas.openxmlformats.org/drawingml/2006/main">
                <a:graphicData uri="http://schemas.microsoft.com/office/word/2010/wordprocessingShape">
                  <wps:wsp>
                    <wps:cNvSpPr/>
                    <wps:spPr>
                      <a:xfrm>
                        <a:off x="0" y="0"/>
                        <a:ext cx="116204" cy="139700"/>
                      </a:xfrm>
                      <a:prstGeom prst="rect">
                        <a:avLst/>
                      </a:prstGeom>
                    </wps:spPr>
                    <wps:txbx>
                      <w:txbxContent>
                        <w:p w14:paraId="7DB40226">
                          <w:pPr>
                            <w:pStyle w:val="21"/>
                            <w:tabs>
                              <w:tab w:val="clear" w:pos="4153"/>
                              <w:tab w:val="clear" w:pos="8306"/>
                            </w:tabs>
                          </w:pPr>
                          <w:r>
                            <w:fldChar w:fldCharType="begin"/>
                          </w:r>
                          <w:r>
                            <w:instrText xml:space="preserve"> PAGE  \* MERGEFORMAT </w:instrText>
                          </w:r>
                          <w:r>
                            <w:fldChar w:fldCharType="separate"/>
                          </w:r>
                          <w:r>
                            <w:t>30</w:t>
                          </w:r>
                          <w:r>
                            <w:fldChar w:fldCharType="end"/>
                          </w:r>
                        </w:p>
                        <w:p w14:paraId="4C06DA02"/>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1pt;width:9.15pt;mso-position-horizontal:center;mso-position-horizontal-relative:margin;z-index:251659264;mso-width-relative:page;mso-height-relative:page;" filled="f" stroked="f" coordsize="21600,21600" o:gfxdata="UEsDBAoAAAAAAIdO4kAAAAAAAAAAAAAAAAAEAAAAZHJzL1BLAwQUAAAACACHTuJAyf9DUtQAAAAD&#10;AQAADwAAAGRycy9kb3ducmV2LnhtbE2PQWvCQBCF7wX/wzJCL6XumkKRNBsPgiilII2t5zE7TUKz&#10;szG7Jvbfd+2lXgYe7/HeN9nyYlsxUO8bxxrmMwWCuHSm4UrDx379uADhA7LB1jFp+CEPy3xyl2Fq&#10;3MjvNBShErGEfYoa6hC6VEpf1mTRz1xHHL0v11sMUfaVND2Osdy2MlHqWVpsOC7U2NGqpvK7OFsN&#10;Y7kbDvu3jdw9HLaOT9vTqvh81fp+OlcvIAJdwn8YrvgRHfLIdHRnNl60GuIj4e9evcUTiKOGJFEg&#10;80zesue/UEsDBBQAAAAIAIdO4kBHqhZ9vQEAAIQDAAAOAAAAZHJzL2Uyb0RvYy54bWytU0tv2zAM&#10;vg/ofxB0b/xY+jKi9LCgw4BhK9DtXCiyHBuwHiWV2NmvHyW7adBdepgPMinSH/l9pFf3o+nZQQN2&#10;zgpeLHLOtFWu7uxO8N+/Hi5vOcMgbS17Z7XgR438fn3xaTX4SpeudX2tgRGIxWrwgrch+CrLULXa&#10;SFw4ry0FGwdGBnJhl9UgB0I3fVbm+XU2OKg9OKUR6XYzBfmMCB8BdE3TKb1xam+0DRMq6F4GooRt&#10;55GvU7dNo1X42TSoA+sFJ6YhnVSE7G08s/VKVjuQvu3U3IL8SAvvOBnZWSp6gtrIINkeun+gTKfA&#10;oWvCQjmTTUSSIsSiyN9p89RKrxMXkhr9SXT8f7Dqx+ERWFcLvuTMSkMDfx5zep6xzK9uoz6Dx4rS&#10;nvwjzB6SGcmODZj4JhpsTJoeT5rqMTBFl0VxXeaErShUfL67yZPm2dvHHjB81c6waAgONLKkpDx8&#10;x0AFKfU1hZzYzFQ+WmHcjnNPW1cfiQm4acS04GS0Dv5wNtB4BceXvQTNWf/Nkn53xXIZ9yE5y6ub&#10;khw4j2zPI9IqghI8cDaZX0Laodhe7IOGkxqdFylO/9xPWW8/z/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f9DUtQAAAADAQAADwAAAAAAAAABACAAAAAiAAAAZHJzL2Rvd25yZXYueG1sUEsBAhQA&#10;FAAAAAgAh07iQEeqFn29AQAAhAMAAA4AAAAAAAAAAQAgAAAAIwEAAGRycy9lMm9Eb2MueG1sUEsF&#10;BgAAAAAGAAYAWQEAAFIFAAAAAA==&#10;">
              <v:fill on="f" focussize="0,0"/>
              <v:stroke on="f"/>
              <v:imagedata o:title=""/>
              <o:lock v:ext="edit" aspectratio="f"/>
              <v:textbox>
                <w:txbxContent>
                  <w:p w14:paraId="7DB40226">
                    <w:pPr>
                      <w:pStyle w:val="21"/>
                      <w:tabs>
                        <w:tab w:val="clear" w:pos="4153"/>
                        <w:tab w:val="clear" w:pos="8306"/>
                      </w:tabs>
                    </w:pPr>
                    <w:r>
                      <w:fldChar w:fldCharType="begin"/>
                    </w:r>
                    <w:r>
                      <w:instrText xml:space="preserve"> PAGE  \* MERGEFORMAT </w:instrText>
                    </w:r>
                    <w:r>
                      <w:fldChar w:fldCharType="separate"/>
                    </w:r>
                    <w:r>
                      <w:t>30</w:t>
                    </w:r>
                    <w:r>
                      <w:fldChar w:fldCharType="end"/>
                    </w:r>
                  </w:p>
                  <w:p w14:paraId="4C06DA02"/>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4B8A">
    <w:pPr>
      <w:pStyle w:val="22"/>
      <w:pBdr>
        <w:bottom w:val="none" w:color="000000" w:sz="0" w:space="0"/>
      </w:pBdr>
      <w:tabs>
        <w:tab w:val="clear" w:pos="4153"/>
        <w:tab w:val="clear" w:pos="8306"/>
      </w:tabs>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_x0000_s2059"/>
              <wp:cNvGraphicFramePr/>
              <a:graphic xmlns:a="http://schemas.openxmlformats.org/drawingml/2006/main">
                <a:graphicData uri="http://schemas.microsoft.com/office/word/2010/wordprocessingShape">
                  <wps:wsp>
                    <wps:cNvSpPr/>
                    <wps:spPr>
                      <a:xfrm>
                        <a:off x="0" y="0"/>
                        <a:ext cx="116204" cy="139700"/>
                      </a:xfrm>
                      <a:prstGeom prst="rect">
                        <a:avLst/>
                      </a:prstGeom>
                    </wps:spPr>
                    <wps:txbx>
                      <w:txbxContent>
                        <w:p w14:paraId="7EE7D19D">
                          <w:pPr>
                            <w:pStyle w:val="21"/>
                            <w:tabs>
                              <w:tab w:val="clear" w:pos="4153"/>
                              <w:tab w:val="clear" w:pos="8306"/>
                            </w:tabs>
                          </w:pPr>
                          <w:r>
                            <w:fldChar w:fldCharType="begin"/>
                          </w:r>
                          <w:r>
                            <w:instrText xml:space="preserve"> PAGE  \* MERGEFORMAT </w:instrText>
                          </w:r>
                          <w:r>
                            <w:fldChar w:fldCharType="separate"/>
                          </w:r>
                          <w:r>
                            <w:t>34</w:t>
                          </w:r>
                          <w:r>
                            <w:fldChar w:fldCharType="end"/>
                          </w:r>
                        </w:p>
                        <w:p w14:paraId="17FF93B4"/>
                      </w:txbxContent>
                    </wps:txbx>
                    <wps:bodyPr rot="0" vert="horz" wrap="square" lIns="91440" tIns="45720" rIns="91440" bIns="45720" anchor="t" anchorCtr="0"/>
                  </wps:wsp>
                </a:graphicData>
              </a:graphic>
            </wp:anchor>
          </w:drawing>
        </mc:Choice>
        <mc:Fallback>
          <w:pict>
            <v:rect id="_x0000_s2059" o:spid="_x0000_s1026" o:spt="1" style="position:absolute;left:0pt;margin-top:0pt;height:11pt;width:9.15pt;mso-position-horizontal:center;mso-position-horizontal-relative:margin;z-index:251659264;mso-width-relative:page;mso-height-relative:page;" filled="f" stroked="f" coordsize="21600,21600" o:gfxdata="UEsDBAoAAAAAAIdO4kAAAAAAAAAAAAAAAAAEAAAAZHJzL1BLAwQUAAAACACHTuJAyf9DUtQAAAAD&#10;AQAADwAAAGRycy9kb3ducmV2LnhtbE2PQWvCQBCF7wX/wzJCL6XumkKRNBsPgiilII2t5zE7TUKz&#10;szG7Jvbfd+2lXgYe7/HeN9nyYlsxUO8bxxrmMwWCuHSm4UrDx379uADhA7LB1jFp+CEPy3xyl2Fq&#10;3MjvNBShErGEfYoa6hC6VEpf1mTRz1xHHL0v11sMUfaVND2Osdy2MlHqWVpsOC7U2NGqpvK7OFsN&#10;Y7kbDvu3jdw9HLaOT9vTqvh81fp+OlcvIAJdwn8YrvgRHfLIdHRnNl60GuIj4e9evcUTiKOGJFEg&#10;80zesue/UEsDBBQAAAAIAIdO4kAlkKuivgEAAIQDAAAOAAAAZHJzL2Uyb0RvYy54bWytU01v2zAM&#10;vQ/YfxB0X/yxpF2MOD0s2DBg2Ap0OxeKLMcCrI+RSuzs14+SvTRoLz3UB5kU6Ue+R3pzN5qenRSg&#10;drbmxSLnTFnpGm0PNf/968uHT5xhELYRvbOq5meF/G77/t1m8JUqXef6RgEjEIvV4GveheCrLEPZ&#10;KSNw4byyFGwdGBHIhUPWgBgI3fRZmec32eCg8eCkQqTb3RTkMyK8BtC1rZZq5+TRKBsmVFC9CEQJ&#10;O+2Rb1O3batk+Nm2qALra05MQzqpCNn7eGbbjagOIHyn5dyCeE0LzzgZoS0VvUDtRBDsCPoFlNES&#10;HLo2LKQz2UQkKUIsivyZNg+d8CpxIanRX0THt4OVP073wHRT8xVnVhga+OOY0/OIZb5aR30GjxWl&#10;Pfh7mD0kM5IdWzDxTTTYmDQ9XzRVY2CSLovipsyXnEkKFR/Xt3nSPHv62AOGr8oZFo2aA40sKSlO&#10;3zFQQUr9n0JObGYqH60w7se5p71rzsQE3DRiWnAyOgd/ORtovDXHP0cBirP+myX91sVyGfchOcvV&#10;bUkOXEf21xFhJUHVPHA2mZ9D2qHYXuyDhpManRcpTv/aT1lPP8/2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n/Q1LUAAAAAwEAAA8AAAAAAAAAAQAgAAAAIgAAAGRycy9kb3ducmV2LnhtbFBLAQIU&#10;ABQAAAAIAIdO4kAlkKuivgEAAIQDAAAOAAAAAAAAAAEAIAAAACMBAABkcnMvZTJvRG9jLnhtbFBL&#10;BQYAAAAABgAGAFkBAABTBQAAAAA=&#10;">
              <v:fill on="f" focussize="0,0"/>
              <v:stroke on="f"/>
              <v:imagedata o:title=""/>
              <o:lock v:ext="edit" aspectratio="f"/>
              <v:textbox>
                <w:txbxContent>
                  <w:p w14:paraId="7EE7D19D">
                    <w:pPr>
                      <w:pStyle w:val="21"/>
                      <w:tabs>
                        <w:tab w:val="clear" w:pos="4153"/>
                        <w:tab w:val="clear" w:pos="8306"/>
                      </w:tabs>
                    </w:pPr>
                    <w:r>
                      <w:fldChar w:fldCharType="begin"/>
                    </w:r>
                    <w:r>
                      <w:instrText xml:space="preserve"> PAGE  \* MERGEFORMAT </w:instrText>
                    </w:r>
                    <w:r>
                      <w:fldChar w:fldCharType="separate"/>
                    </w:r>
                    <w:r>
                      <w:t>34</w:t>
                    </w:r>
                    <w:r>
                      <w:fldChar w:fldCharType="end"/>
                    </w:r>
                  </w:p>
                  <w:p w14:paraId="17FF93B4"/>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A60F">
    <w:pPr>
      <w:pStyle w:val="22"/>
      <w:pBdr>
        <w:bottom w:val="none" w:color="000000" w:sz="0" w:space="0"/>
      </w:pBdr>
      <w:tabs>
        <w:tab w:val="clear" w:pos="4153"/>
        <w:tab w:val="clear" w:pos="8306"/>
      </w:tabs>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_x0000_s2060"/>
              <wp:cNvGraphicFramePr/>
              <a:graphic xmlns:a="http://schemas.openxmlformats.org/drawingml/2006/main">
                <a:graphicData uri="http://schemas.microsoft.com/office/word/2010/wordprocessingShape">
                  <wps:wsp>
                    <wps:cNvSpPr/>
                    <wps:spPr>
                      <a:xfrm>
                        <a:off x="0" y="0"/>
                        <a:ext cx="116204" cy="139700"/>
                      </a:xfrm>
                      <a:prstGeom prst="rect">
                        <a:avLst/>
                      </a:prstGeom>
                    </wps:spPr>
                    <wps:txbx>
                      <w:txbxContent>
                        <w:p w14:paraId="0E9DCA68">
                          <w:pPr>
                            <w:pStyle w:val="21"/>
                            <w:tabs>
                              <w:tab w:val="clear" w:pos="4153"/>
                              <w:tab w:val="clear" w:pos="8306"/>
                            </w:tabs>
                          </w:pPr>
                          <w:r>
                            <w:fldChar w:fldCharType="begin"/>
                          </w:r>
                          <w:r>
                            <w:instrText xml:space="preserve"> PAGE  \* MERGEFORMAT </w:instrText>
                          </w:r>
                          <w:r>
                            <w:fldChar w:fldCharType="separate"/>
                          </w:r>
                          <w:r>
                            <w:t>41</w:t>
                          </w:r>
                          <w:r>
                            <w:fldChar w:fldCharType="end"/>
                          </w:r>
                        </w:p>
                        <w:p w14:paraId="37E8362F"/>
                      </w:txbxContent>
                    </wps:txbx>
                    <wps:bodyPr rot="0" vert="horz" wrap="square" lIns="91440" tIns="45720" rIns="91440" bIns="45720" anchor="t" anchorCtr="0"/>
                  </wps:wsp>
                </a:graphicData>
              </a:graphic>
            </wp:anchor>
          </w:drawing>
        </mc:Choice>
        <mc:Fallback>
          <w:pict>
            <v:rect id="_x0000_s2060" o:spid="_x0000_s1026" o:spt="1" style="position:absolute;left:0pt;margin-top:0pt;height:11pt;width:9.15pt;mso-position-horizontal:center;mso-position-horizontal-relative:margin;z-index:251659264;mso-width-relative:page;mso-height-relative:page;" filled="f" stroked="f" coordsize="21600,21600" o:gfxdata="UEsDBAoAAAAAAIdO4kAAAAAAAAAAAAAAAAAEAAAAZHJzL1BLAwQUAAAACACHTuJAyf9DUtQAAAAD&#10;AQAADwAAAGRycy9kb3ducmV2LnhtbE2PQWvCQBCF7wX/wzJCL6XumkKRNBsPgiilII2t5zE7TUKz&#10;szG7Jvbfd+2lXgYe7/HeN9nyYlsxUO8bxxrmMwWCuHSm4UrDx379uADhA7LB1jFp+CEPy3xyl2Fq&#10;3MjvNBShErGEfYoa6hC6VEpf1mTRz1xHHL0v11sMUfaVND2Osdy2MlHqWVpsOC7U2NGqpvK7OFsN&#10;Y7kbDvu3jdw9HLaOT9vTqvh81fp+OlcvIAJdwn8YrvgRHfLIdHRnNl60GuIj4e9evcUTiKOGJFEg&#10;80zesue/UEsDBBQAAAAIAIdO4kBH4BuqvQEAAIQDAAAOAAAAZHJzL2Uyb0RvYy54bWytU01v2zAM&#10;vQ/YfxB4X2xnWboacXposGHAsBVody4UWY4NWB8jldjZrx8lp0nQXXqYDzIp0o98j/TqbjS9OGik&#10;ztkKilkOQlvl6s7uKvj19OXDZxAUpK1l76yu4KgJ7tbv360GX+q5a11faxQMYqkcfAVtCL7MMlKt&#10;NpJmzmvLwcahkYFd3GU1yoHRTZ/N83yZDQ5rj05pIr7dTEE4IeJbAF3TdEpvnNobbcOEirqXgSlR&#10;23mCdeq2abQKP5uGdBB9Bcw0pJOLsL2NZ7ZeyXKH0redOrUg39LCK05GdpaLnqE2Mkixx+4fKNMp&#10;dOSaMFPOZBORpAizKPJX2jy20uvEhaUmfxad/h+s+nF4QNHVFSxBWGl44M9jzs8zzfNl0mfwVHLa&#10;o39AVit6xGYkOzZo4ptpiDFpejxrqscgFF8WxXKeL0AoDhUfb2/yhJldPvZI4at2RkSjAuSRJSXl&#10;4TsFLsipLynsXMpHK4zb8dTT1tVHZoJuGjEvOButwz8gBh5vBfR7L1GD6L9Z1u+2WCziPiRn8elm&#10;zg5eR7bXEWkVQ1UQQEzmfUg7FNuLffBwUqOnRYrTv/ZT1uXn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f9DUtQAAAADAQAADwAAAAAAAAABACAAAAAiAAAAZHJzL2Rvd25yZXYueG1sUEsBAhQA&#10;FAAAAAgAh07iQEfgG6q9AQAAhAMAAA4AAAAAAAAAAQAgAAAAIwEAAGRycy9lMm9Eb2MueG1sUEsF&#10;BgAAAAAGAAYAWQEAAFIFAAAAAA==&#10;">
              <v:fill on="f" focussize="0,0"/>
              <v:stroke on="f"/>
              <v:imagedata o:title=""/>
              <o:lock v:ext="edit" aspectratio="f"/>
              <v:textbox>
                <w:txbxContent>
                  <w:p w14:paraId="0E9DCA68">
                    <w:pPr>
                      <w:pStyle w:val="21"/>
                      <w:tabs>
                        <w:tab w:val="clear" w:pos="4153"/>
                        <w:tab w:val="clear" w:pos="8306"/>
                      </w:tabs>
                    </w:pPr>
                    <w:r>
                      <w:fldChar w:fldCharType="begin"/>
                    </w:r>
                    <w:r>
                      <w:instrText xml:space="preserve"> PAGE  \* MERGEFORMAT </w:instrText>
                    </w:r>
                    <w:r>
                      <w:fldChar w:fldCharType="separate"/>
                    </w:r>
                    <w:r>
                      <w:t>41</w:t>
                    </w:r>
                    <w:r>
                      <w:fldChar w:fldCharType="end"/>
                    </w:r>
                  </w:p>
                  <w:p w14:paraId="37E8362F"/>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FE95">
    <w:pPr>
      <w:pStyle w:val="21"/>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posOffset>2114550</wp:posOffset>
              </wp:positionH>
              <wp:positionV relativeFrom="paragraph">
                <wp:posOffset>-43815</wp:posOffset>
              </wp:positionV>
              <wp:extent cx="1828800" cy="1828800"/>
              <wp:effectExtent l="0" t="0" r="0" b="0"/>
              <wp:wrapNone/>
              <wp:docPr id="7" name="_x0000_s206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46B2734">
                          <w:pPr>
                            <w:pStyle w:val="21"/>
                            <w:tabs>
                              <w:tab w:val="clear" w:pos="4153"/>
                              <w:tab w:val="clear" w:pos="8306"/>
                            </w:tabs>
                            <w:jc w:val="center"/>
                          </w:pPr>
                          <w:r>
                            <w:fldChar w:fldCharType="begin"/>
                          </w:r>
                          <w:r>
                            <w:rPr>
                              <w:rStyle w:val="29"/>
                            </w:rPr>
                            <w:instrText xml:space="preserve"> PAGE </w:instrText>
                          </w:r>
                          <w:r>
                            <w:fldChar w:fldCharType="separate"/>
                          </w:r>
                          <w:r>
                            <w:rPr>
                              <w:rStyle w:val="29"/>
                            </w:rPr>
                            <w:t>66</w:t>
                          </w:r>
                          <w:r>
                            <w:fldChar w:fldCharType="end"/>
                          </w:r>
                        </w:p>
                        <w:p w14:paraId="14E9B98D"/>
                      </w:txbxContent>
                    </wps:txbx>
                    <wps:bodyPr rot="0" vert="horz" wrap="square" lIns="91440" tIns="45720" rIns="91440" bIns="45720" anchor="t" anchorCtr="0"/>
                  </wps:wsp>
                </a:graphicData>
              </a:graphic>
            </wp:anchor>
          </w:drawing>
        </mc:Choice>
        <mc:Fallback>
          <w:pict>
            <v:rect id="_x0000_s2063" o:spid="_x0000_s1026" o:spt="1" style="position:absolute;left:0pt;margin-left:166.5pt;margin-top:-3.45pt;height:144pt;width:144pt;mso-position-horizontal-relative:margin;z-index:251659264;mso-width-relative:page;mso-height-relative:page;" filled="f" stroked="f" coordsize="21600,21600" o:gfxdata="UEsDBAoAAAAAAIdO4kAAAAAAAAAAAAAAAAAEAAAAZHJzL1BLAwQUAAAACACHTuJAKYJbzNsAAAAK&#10;AQAADwAAAGRycy9kb3ducmV2LnhtbE2PQUvDQBCF74L/YRnBi7SbTSDUmE0PBbGIUEy1520yJsHs&#10;bJrdJvXfO57q8c17vPlevr7YXkw4+s6RBrWMQCBVru6o0fCxf16sQPhgqDa9I9Twgx7Wxe1NbrLa&#10;zfSOUxkawSXkM6OhDWHIpPRVi9b4pRuQ2PtyozWB5djIejQzl9texlGUSms64g+tGXDTYvVdnq2G&#10;udpNh/3bi9w9HLaOTtvTpvx81fr+TkVPIAJewjUMf/iMDgUzHd2Zai96DUmS8JagYZE+guBAGis+&#10;HDXEK6VAFrn8P6H4BVBLAwQUAAAACACHTuJAFjzqbrsBAACGAwAADgAAAGRycy9lMm9Eb2MueG1s&#10;rVNNj9MwEL0j8R8s32nSUHZLVHcPVCAkBCstnFeuYzeR4g9m3Cbl1zN2st1queyBHJyZzPj5vTfO&#10;5m60PTtpwM47wZeLkjPtlG86dxD818/P79acYZSukb13WvCzRn63fftmM4RaV771faOBEYjDegiC&#10;tzGGuihQtdpKXPigHRWNBysjpXAoGpADodu+qMryphg8NAG80oj0dTcV+YwIrwH0xnRK77w6Wu3i&#10;hAq6l5EkYdsF5NvM1hit4g9jUEfWC05KY17pEIr3aS22G1kfQIa2UzMF+RoKLzRZ2Tk69AK1k1Gy&#10;I3T/QNlOgUdv4kJ5W0xCsiOkYlm+8OahlUFnLWQ1hovp+P9g1ffTPbCuEfyWMyctDfxxLOl5xKq8&#10;eZ/8GQLW1PYQ7mHOkMIkdjRg05tksDF7er54qsfIFH1crqv1uiS7FdWeEsIpnrcHwPhFe8tSIDjQ&#10;0LKX8vQN49T61EL7Ep2JQIriuB9nVnvfnEkL+GnIdMUpaD384WygAQuOv48SNGf9V0cOflyuVulG&#10;5GT14baiBK4r++uKdIqgBI+cTeGnmG9Ropd40Hiypvkqpflf57nr+ff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glvM2wAAAAoBAAAPAAAAAAAAAAEAIAAAACIAAABkcnMvZG93bnJldi54bWxQ&#10;SwECFAAUAAAACACHTuJAFjzqbrsBAACGAwAADgAAAAAAAAABACAAAAAqAQAAZHJzL2Uyb0RvYy54&#10;bWxQSwUGAAAAAAYABgBZAQAAVwUAAAAA&#10;">
              <v:fill on="f" focussize="0,0"/>
              <v:stroke on="f"/>
              <v:imagedata o:title=""/>
              <o:lock v:ext="edit" aspectratio="f"/>
              <v:textbox>
                <w:txbxContent>
                  <w:p w14:paraId="346B2734">
                    <w:pPr>
                      <w:pStyle w:val="21"/>
                      <w:tabs>
                        <w:tab w:val="clear" w:pos="4153"/>
                        <w:tab w:val="clear" w:pos="8306"/>
                      </w:tabs>
                      <w:jc w:val="center"/>
                    </w:pPr>
                    <w:r>
                      <w:fldChar w:fldCharType="begin"/>
                    </w:r>
                    <w:r>
                      <w:rPr>
                        <w:rStyle w:val="29"/>
                      </w:rPr>
                      <w:instrText xml:space="preserve"> PAGE </w:instrText>
                    </w:r>
                    <w:r>
                      <w:fldChar w:fldCharType="separate"/>
                    </w:r>
                    <w:r>
                      <w:rPr>
                        <w:rStyle w:val="29"/>
                      </w:rPr>
                      <w:t>66</w:t>
                    </w:r>
                    <w:r>
                      <w:fldChar w:fldCharType="end"/>
                    </w:r>
                  </w:p>
                  <w:p w14:paraId="14E9B98D"/>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143C">
    <w:pPr>
      <w:pStyle w:val="22"/>
      <w:pBdr>
        <w:bottom w:val="none" w:color="000000" w:sz="0" w:space="0"/>
      </w:pBdr>
      <w:tabs>
        <w:tab w:val="clear" w:pos="4153"/>
        <w:tab w:val="clear" w:pos="8306"/>
      </w:tabs>
      <w:jc w:val="both"/>
    </w:pPr>
    <w:r>
      <mc:AlternateContent>
        <mc:Choice Requires="wps">
          <w:drawing>
            <wp:anchor distT="0" distB="0" distL="0" distR="0" simplePos="0" relativeHeight="251659264" behindDoc="0" locked="0" layoutInCell="1" allowOverlap="1">
              <wp:simplePos x="0" y="0"/>
              <wp:positionH relativeFrom="margin">
                <wp:posOffset>2894330</wp:posOffset>
              </wp:positionH>
              <wp:positionV relativeFrom="paragraph">
                <wp:posOffset>-73025</wp:posOffset>
              </wp:positionV>
              <wp:extent cx="317500" cy="217805"/>
              <wp:effectExtent l="0" t="0" r="0" b="0"/>
              <wp:wrapNone/>
              <wp:docPr id="1" name="_x0000_s2062"/>
              <wp:cNvGraphicFramePr/>
              <a:graphic xmlns:a="http://schemas.openxmlformats.org/drawingml/2006/main">
                <a:graphicData uri="http://schemas.microsoft.com/office/word/2010/wordprocessingShape">
                  <wps:wsp>
                    <wps:cNvSpPr/>
                    <wps:spPr>
                      <a:xfrm>
                        <a:off x="0" y="0"/>
                        <a:ext cx="317500" cy="217805"/>
                      </a:xfrm>
                      <a:prstGeom prst="rect">
                        <a:avLst/>
                      </a:prstGeom>
                    </wps:spPr>
                    <wps:txbx>
                      <w:txbxContent>
                        <w:p w14:paraId="68521D13">
                          <w:pPr>
                            <w:pStyle w:val="21"/>
                            <w:tabs>
                              <w:tab w:val="clear" w:pos="4153"/>
                              <w:tab w:val="clear" w:pos="8306"/>
                            </w:tabs>
                          </w:pPr>
                          <w:r>
                            <w:fldChar w:fldCharType="begin"/>
                          </w:r>
                          <w:r>
                            <w:instrText xml:space="preserve"> PAGE  \* MERGEFORMAT </w:instrText>
                          </w:r>
                          <w:r>
                            <w:fldChar w:fldCharType="separate"/>
                          </w:r>
                          <w:r>
                            <w:t>86</w:t>
                          </w:r>
                          <w:r>
                            <w:fldChar w:fldCharType="end"/>
                          </w:r>
                        </w:p>
                        <w:p w14:paraId="20B1E216"/>
                      </w:txbxContent>
                    </wps:txbx>
                    <wps:bodyPr rot="0" vert="horz" wrap="square" lIns="91440" tIns="45720" rIns="91440" bIns="45720" anchor="t" anchorCtr="0"/>
                  </wps:wsp>
                </a:graphicData>
              </a:graphic>
            </wp:anchor>
          </w:drawing>
        </mc:Choice>
        <mc:Fallback>
          <w:pict>
            <v:rect id="_x0000_s2062" o:spid="_x0000_s1026" o:spt="1" style="position:absolute;left:0pt;margin-left:227.9pt;margin-top:-5.75pt;height:17.15pt;width:25pt;mso-position-horizontal-relative:margin;z-index:251659264;mso-width-relative:page;mso-height-relative:page;" filled="f" stroked="f" coordsize="21600,21600" o:gfxdata="UEsDBAoAAAAAAIdO4kAAAAAAAAAAAAAAAAAEAAAAZHJzL1BLAwQUAAAACACHTuJAVkC/CtoAAAAK&#10;AQAADwAAAGRycy9kb3ducmV2LnhtbE2PQUvDQBCF74L/YRnBi7S7CUZKzKSHglhEKKba8zaZJqHZ&#10;2TS7Teq/d3uyx3nzeO972fJiOjHS4FrLCNFcgSAubdVyjfC9fZstQDivudKdZUL4JQfL/P4u02ll&#10;J/6isfC1CCHsUo3QeN+nUrqyIaPd3PbE4Xewg9E+nEMtq0FPIdx0MlbqRRrdcmhodE+rhspjcTYI&#10;U7kZd9vPd7l52q0tn9anVfHzgfj4EKlXEJ4u/t8MV/yADnlg2tszV050CM9JEtA9wiyKEhDBkair&#10;skeI4wXIPJO3E/I/UEsDBBQAAAAIAIdO4kDHR7bGvQEAAIQDAAAOAAAAZHJzL2Uyb0RvYy54bWyt&#10;U01v2zAMvQ/YfxB0X/yxpGmNOD0s2DBg2Ap0OxeKLMcCrI+RSuzs14+SvTToLj3UB5kUqSe+R2pz&#10;P5qenRSgdrbmxSLnTFnpGm0PNf/18/OHW84wCNuI3llV87NCfr99/24z+EqVrnN9o4ARiMVq8DXv&#10;QvBVlqHslBG4cF5ZCrYOjAjkwiFrQAyEbvqszPObbHDQeHBSIdLubgryGRFeA+jaVku1c/JolA0T&#10;KqheBKKEnfbIt6natlUy/GhbVIH1NSemIa10Cdn7uGbbjagOIHyn5VyCeE0JLzgZoS1deoHaiSDY&#10;EfR/UEZLcOjasJDOZBORpAixKPIX2jx2wqvEhaRGfxEd3w5Wfj89ANMNTQJnVhhq+NOY0/eEZX5T&#10;Rn0GjxWlPfoHmD0kM5IdWzDxTzTYmDQ9XzRVY2CSNj8W61VOaksKlcX6Nl9FzOz5sAcMX5QzLBo1&#10;B2pZUlKcvmGYUv+l0LlYzHR9tMK4H+ea9q45ExNwU4tpwMnoHPzhbKD21hx/HwUozvqvlvS7K5bL&#10;OA/JWa7WJTlwHdlfR4SVBFXzwNlkfgpphmJ5sQ5qTuI0D1Ls/rWfsp4fz/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kC/CtoAAAAKAQAADwAAAAAAAAABACAAAAAiAAAAZHJzL2Rvd25yZXYueG1s&#10;UEsBAhQAFAAAAAgAh07iQMdHtsa9AQAAhAMAAA4AAAAAAAAAAQAgAAAAKQEAAGRycy9lMm9Eb2Mu&#10;eG1sUEsFBgAAAAAGAAYAWQEAAFgFAAAAAA==&#10;">
              <v:fill on="f" focussize="0,0"/>
              <v:stroke on="f"/>
              <v:imagedata o:title=""/>
              <o:lock v:ext="edit" aspectratio="f"/>
              <v:textbox>
                <w:txbxContent>
                  <w:p w14:paraId="68521D13">
                    <w:pPr>
                      <w:pStyle w:val="21"/>
                      <w:tabs>
                        <w:tab w:val="clear" w:pos="4153"/>
                        <w:tab w:val="clear" w:pos="8306"/>
                      </w:tabs>
                    </w:pPr>
                    <w:r>
                      <w:fldChar w:fldCharType="begin"/>
                    </w:r>
                    <w:r>
                      <w:instrText xml:space="preserve"> PAGE  \* MERGEFORMAT </w:instrText>
                    </w:r>
                    <w:r>
                      <w:fldChar w:fldCharType="separate"/>
                    </w:r>
                    <w:r>
                      <w:t>86</w:t>
                    </w:r>
                    <w:r>
                      <w:fldChar w:fldCharType="end"/>
                    </w:r>
                  </w:p>
                  <w:p w14:paraId="20B1E21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1212">
    <w:pPr>
      <w:pStyle w:val="22"/>
      <w:pBdr>
        <w:bottom w:val="none" w:color="000000"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5FCE3">
    <w:pPr>
      <w:pStyle w:val="22"/>
      <w:pBdr>
        <w:bottom w:val="none" w:color="000000"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AAB5">
    <w:pPr>
      <w:pStyle w:val="22"/>
      <w:pBdr>
        <w:bottom w:val="none" w:color="000000" w:sz="0" w:space="0"/>
      </w:pBdr>
      <w:tabs>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B3EB">
    <w:pPr>
      <w:pStyle w:val="22"/>
      <w:pBdr>
        <w:bottom w:val="none" w:color="000000"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8795">
    <w:pPr>
      <w:pStyle w:val="22"/>
      <w:pBdr>
        <w:bottom w:val="none" w:color="000000" w:sz="0" w:space="0"/>
      </w:pBdr>
      <w:tabs>
        <w:tab w:val="clear" w:pos="4153"/>
        <w:tab w:val="clear" w:pos="8306"/>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6E765">
    <w:pPr>
      <w:pStyle w:val="22"/>
      <w:pBdr>
        <w:bottom w:val="none" w:color="000000" w:sz="0" w:space="0"/>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A3DEB"/>
    <w:multiLevelType w:val="multilevel"/>
    <w:tmpl w:val="63FA3DEB"/>
    <w:lvl w:ilvl="0" w:tentative="0">
      <w:start w:val="1"/>
      <w:numFmt w:val="japaneseCounting"/>
      <w:lvlText w:val="第%1章"/>
      <w:lvlJc w:val="left"/>
      <w:pPr>
        <w:ind w:left="1635" w:hanging="163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0"/>
  <w:displayVerticalDrawingGridEvery w:val="2"/>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MDJmZDg4NzIzNTAyMjFkOGEyMjA2YTMwMDE0OGVmZjAifQ=="/>
  </w:docVars>
  <w:rsids>
    <w:rsidRoot w:val="00000000"/>
    <w:rsid w:val="03E84389"/>
    <w:rsid w:val="0F9109A6"/>
    <w:rsid w:val="117840DA"/>
    <w:rsid w:val="274C1E0F"/>
    <w:rsid w:val="639C7148"/>
    <w:rsid w:val="73E75A5F"/>
    <w:rsid w:val="762A4D10"/>
    <w:rsid w:val="7EE53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Calibri" w:hAnsi="Calibri" w:eastAsia="宋体" w:cs="Times New Roman"/>
      <w:color w:val="000000"/>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ind w:left="420" w:leftChars="200"/>
      <w:jc w:val="both"/>
    </w:pPr>
    <w:rPr>
      <w:rFonts w:hint="default" w:ascii="Calibri" w:hAnsi="Calibri" w:eastAsia="宋体" w:cs="Calibri"/>
      <w:color w:val="000000"/>
      <w:kern w:val="0"/>
      <w:sz w:val="21"/>
      <w:szCs w:val="21"/>
      <w:lang w:val="en-US" w:eastAsia="zh-CN" w:bidi="ar"/>
    </w:rPr>
  </w:style>
  <w:style w:type="paragraph" w:styleId="3">
    <w:name w:val="Plain Text"/>
    <w:basedOn w:val="1"/>
    <w:qFormat/>
    <w:uiPriority w:val="0"/>
    <w:rPr>
      <w:rFonts w:ascii="宋体" w:hAnsi="Courier New"/>
      <w:color w:val="000000"/>
      <w:sz w:val="20"/>
      <w:szCs w:val="20"/>
    </w:rPr>
  </w:style>
  <w:style w:type="paragraph" w:styleId="4">
    <w:name w:val="index 1"/>
    <w:basedOn w:val="1"/>
    <w:qFormat/>
    <w:uiPriority w:val="0"/>
    <w:rPr>
      <w:rFonts w:ascii="Times New Roman" w:hAnsi="Times New Roman"/>
      <w:color w:val="000000"/>
      <w:kern w:val="2"/>
    </w:rPr>
  </w:style>
  <w:style w:type="table" w:styleId="6">
    <w:name w:val="Table Grid"/>
    <w:basedOn w:val="5"/>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标题 11"/>
    <w:basedOn w:val="1"/>
    <w:link w:val="14"/>
    <w:qFormat/>
    <w:uiPriority w:val="0"/>
    <w:pPr>
      <w:keepNext/>
      <w:keepLines/>
      <w:spacing w:before="340" w:after="330" w:line="576" w:lineRule="auto"/>
      <w:outlineLvl w:val="0"/>
    </w:pPr>
    <w:rPr>
      <w:b/>
      <w:sz w:val="44"/>
      <w:szCs w:val="44"/>
    </w:rPr>
  </w:style>
  <w:style w:type="paragraph" w:customStyle="1" w:styleId="9">
    <w:name w:val="标题 21"/>
    <w:basedOn w:val="1"/>
    <w:qFormat/>
    <w:uiPriority w:val="0"/>
    <w:pPr>
      <w:keepNext/>
      <w:keepLines/>
      <w:spacing w:before="260" w:after="260" w:line="413" w:lineRule="auto"/>
      <w:outlineLvl w:val="1"/>
    </w:pPr>
    <w:rPr>
      <w:rFonts w:ascii="Arial" w:hAnsi="Arial" w:eastAsia="黑体"/>
      <w:b/>
      <w:sz w:val="32"/>
      <w:szCs w:val="32"/>
    </w:rPr>
  </w:style>
  <w:style w:type="paragraph" w:customStyle="1" w:styleId="10">
    <w:name w:val="标题 31"/>
    <w:basedOn w:val="1"/>
    <w:qFormat/>
    <w:uiPriority w:val="0"/>
    <w:pPr>
      <w:keepNext/>
      <w:keepLines/>
      <w:spacing w:before="260" w:after="260" w:line="413" w:lineRule="auto"/>
      <w:ind w:firstLine="137"/>
      <w:outlineLvl w:val="2"/>
    </w:pPr>
    <w:rPr>
      <w:rFonts w:ascii="黑体" w:hAnsi="黑体" w:eastAsia="黑体"/>
      <w:sz w:val="28"/>
      <w:szCs w:val="28"/>
    </w:rPr>
  </w:style>
  <w:style w:type="character" w:customStyle="1" w:styleId="11">
    <w:name w:val="默认段落字体1"/>
    <w:link w:val="1"/>
    <w:semiHidden/>
    <w:qFormat/>
    <w:uiPriority w:val="0"/>
  </w:style>
  <w:style w:type="table" w:customStyle="1" w:styleId="12">
    <w:name w:val="普通表格1"/>
    <w:semiHidden/>
    <w:qFormat/>
    <w:uiPriority w:val="0"/>
    <w:pPr>
      <w:keepNext w:val="0"/>
      <w:keepLines w:val="0"/>
      <w:widowControl/>
      <w:suppressLineNumbers w:val="0"/>
      <w:spacing w:before="0" w:beforeAutospacing="0" w:after="0" w:afterAutospacing="0"/>
      <w:ind w:left="0" w:right="0"/>
    </w:pPr>
    <w:rPr>
      <w:rFonts w:ascii="Times New Roman" w:hAnsi="Times New Roman"/>
      <w:sz w:val="20"/>
      <w:szCs w:val="20"/>
    </w:rPr>
  </w:style>
  <w:style w:type="paragraph" w:customStyle="1" w:styleId="13">
    <w:name w:val="目录 21"/>
    <w:basedOn w:val="1"/>
    <w:qFormat/>
    <w:uiPriority w:val="0"/>
    <w:pPr>
      <w:keepNext w:val="0"/>
      <w:keepLines w:val="0"/>
      <w:widowControl w:val="0"/>
      <w:suppressLineNumbers w:val="0"/>
      <w:ind w:left="420" w:leftChars="200"/>
      <w:jc w:val="both"/>
    </w:pPr>
    <w:rPr>
      <w:rFonts w:ascii="Calibri" w:hAnsi="Calibri" w:eastAsia="宋体"/>
      <w:color w:val="000000"/>
      <w:kern w:val="0"/>
      <w:sz w:val="21"/>
      <w:szCs w:val="21"/>
      <w:lang w:val="en-US" w:eastAsia="zh-CN" w:bidi="ar"/>
    </w:rPr>
  </w:style>
  <w:style w:type="character" w:customStyle="1" w:styleId="14">
    <w:name w:val="标题 1 Char"/>
    <w:link w:val="8"/>
    <w:qFormat/>
    <w:uiPriority w:val="0"/>
    <w:rPr>
      <w:b/>
      <w:sz w:val="44"/>
      <w:szCs w:val="44"/>
    </w:rPr>
  </w:style>
  <w:style w:type="paragraph" w:customStyle="1" w:styleId="15">
    <w:name w:val="正文缩进1"/>
    <w:basedOn w:val="1"/>
    <w:qFormat/>
    <w:uiPriority w:val="0"/>
    <w:pPr>
      <w:ind w:firstLine="420" w:firstLineChars="200"/>
    </w:pPr>
    <w:rPr>
      <w:szCs w:val="21"/>
    </w:rPr>
  </w:style>
  <w:style w:type="paragraph" w:customStyle="1" w:styleId="16">
    <w:name w:val="批注文字1"/>
    <w:basedOn w:val="1"/>
    <w:qFormat/>
    <w:uiPriority w:val="0"/>
    <w:pPr>
      <w:jc w:val="left"/>
    </w:pPr>
    <w:rPr>
      <w:sz w:val="20"/>
      <w:szCs w:val="24"/>
      <w:lang w:val="zh-CN"/>
    </w:rPr>
  </w:style>
  <w:style w:type="paragraph" w:customStyle="1" w:styleId="17">
    <w:name w:val="正文文本 31"/>
    <w:basedOn w:val="1"/>
    <w:qFormat/>
    <w:uiPriority w:val="0"/>
    <w:rPr>
      <w:rFonts w:ascii="宋体" w:hAnsi="宋体"/>
      <w:sz w:val="24"/>
      <w:szCs w:val="20"/>
    </w:rPr>
  </w:style>
  <w:style w:type="paragraph" w:customStyle="1" w:styleId="18">
    <w:name w:val="正文文本1"/>
    <w:basedOn w:val="1"/>
    <w:qFormat/>
    <w:uiPriority w:val="0"/>
    <w:pPr>
      <w:spacing w:after="120"/>
    </w:pPr>
    <w:rPr>
      <w:kern w:val="1"/>
    </w:rPr>
  </w:style>
  <w:style w:type="paragraph" w:customStyle="1" w:styleId="19">
    <w:name w:val="目录 31"/>
    <w:basedOn w:val="1"/>
    <w:qFormat/>
    <w:uiPriority w:val="0"/>
    <w:pPr>
      <w:ind w:left="840" w:leftChars="400"/>
    </w:pPr>
  </w:style>
  <w:style w:type="paragraph" w:customStyle="1" w:styleId="20">
    <w:name w:val="纯文本1"/>
    <w:basedOn w:val="1"/>
    <w:qFormat/>
    <w:uiPriority w:val="0"/>
    <w:rPr>
      <w:rFonts w:ascii="宋体" w:hAnsi="宋体"/>
      <w:sz w:val="20"/>
      <w:szCs w:val="20"/>
      <w:lang w:val="zh-CN"/>
    </w:rPr>
  </w:style>
  <w:style w:type="paragraph" w:customStyle="1" w:styleId="21">
    <w:name w:val="页脚1"/>
    <w:basedOn w:val="1"/>
    <w:qFormat/>
    <w:uiPriority w:val="0"/>
    <w:pPr>
      <w:tabs>
        <w:tab w:val="center" w:pos="4153"/>
        <w:tab w:val="right" w:pos="8306"/>
      </w:tabs>
      <w:jc w:val="left"/>
    </w:pPr>
    <w:rPr>
      <w:rFonts w:ascii="Times New Roman" w:hAnsi="Times New Roman"/>
      <w:color w:val="000000"/>
      <w:sz w:val="18"/>
      <w:szCs w:val="24"/>
    </w:rPr>
  </w:style>
  <w:style w:type="paragraph" w:customStyle="1" w:styleId="22">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3">
    <w:name w:val="目录 11"/>
    <w:basedOn w:val="1"/>
    <w:qFormat/>
    <w:uiPriority w:val="0"/>
    <w:pPr>
      <w:spacing w:before="120" w:after="120"/>
      <w:jc w:val="left"/>
    </w:pPr>
    <w:rPr>
      <w:rFonts w:ascii="Times New Roman" w:hAnsi="Times New Roman"/>
      <w:b/>
      <w:caps/>
      <w:kern w:val="1"/>
      <w:sz w:val="20"/>
      <w:szCs w:val="20"/>
    </w:rPr>
  </w:style>
  <w:style w:type="paragraph" w:customStyle="1" w:styleId="24">
    <w:name w:val="正文文本 21"/>
    <w:basedOn w:val="1"/>
    <w:qFormat/>
    <w:uiPriority w:val="0"/>
    <w:pPr>
      <w:spacing w:after="120" w:line="480" w:lineRule="auto"/>
    </w:pPr>
    <w:rPr>
      <w:sz w:val="20"/>
      <w:szCs w:val="24"/>
    </w:rPr>
  </w:style>
  <w:style w:type="paragraph" w:customStyle="1" w:styleId="25">
    <w:name w:val="普通(网站)1"/>
    <w:basedOn w:val="1"/>
    <w:qFormat/>
    <w:uiPriority w:val="0"/>
    <w:rPr>
      <w:sz w:val="24"/>
    </w:rPr>
  </w:style>
  <w:style w:type="paragraph" w:customStyle="1" w:styleId="26">
    <w:name w:val="正文首行缩进1"/>
    <w:basedOn w:val="18"/>
    <w:qFormat/>
    <w:uiPriority w:val="0"/>
    <w:pPr>
      <w:spacing w:line="312" w:lineRule="auto"/>
      <w:ind w:firstLine="420"/>
    </w:pPr>
  </w:style>
  <w:style w:type="paragraph" w:customStyle="1" w:styleId="27">
    <w:name w:val="正文首行缩进 21"/>
    <w:basedOn w:val="1"/>
    <w:qFormat/>
    <w:uiPriority w:val="0"/>
    <w:pPr>
      <w:spacing w:after="120"/>
      <w:ind w:left="200" w:leftChars="200" w:firstLine="200" w:firstLineChars="200"/>
    </w:pPr>
    <w:rPr>
      <w:szCs w:val="24"/>
    </w:rPr>
  </w:style>
  <w:style w:type="table" w:customStyle="1" w:styleId="28">
    <w:name w:val="网格型1"/>
    <w:basedOn w:val="12"/>
    <w:qFormat/>
    <w:uiPriority w:val="0"/>
    <w:pPr>
      <w:keepNext w:val="0"/>
      <w:keepLines w:val="0"/>
      <w:widowControl w:val="0"/>
      <w:suppressLineNumbers w:val="0"/>
      <w:spacing w:before="0" w:beforeAutospacing="0" w:after="0" w:afterAutospacing="0"/>
      <w:ind w:left="0" w:right="0"/>
      <w:jc w:val="both"/>
    </w:pPr>
    <w:rPr>
      <w:rFonts w:ascii="Times New Roman" w:hAnsi="Times New Roman"/>
      <w:sz w:val="20"/>
      <w:szCs w:val="20"/>
    </w:rPr>
  </w:style>
  <w:style w:type="character" w:customStyle="1" w:styleId="29">
    <w:name w:val="页码1"/>
    <w:link w:val="1"/>
    <w:qFormat/>
    <w:uiPriority w:val="0"/>
  </w:style>
  <w:style w:type="character" w:customStyle="1" w:styleId="30">
    <w:name w:val="超链接1"/>
    <w:basedOn w:val="11"/>
    <w:link w:val="1"/>
    <w:qFormat/>
    <w:uiPriority w:val="0"/>
    <w:rPr>
      <w:color w:val="0000FF"/>
      <w:u w:val="single"/>
    </w:rPr>
  </w:style>
  <w:style w:type="character" w:customStyle="1" w:styleId="31">
    <w:name w:val="批注引用1"/>
    <w:link w:val="1"/>
    <w:qFormat/>
    <w:uiPriority w:val="0"/>
    <w:rPr>
      <w:sz w:val="21"/>
      <w:szCs w:val="21"/>
    </w:rPr>
  </w:style>
  <w:style w:type="paragraph" w:styleId="32">
    <w:name w:val="List Paragraph"/>
    <w:basedOn w:val="1"/>
    <w:qFormat/>
    <w:uiPriority w:val="0"/>
    <w:pPr>
      <w:ind w:firstLine="420" w:firstLineChars="200"/>
    </w:pPr>
  </w:style>
  <w:style w:type="paragraph" w:customStyle="1" w:styleId="33">
    <w:name w:val="表头"/>
    <w:basedOn w:val="1"/>
    <w:qFormat/>
    <w:uiPriority w:val="0"/>
    <w:pPr>
      <w:spacing w:line="360" w:lineRule="auto"/>
      <w:jc w:val="center"/>
    </w:pPr>
    <w:rPr>
      <w:rFonts w:ascii="黑体" w:hAnsi="黑体" w:eastAsia="黑体"/>
      <w:sz w:val="24"/>
      <w:szCs w:val="20"/>
    </w:rPr>
  </w:style>
  <w:style w:type="character" w:customStyle="1" w:styleId="34">
    <w:name w:val="font11"/>
    <w:link w:val="1"/>
    <w:qFormat/>
    <w:uiPriority w:val="0"/>
    <w:rPr>
      <w:rFonts w:hint="eastAsia" w:ascii="仿宋" w:hAnsi="仿宋" w:eastAsia="仿宋"/>
      <w:color w:val="000000"/>
      <w:sz w:val="28"/>
      <w:szCs w:val="28"/>
      <w:u w:val="none"/>
    </w:rPr>
  </w:style>
  <w:style w:type="character" w:customStyle="1" w:styleId="35">
    <w:name w:val="font21"/>
    <w:link w:val="1"/>
    <w:qFormat/>
    <w:uiPriority w:val="0"/>
    <w:rPr>
      <w:rFonts w:ascii="宋体" w:hAnsi="宋体" w:eastAsia="宋体"/>
      <w:color w:val="000000"/>
      <w:sz w:val="24"/>
      <w:szCs w:val="24"/>
      <w:u w:val="none"/>
    </w:rPr>
  </w:style>
  <w:style w:type="paragraph" w:customStyle="1" w:styleId="36">
    <w:name w:val="文一"/>
    <w:basedOn w:val="1"/>
    <w:qFormat/>
    <w:uiPriority w:val="0"/>
    <w:pPr>
      <w:spacing w:line="360" w:lineRule="auto"/>
      <w:ind w:firstLine="200"/>
    </w:pPr>
    <w:rPr>
      <w:spacing w:val="4"/>
      <w:sz w:val="24"/>
      <w:szCs w:val="24"/>
    </w:rPr>
  </w:style>
  <w:style w:type="paragraph" w:customStyle="1" w:styleId="37">
    <w:name w:val="正题"/>
    <w:basedOn w:val="36"/>
    <w:qFormat/>
    <w:uiPriority w:val="0"/>
    <w:pPr>
      <w:ind w:firstLine="0"/>
      <w:jc w:val="center"/>
    </w:pPr>
    <w:rPr>
      <w:rFonts w:eastAsia="黑体"/>
      <w:b/>
      <w:sz w:val="36"/>
      <w:szCs w:val="36"/>
    </w:rPr>
  </w:style>
  <w:style w:type="paragraph" w:customStyle="1" w:styleId="38">
    <w:name w:val="正文缩进2格"/>
    <w:basedOn w:val="1"/>
    <w:qFormat/>
    <w:uiPriority w:val="0"/>
    <w:pPr>
      <w:autoSpaceDE/>
      <w:autoSpaceDN/>
      <w:spacing w:line="600" w:lineRule="exact"/>
      <w:ind w:firstLine="639" w:firstLineChars="206"/>
      <w:jc w:val="both"/>
    </w:pPr>
    <w:rPr>
      <w:rFonts w:ascii="仿宋_GB2312" w:eastAsia="仿宋_GB2312"/>
      <w:kern w:val="2"/>
      <w:sz w:val="31"/>
      <w:szCs w:val="24"/>
      <w:lang w:eastAsia="zh-CN"/>
    </w:rPr>
  </w:style>
  <w:style w:type="paragraph" w:customStyle="1" w:styleId="39">
    <w:name w:val="null3"/>
    <w:qFormat/>
    <w:uiPriority w:val="0"/>
    <w:rPr>
      <w:rFonts w:hint="eastAsia" w:ascii="Calibri" w:hAnsi="Calibri" w:eastAsia="宋体" w:cs="Times New Roman"/>
      <w:lang w:val="en-US" w:eastAsia="en-US"/>
    </w:rPr>
  </w:style>
  <w:style w:type="character" w:customStyle="1" w:styleId="40">
    <w:name w:val="15"/>
    <w:basedOn w:val="7"/>
    <w:qFormat/>
    <w:uiPriority w:val="0"/>
    <w:rPr>
      <w:rFonts w:hint="default" w:ascii="Calibri" w:hAnsi="Calibri" w:cs="Calibri"/>
    </w:rPr>
  </w:style>
  <w:style w:type="character" w:customStyle="1" w:styleId="41">
    <w:name w:val="10"/>
    <w:basedOn w:val="7"/>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15313</Words>
  <Characters>16189</Characters>
  <Lines>1</Lines>
  <Paragraphs>1</Paragraphs>
  <TotalTime>6</TotalTime>
  <ScaleCrop>false</ScaleCrop>
  <LinksUpToDate>false</LinksUpToDate>
  <CharactersWithSpaces>16411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2024-06-14T01:56:00Z</dcterms:created>
  <dc:creator>迪迪</dc:creator>
  <cp:lastModifiedBy>迪迪</cp:lastModifiedBy>
  <cp:lastPrinted>2024-06-14T02:30:00Z</cp:lastPrinted>
  <dcterms:modified xsi:type="dcterms:W3CDTF">2024-11-07T09:15:01Z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C9D4685D4CEB4B6981301BFB7DDCCF71_12</vt:lpwstr>
  </property>
</Properties>
</file>