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33257">
      <w:pPr>
        <w:spacing w:line="360" w:lineRule="auto"/>
        <w:rPr>
          <w:b/>
          <w:color w:val="auto"/>
          <w:sz w:val="44"/>
          <w:highlight w:val="none"/>
        </w:rPr>
      </w:pPr>
      <w:r>
        <w:rPr>
          <w:rFonts w:hint="eastAsia" w:ascii="宋体" w:hAnsi="宋体"/>
          <w:color w:val="auto"/>
          <w:sz w:val="24"/>
          <w:highlight w:val="none"/>
        </w:rPr>
        <w:t>附件一：</w:t>
      </w:r>
    </w:p>
    <w:p w14:paraId="1D70416A">
      <w:pPr>
        <w:jc w:val="center"/>
        <w:rPr>
          <w:b/>
          <w:color w:val="auto"/>
          <w:sz w:val="44"/>
          <w:szCs w:val="44"/>
          <w:highlight w:val="none"/>
        </w:rPr>
      </w:pPr>
      <w:r>
        <w:rPr>
          <w:rFonts w:hint="eastAsia"/>
          <w:b/>
          <w:color w:val="auto"/>
          <w:kern w:val="0"/>
          <w:sz w:val="44"/>
          <w:szCs w:val="44"/>
          <w:highlight w:val="none"/>
        </w:rPr>
        <w:t>投标人</w:t>
      </w:r>
      <w:r>
        <w:rPr>
          <w:rFonts w:hint="eastAsia"/>
          <w:b/>
          <w:color w:val="auto"/>
          <w:sz w:val="44"/>
          <w:szCs w:val="44"/>
          <w:highlight w:val="none"/>
        </w:rPr>
        <w:t>声明</w:t>
      </w:r>
      <w:r>
        <w:rPr>
          <w:rFonts w:hint="eastAsia" w:ascii="宋体" w:hAnsi="宋体" w:eastAsia="宋体" w:cs="宋体"/>
          <w:b/>
          <w:color w:val="auto"/>
          <w:kern w:val="0"/>
          <w:sz w:val="44"/>
          <w:szCs w:val="44"/>
          <w:highlight w:val="none"/>
        </w:rPr>
        <w:t>（一）</w:t>
      </w:r>
    </w:p>
    <w:p w14:paraId="5AE9ABB0">
      <w:pPr>
        <w:pStyle w:val="6"/>
        <w:keepNext w:val="0"/>
        <w:keepLines w:val="0"/>
        <w:pageBreakBefore w:val="0"/>
        <w:kinsoku/>
        <w:wordWrap/>
        <w:overflowPunct/>
        <w:topLinePunct w:val="0"/>
        <w:autoSpaceDE/>
        <w:autoSpaceDN/>
        <w:bidi w:val="0"/>
        <w:adjustRightInd/>
        <w:spacing w:line="360" w:lineRule="auto"/>
        <w:ind w:firstLine="0"/>
        <w:textAlignment w:val="auto"/>
        <w:rPr>
          <w:rFonts w:ascii="宋体" w:hAnsi="宋体" w:eastAsia="宋体"/>
          <w:color w:val="auto"/>
          <w:sz w:val="21"/>
          <w:szCs w:val="21"/>
          <w:highlight w:val="none"/>
        </w:rPr>
      </w:pPr>
      <w:r>
        <w:rPr>
          <w:rFonts w:hint="eastAsia" w:ascii="宋体" w:hAnsi="宋体" w:eastAsia="宋体" w:cs="Times New Roman"/>
          <w:color w:val="auto"/>
          <w:sz w:val="21"/>
          <w:szCs w:val="21"/>
          <w:highlight w:val="none"/>
          <w:u w:val="single"/>
        </w:rPr>
        <w:t>广州市增城区住房和城乡建设局</w:t>
      </w:r>
      <w:r>
        <w:rPr>
          <w:rFonts w:hint="eastAsia" w:ascii="宋体" w:hAnsi="宋体" w:eastAsia="宋体" w:cs="Times New Roman"/>
          <w:color w:val="auto"/>
          <w:sz w:val="21"/>
          <w:szCs w:val="21"/>
          <w:highlight w:val="none"/>
        </w:rPr>
        <w:t>、本招标项目招</w:t>
      </w:r>
      <w:r>
        <w:rPr>
          <w:rFonts w:hint="eastAsia" w:ascii="宋体" w:hAnsi="宋体" w:eastAsia="宋体"/>
          <w:color w:val="auto"/>
          <w:sz w:val="21"/>
          <w:szCs w:val="21"/>
          <w:highlight w:val="none"/>
        </w:rPr>
        <w:t>标人及招标监管机构：</w:t>
      </w:r>
    </w:p>
    <w:p w14:paraId="6C1F5D73">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投标工作，作出郑重声明：</w:t>
      </w:r>
    </w:p>
    <w:p w14:paraId="43991750">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w:t>
      </w:r>
      <w:bookmarkStart w:id="0" w:name="_GoBack"/>
      <w:bookmarkEnd w:id="0"/>
      <w:r>
        <w:rPr>
          <w:rFonts w:hint="eastAsia" w:ascii="宋体" w:hAnsi="宋体" w:eastAsia="宋体"/>
          <w:color w:val="auto"/>
          <w:sz w:val="21"/>
          <w:szCs w:val="21"/>
          <w:highlight w:val="none"/>
        </w:rPr>
        <w:t>人将我司投标文件商务部分的人员、业绩、奖项等资料进行公开。</w:t>
      </w:r>
    </w:p>
    <w:p w14:paraId="22203DEB">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二、本公司保证在本项目投标中不与其他单位围标、串标，不出让投标资格，不向招标人或评标委员会成员行贿。</w:t>
      </w:r>
    </w:p>
    <w:p w14:paraId="621FFF52">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14:paraId="67E68AD7">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（一）为招标人不具有独立法人资格的附属机构（单位）；</w:t>
      </w:r>
    </w:p>
    <w:p w14:paraId="50953CEE">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（二）为本标段前期准备提供设计或咨询服务或者与本项目设计人或提供咨询服务的机构存在附属关系的；</w:t>
      </w:r>
    </w:p>
    <w:p w14:paraId="4BA8F2AC">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（三）为本标段监理人或者与本标段监理人存在隶属关系或者其他利害关系；</w:t>
      </w:r>
    </w:p>
    <w:p w14:paraId="7214332B">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（四）为本标段的代建人；</w:t>
      </w:r>
    </w:p>
    <w:p w14:paraId="58278B73">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（五）为本标段提供招标代理服务的；</w:t>
      </w:r>
    </w:p>
    <w:p w14:paraId="0C6974EB">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（六）与本标段的监理人或代建人或招标代理机构同为一个法定代表人的；</w:t>
      </w:r>
    </w:p>
    <w:p w14:paraId="78DC314F">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（七）与本标段的监理人或代建人或招标代理机构互相控股或参股的；</w:t>
      </w:r>
    </w:p>
    <w:p w14:paraId="19FAAD28">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（八）与本标段的监理人或代建人或招标代理机构相互任职或工作的；</w:t>
      </w:r>
    </w:p>
    <w:p w14:paraId="02A9520D">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（九）与本标段的检测机构有隶属关系或者其他利害关系；</w:t>
      </w:r>
    </w:p>
    <w:p w14:paraId="2C0F2386">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（十）与招标人存在利害关系且可能影响招标公正性； </w:t>
      </w:r>
    </w:p>
    <w:p w14:paraId="05C61540">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（十一）被依法暂停或取消投标资格的；</w:t>
      </w:r>
      <w:r>
        <w:rPr>
          <w:rFonts w:hint="eastAsia" w:ascii="宋体" w:hAnsi="宋体" w:eastAsia="宋体"/>
          <w:b/>
          <w:bCs/>
          <w:color w:val="auto"/>
          <w:sz w:val="21"/>
          <w:szCs w:val="21"/>
          <w:highlight w:val="none"/>
        </w:rPr>
        <w:t>（</w:t>
      </w:r>
      <w:r>
        <w:rPr>
          <w:rFonts w:hint="eastAsia" w:ascii="宋体" w:hAnsi="宋体" w:eastAsia="宋体"/>
          <w:b/>
          <w:bCs/>
          <w:color w:val="auto"/>
          <w:sz w:val="21"/>
          <w:szCs w:val="21"/>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b/>
          <w:bCs/>
          <w:color w:val="auto"/>
          <w:sz w:val="21"/>
          <w:szCs w:val="21"/>
          <w:highlight w:val="none"/>
        </w:rPr>
        <w:t>）</w:t>
      </w:r>
      <w:r>
        <w:rPr>
          <w:rFonts w:hint="eastAsia" w:ascii="宋体" w:hAnsi="宋体" w:eastAsia="宋体"/>
          <w:color w:val="auto"/>
          <w:sz w:val="21"/>
          <w:szCs w:val="21"/>
          <w:highlight w:val="none"/>
        </w:rPr>
        <w:t xml:space="preserve"> </w:t>
      </w:r>
    </w:p>
    <w:p w14:paraId="2000C056">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（十二）被责令停产停业、暂扣或者吊销许可证、暂扣或者吊销执照的</w:t>
      </w:r>
      <w:r>
        <w:rPr>
          <w:rFonts w:hint="eastAsia" w:ascii="宋体" w:hAnsi="宋体" w:eastAsia="宋体"/>
          <w:b/>
          <w:bCs/>
          <w:color w:val="auto"/>
          <w:sz w:val="21"/>
          <w:szCs w:val="21"/>
          <w:highlight w:val="none"/>
        </w:rPr>
        <w:t>（</w:t>
      </w:r>
      <w:r>
        <w:rPr>
          <w:rFonts w:hint="eastAsia" w:ascii="宋体" w:hAnsi="宋体" w:eastAsia="宋体"/>
          <w:b/>
          <w:bCs/>
          <w:color w:val="auto"/>
          <w:sz w:val="21"/>
          <w:szCs w:val="21"/>
          <w:highlight w:val="none"/>
          <w:lang w:val="zh-CN"/>
        </w:rPr>
        <w:t>本项事实应当以根据《中华人民共和国行政处罚法》依法作出并已经生效的行政处罚决定为认定依据。</w:t>
      </w:r>
      <w:r>
        <w:rPr>
          <w:rFonts w:hint="eastAsia" w:ascii="宋体" w:hAnsi="宋体" w:eastAsia="宋体"/>
          <w:b/>
          <w:bCs/>
          <w:color w:val="auto"/>
          <w:sz w:val="21"/>
          <w:szCs w:val="21"/>
          <w:highlight w:val="none"/>
        </w:rPr>
        <w:t>）；</w:t>
      </w:r>
    </w:p>
    <w:p w14:paraId="0040704B">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（十三）进入清算程序，或被宣布破产，或其他丧失履约能力的情形；</w:t>
      </w:r>
    </w:p>
    <w:p w14:paraId="528C721C">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b/>
          <w:bCs/>
          <w:color w:val="auto"/>
          <w:sz w:val="21"/>
          <w:szCs w:val="21"/>
          <w:highlight w:val="none"/>
        </w:rPr>
      </w:pPr>
      <w:r>
        <w:rPr>
          <w:rFonts w:hint="eastAsia" w:ascii="宋体" w:hAnsi="宋体" w:eastAsia="宋体"/>
          <w:color w:val="auto"/>
          <w:sz w:val="21"/>
          <w:szCs w:val="21"/>
          <w:highlight w:val="none"/>
        </w:rPr>
        <w:t>（十四）在最近三年内有严重违约或重大工程质量问题的；</w:t>
      </w:r>
      <w:r>
        <w:rPr>
          <w:rFonts w:hint="eastAsia" w:ascii="宋体" w:hAnsi="宋体" w:eastAsia="宋体"/>
          <w:b/>
          <w:bCs/>
          <w:color w:val="auto"/>
          <w:sz w:val="21"/>
          <w:szCs w:val="21"/>
          <w:highlight w:val="none"/>
        </w:rPr>
        <w:t>（</w:t>
      </w:r>
      <w:r>
        <w:rPr>
          <w:rFonts w:hint="eastAsia" w:ascii="宋体" w:hAnsi="宋体" w:eastAsia="宋体"/>
          <w:b/>
          <w:bCs/>
          <w:color w:val="auto"/>
          <w:sz w:val="21"/>
          <w:szCs w:val="21"/>
          <w:highlight w:val="none"/>
          <w:lang w:val="zh-CN"/>
        </w:rPr>
        <w:t>“严重违约”事实应当以</w:t>
      </w:r>
      <w:r>
        <w:rPr>
          <w:rFonts w:hint="eastAsia" w:ascii="宋体" w:hAnsi="宋体" w:eastAsia="宋体"/>
          <w:b/>
          <w:bCs/>
          <w:color w:val="auto"/>
          <w:sz w:val="21"/>
          <w:szCs w:val="21"/>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C3BAFFB">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（十五）法律法规规定的其他情形。</w:t>
      </w:r>
    </w:p>
    <w:p w14:paraId="5F858DE2">
      <w:pPr>
        <w:pStyle w:val="6"/>
        <w:keepNext w:val="0"/>
        <w:keepLines w:val="0"/>
        <w:pageBreakBefore w:val="0"/>
        <w:numPr>
          <w:ilvl w:val="0"/>
          <w:numId w:val="1"/>
        </w:numPr>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本公司保证：本项目拟派的项目负责人没有在其他在建项目中任施工单位项目负责人，本项目拟派的专职安全员没有在其他在建项目中任职。</w:t>
      </w:r>
    </w:p>
    <w:p w14:paraId="0EE27E26">
      <w:pPr>
        <w:pStyle w:val="6"/>
        <w:keepNext w:val="0"/>
        <w:keepLines w:val="0"/>
        <w:pageBreakBefore w:val="0"/>
        <w:numPr>
          <w:ilvl w:val="0"/>
          <w:numId w:val="1"/>
        </w:numPr>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9EDFC36">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857B5A8">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广州市建筑施工实名制管理办法</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广东省住房和城乡建设厅关于房屋建筑和市政基础设施工程用工实名管理暂行办法</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44285527">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w:t>
      </w:r>
      <w:r>
        <w:rPr>
          <w:rFonts w:hint="eastAsia" w:ascii="宋体" w:hAnsi="宋体" w:eastAsia="宋体"/>
          <w:color w:val="auto"/>
          <w:sz w:val="21"/>
          <w:szCs w:val="21"/>
          <w:highlight w:val="none"/>
          <w:lang w:eastAsia="zh-CN"/>
        </w:rPr>
        <w:t>理</w:t>
      </w:r>
      <w:r>
        <w:rPr>
          <w:rFonts w:hint="eastAsia" w:ascii="宋体" w:hAnsi="宋体" w:eastAsia="宋体"/>
          <w:color w:val="auto"/>
          <w:sz w:val="21"/>
          <w:szCs w:val="21"/>
          <w:highlight w:val="none"/>
        </w:rPr>
        <w:t>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。（注：本条由投标人如实填写，如有，应列出全部满足招标公告资质要求的相关单位的名称；如无，则填写“无”。）</w:t>
      </w:r>
    </w:p>
    <w:p w14:paraId="6079AE56">
      <w:pPr>
        <w:pStyle w:val="6"/>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九、</w:t>
      </w:r>
      <w:r>
        <w:rPr>
          <w:rFonts w:hint="eastAsia" w:ascii="宋体" w:hAnsi="宋体" w:eastAsia="宋体"/>
          <w:color w:val="auto"/>
          <w:sz w:val="24"/>
          <w:szCs w:val="24"/>
          <w:highlight w:val="none"/>
        </w:rPr>
        <w:t>本公司承诺，积极响应广州市关于投身“百千万工程”的号召，主动参与建筑业结对帮扶。</w:t>
      </w:r>
    </w:p>
    <w:p w14:paraId="5A9F2C7D">
      <w:pPr>
        <w:pStyle w:val="6"/>
        <w:keepNext w:val="0"/>
        <w:keepLines w:val="0"/>
        <w:pageBreakBefore w:val="0"/>
        <w:kinsoku/>
        <w:wordWrap/>
        <w:overflowPunct/>
        <w:topLinePunct w:val="0"/>
        <w:autoSpaceDE/>
        <w:autoSpaceDN/>
        <w:bidi w:val="0"/>
        <w:adjustRightInd/>
        <w:spacing w:line="360" w:lineRule="auto"/>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十</w:t>
      </w:r>
      <w:r>
        <w:rPr>
          <w:rFonts w:hint="eastAsia" w:ascii="宋体" w:hAnsi="宋体" w:eastAsia="宋体"/>
          <w:color w:val="auto"/>
          <w:sz w:val="21"/>
          <w:szCs w:val="21"/>
          <w:highlight w:val="none"/>
        </w:rPr>
        <w:t>、本公司拟委派专职安全员兼任本工程的工地余泥渣土运输与排放管理员，严格遵守建设工程余泥渣土运输与排放管理制度，执行“一不准进、三不准出”规定，选择合法的余泥渣土运输单位及排放点。</w:t>
      </w:r>
    </w:p>
    <w:p w14:paraId="7BA1CA08">
      <w:pPr>
        <w:pStyle w:val="6"/>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十</w:t>
      </w:r>
      <w:r>
        <w:rPr>
          <w:rFonts w:hint="eastAsia" w:ascii="宋体" w:hAnsi="宋体" w:eastAsia="宋体"/>
          <w:color w:val="auto"/>
          <w:sz w:val="21"/>
          <w:szCs w:val="21"/>
          <w:highlight w:val="none"/>
          <w:lang w:eastAsia="zh-CN"/>
        </w:rPr>
        <w:t>一</w:t>
      </w:r>
      <w:r>
        <w:rPr>
          <w:rFonts w:hint="eastAsia" w:ascii="宋体" w:hAnsi="宋体" w:eastAsia="宋体"/>
          <w:color w:val="auto"/>
          <w:sz w:val="21"/>
          <w:szCs w:val="21"/>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EF8B5F2">
      <w:pPr>
        <w:pStyle w:val="6"/>
        <w:keepNext w:val="0"/>
        <w:keepLines w:val="0"/>
        <w:pageBreakBefore w:val="0"/>
        <w:kinsoku/>
        <w:wordWrap/>
        <w:overflowPunct/>
        <w:topLinePunct w:val="0"/>
        <w:autoSpaceDE/>
        <w:autoSpaceDN/>
        <w:bidi w:val="0"/>
        <w:adjustRightInd/>
        <w:spacing w:line="360" w:lineRule="auto"/>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十</w:t>
      </w:r>
      <w:r>
        <w:rPr>
          <w:rFonts w:hint="eastAsia" w:ascii="宋体" w:hAnsi="宋体" w:eastAsia="宋体"/>
          <w:color w:val="auto"/>
          <w:sz w:val="21"/>
          <w:szCs w:val="21"/>
          <w:highlight w:val="none"/>
          <w:lang w:eastAsia="zh-CN"/>
        </w:rPr>
        <w:t>二</w:t>
      </w:r>
      <w:r>
        <w:rPr>
          <w:rFonts w:hint="eastAsia" w:ascii="宋体" w:hAnsi="宋体" w:eastAsia="宋体"/>
          <w:color w:val="auto"/>
          <w:sz w:val="21"/>
          <w:szCs w:val="21"/>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5DD9979C">
      <w:pPr>
        <w:pStyle w:val="6"/>
        <w:keepNext w:val="0"/>
        <w:keepLines w:val="0"/>
        <w:pageBreakBefore w:val="0"/>
        <w:kinsoku/>
        <w:wordWrap/>
        <w:overflowPunct/>
        <w:topLinePunct w:val="0"/>
        <w:autoSpaceDE/>
        <w:autoSpaceDN/>
        <w:bidi w:val="0"/>
        <w:adjustRightInd/>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14:paraId="1FEDEFF0">
      <w:pPr>
        <w:pStyle w:val="7"/>
        <w:keepNext w:val="0"/>
        <w:keepLines w:val="0"/>
        <w:pageBreakBefore w:val="0"/>
        <w:kinsoku/>
        <w:wordWrap/>
        <w:overflowPunct/>
        <w:topLinePunct w:val="0"/>
        <w:autoSpaceDE/>
        <w:autoSpaceDN/>
        <w:bidi w:val="0"/>
        <w:adjustRightInd/>
        <w:spacing w:line="360" w:lineRule="auto"/>
        <w:ind w:left="629" w:right="1449"/>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 xml:space="preserve">            声明企业：</w:t>
      </w:r>
    </w:p>
    <w:p w14:paraId="01B43E4F">
      <w:pPr>
        <w:pStyle w:val="6"/>
        <w:keepNext w:val="0"/>
        <w:keepLines w:val="0"/>
        <w:pageBreakBefore w:val="0"/>
        <w:kinsoku/>
        <w:wordWrap/>
        <w:overflowPunct/>
        <w:topLinePunct w:val="0"/>
        <w:autoSpaceDE/>
        <w:autoSpaceDN/>
        <w:bidi w:val="0"/>
        <w:adjustRightInd/>
        <w:spacing w:line="360" w:lineRule="auto"/>
        <w:ind w:right="1179" w:firstLine="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法定代表人签字：</w:t>
      </w:r>
    </w:p>
    <w:p w14:paraId="0FF35859">
      <w:pPr>
        <w:pStyle w:val="6"/>
        <w:keepNext w:val="0"/>
        <w:keepLines w:val="0"/>
        <w:pageBreakBefore w:val="0"/>
        <w:kinsoku/>
        <w:wordWrap/>
        <w:overflowPunct/>
        <w:topLinePunct w:val="0"/>
        <w:autoSpaceDE/>
        <w:autoSpaceDN/>
        <w:bidi w:val="0"/>
        <w:adjustRightInd/>
        <w:spacing w:line="360" w:lineRule="auto"/>
        <w:ind w:right="1179" w:firstLine="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w:t>
      </w:r>
      <w:r>
        <w:rPr>
          <w:rFonts w:hint="eastAsia" w:ascii="宋体" w:hAnsi="宋体" w:eastAsia="宋体"/>
          <w:color w:val="auto"/>
          <w:sz w:val="21"/>
          <w:szCs w:val="21"/>
          <w:highlight w:val="none"/>
          <w:lang w:eastAsia="zh-CN"/>
        </w:rPr>
        <w:t>：</w:t>
      </w:r>
    </w:p>
    <w:p w14:paraId="5FD3EA1F">
      <w:pPr>
        <w:pStyle w:val="6"/>
        <w:keepNext w:val="0"/>
        <w:keepLines w:val="0"/>
        <w:pageBreakBefore w:val="0"/>
        <w:kinsoku/>
        <w:wordWrap/>
        <w:overflowPunct/>
        <w:topLinePunct w:val="0"/>
        <w:autoSpaceDE/>
        <w:autoSpaceDN/>
        <w:bidi w:val="0"/>
        <w:adjustRightInd/>
        <w:spacing w:line="360" w:lineRule="auto"/>
        <w:ind w:right="879" w:firstLine="1890" w:firstLineChars="900"/>
        <w:jc w:val="lef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14:paraId="0B1174A4">
      <w:pPr>
        <w:pStyle w:val="6"/>
        <w:keepNext w:val="0"/>
        <w:keepLines w:val="0"/>
        <w:pageBreakBefore w:val="0"/>
        <w:kinsoku/>
        <w:wordWrap/>
        <w:overflowPunct/>
        <w:topLinePunct w:val="0"/>
        <w:autoSpaceDE/>
        <w:autoSpaceDN/>
        <w:bidi w:val="0"/>
        <w:adjustRightInd/>
        <w:spacing w:line="360" w:lineRule="auto"/>
        <w:ind w:right="879" w:firstLine="1890" w:firstLineChars="900"/>
        <w:jc w:val="right"/>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年</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月</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日</w:t>
      </w:r>
    </w:p>
    <w:p w14:paraId="01D8573C">
      <w:pPr>
        <w:keepNext w:val="0"/>
        <w:keepLines w:val="0"/>
        <w:pageBreakBefore w:val="0"/>
        <w:kinsoku/>
        <w:wordWrap/>
        <w:overflowPunct/>
        <w:topLinePunct w:val="0"/>
        <w:autoSpaceDE/>
        <w:autoSpaceDN/>
        <w:bidi w:val="0"/>
        <w:adjustRightInd/>
        <w:spacing w:line="360" w:lineRule="auto"/>
        <w:textAlignment w:val="auto"/>
        <w:rPr>
          <w:rFonts w:asci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0"/>
          <w:szCs w:val="21"/>
          <w:highlight w:val="none"/>
        </w:rPr>
        <w:t>（企业公章）</w:t>
      </w:r>
    </w:p>
    <w:p w14:paraId="00BCCCF5">
      <w:r>
        <w:rPr>
          <w:rFonts w:hint="eastAsia" w:ascii="宋体" w:hAnsi="宋体"/>
          <w:color w:val="auto"/>
          <w:szCs w:val="21"/>
          <w:highlight w:val="none"/>
        </w:rPr>
        <w:t>注：招标人应当要求投标人的项目负责人和技术负责人签字。</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YTc2NTAyNTE5NTVkYTA5ODhkYTg5MTE1M2QwZWQifQ=="/>
  </w:docVars>
  <w:rsids>
    <w:rsidRoot w:val="4D943878"/>
    <w:rsid w:val="4D943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page number"/>
    <w:qFormat/>
    <w:uiPriority w:val="0"/>
    <w:rPr>
      <w:rFonts w:cs="Times New Roman"/>
    </w:rPr>
  </w:style>
  <w:style w:type="paragraph" w:customStyle="1" w:styleId="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7">
    <w:name w:val="发文落款"/>
    <w:basedOn w:val="6"/>
    <w:qFormat/>
    <w:uiPriority w:val="0"/>
    <w:pPr>
      <w:ind w:left="4094" w:right="607" w:firstLine="0"/>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2024-11-05T09:13:00Z</dcterms:created>
  <dc:creator>7788</dc:creator>
  <cp:lastModifiedBy>7788</cp:lastModifiedBy>
  <dcterms:modified xsi:type="dcterms:W3CDTF">2024-11-05T09:14:44Z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429FDA6AA3B04A208C0A3ECAA3B992BC_11</vt:lpwstr>
  </property>
</Properties>
</file>