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4419">
      <w:pPr>
        <w:widowControl/>
        <w:spacing w:line="360" w:lineRule="auto"/>
        <w:jc w:val="center"/>
        <w:rPr>
          <w:rFonts w:hint="eastAsia" w:ascii="宋体" w:hAnsi="宋体" w:cs="宋体"/>
          <w:b/>
          <w:color w:val="000000"/>
          <w:sz w:val="36"/>
          <w:szCs w:val="36"/>
          <w:highlight w:val="none"/>
          <w:u w:val="single"/>
        </w:rPr>
      </w:pPr>
      <w:r>
        <w:rPr>
          <w:rFonts w:hint="eastAsia" w:ascii="宋体" w:hAnsi="宋体" w:cs="宋体"/>
          <w:b/>
          <w:color w:val="000000"/>
          <w:sz w:val="36"/>
          <w:szCs w:val="36"/>
          <w:highlight w:val="none"/>
          <w:u w:val="single"/>
        </w:rPr>
        <w:t>投标申请人声明（三）</w:t>
      </w:r>
    </w:p>
    <w:p w14:paraId="7A289A34">
      <w:pPr>
        <w:widowControl/>
        <w:spacing w:line="360" w:lineRule="auto"/>
        <w:jc w:val="center"/>
        <w:rPr>
          <w:rFonts w:hint="eastAsia" w:ascii="宋体" w:hAnsi="宋体" w:cs="宋体"/>
          <w:color w:val="000000"/>
          <w:spacing w:val="15"/>
          <w:kern w:val="0"/>
          <w:szCs w:val="21"/>
          <w:highlight w:val="none"/>
        </w:rPr>
      </w:pPr>
      <w:r>
        <w:rPr>
          <w:rFonts w:hint="eastAsia" w:ascii="宋体" w:hAnsi="宋体" w:cs="宋体"/>
          <w:bCs/>
          <w:color w:val="000000"/>
          <w:spacing w:val="15"/>
          <w:kern w:val="0"/>
          <w:szCs w:val="21"/>
          <w:highlight w:val="none"/>
        </w:rPr>
        <w:t>关于遵守招标文件和履行工程总承包合同的声明</w:t>
      </w:r>
    </w:p>
    <w:p w14:paraId="72C825F8">
      <w:pPr>
        <w:widowControl/>
        <w:spacing w:line="360" w:lineRule="auto"/>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本招标项目招标人及招标监管机构：</w:t>
      </w:r>
    </w:p>
    <w:p w14:paraId="4F1F6688">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本公司就参加位于增城区的</w:t>
      </w:r>
      <w:r>
        <w:rPr>
          <w:rFonts w:hint="eastAsia" w:ascii="宋体" w:hAnsi="宋体" w:cs="宋体"/>
          <w:color w:val="000000"/>
          <w:szCs w:val="21"/>
          <w:highlight w:val="none"/>
          <w:u w:val="single"/>
        </w:rPr>
        <w:t xml:space="preserve">                   </w:t>
      </w:r>
      <w:r>
        <w:rPr>
          <w:rFonts w:hint="eastAsia" w:ascii="宋体" w:hAnsi="宋体" w:cs="宋体"/>
          <w:color w:val="000000"/>
          <w:spacing w:val="15"/>
          <w:kern w:val="0"/>
          <w:szCs w:val="21"/>
          <w:highlight w:val="none"/>
        </w:rPr>
        <w:t>的投标工作，作出郑重声明：</w:t>
      </w:r>
    </w:p>
    <w:p w14:paraId="7D1E9CB3">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一、若成为本工程的中标人，我公司将严格遵守招标文件和履行施工合同的下列要求：</w:t>
      </w:r>
    </w:p>
    <w:p w14:paraId="1E012DC8">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1、订立合同：在招标文件规定的限期内与招标人订立工程总承包合同。</w:t>
      </w:r>
    </w:p>
    <w:p w14:paraId="09E66B5C">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2、施工现场技术和管理人员：</w:t>
      </w:r>
    </w:p>
    <w:p w14:paraId="434E4B59">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（1）投标承诺及派驻现场的项目管理架构中全部技术和管理人员均为我公司员工；</w:t>
      </w:r>
    </w:p>
    <w:p w14:paraId="38D1EEB6">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（2）根据本工程建设的实际需要适当设置的项目管理架构，委派的技术和管理人员的数量、资质和实际工作能力均满足本工程建设实施要求；</w:t>
      </w:r>
    </w:p>
    <w:p w14:paraId="15B32CE3">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（3）在收到发包人进场通知的3天内，所有技术和管理人员全部到位，进入现场办公，不得兼职或者擅自离岗；</w:t>
      </w:r>
    </w:p>
    <w:p w14:paraId="33214772">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4CCF13A2">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6D6C6FAA">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4、材料、设备：保证准备并供应充足的材料设备，按投标承诺的时间全部按时到位。不因任何材料、设备因素阻碍工期而影响投标承诺的竣工日期。</w:t>
      </w:r>
    </w:p>
    <w:p w14:paraId="394E7B87">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5、质量、安全：保证实现本工程招标文件所确定的工程质量、安全目标计划，且按增城区有关文件及本工程招标文件文明施工管理方案中的要求进行文明施工管理。</w:t>
      </w:r>
    </w:p>
    <w:p w14:paraId="1260660B">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6、不发生出借资质、转包、违法分包行为。</w:t>
      </w:r>
    </w:p>
    <w:p w14:paraId="35C40135">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7、不拖欠或克扣劳务人员工资，不拖欠材料、设备价款、分包合同工程款（如有分包工程）。</w:t>
      </w:r>
    </w:p>
    <w:p w14:paraId="170704F7">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二、如不能履行上述承诺，本公司愿意承担由此带来的法律后果，并自愿无条件地接受招标人和建设行政主管部门的以下处理：</w:t>
      </w:r>
    </w:p>
    <w:p w14:paraId="6F75D307">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1、取消中标资格或者解除合同；</w:t>
      </w:r>
    </w:p>
    <w:p w14:paraId="2186FE8B">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2、由招标人没收投标保证金或合同履约保证金；</w:t>
      </w:r>
    </w:p>
    <w:p w14:paraId="18324C5D">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3、两年内停止或永久禁止参与增城区财政资金建设工程的投标；</w:t>
      </w:r>
    </w:p>
    <w:p w14:paraId="118908D2">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4、两年内停止或永久禁止在增城区承接工程或者执业；</w:t>
      </w:r>
    </w:p>
    <w:p w14:paraId="2179F47F">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5、对不良行为予以记录，并进行公告；</w:t>
      </w:r>
    </w:p>
    <w:p w14:paraId="6A4B0D3A">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6、报增城区建设行政主管部门备案，并提请上级相关行政主管部门依法进行处罚；</w:t>
      </w:r>
    </w:p>
    <w:p w14:paraId="0FBAAA7A">
      <w:pPr>
        <w:widowControl/>
        <w:spacing w:line="360" w:lineRule="auto"/>
        <w:ind w:firstLine="480" w:firstLineChars="20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7、其他行政处理决定。</w:t>
      </w:r>
    </w:p>
    <w:p w14:paraId="6D9F7D00">
      <w:pPr>
        <w:widowControl/>
        <w:spacing w:line="360" w:lineRule="auto"/>
        <w:ind w:firstLine="600" w:firstLineChars="25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特此声明</w:t>
      </w:r>
    </w:p>
    <w:p w14:paraId="156AD09B">
      <w:pPr>
        <w:widowControl/>
        <w:spacing w:line="360" w:lineRule="auto"/>
        <w:ind w:firstLine="600" w:firstLineChars="250"/>
        <w:jc w:val="left"/>
        <w:rPr>
          <w:rFonts w:hint="eastAsia" w:ascii="宋体" w:hAnsi="宋体" w:cs="宋体"/>
          <w:color w:val="000000"/>
          <w:spacing w:val="15"/>
          <w:kern w:val="0"/>
          <w:szCs w:val="21"/>
          <w:highlight w:val="none"/>
        </w:rPr>
      </w:pPr>
    </w:p>
    <w:p w14:paraId="4A81F6EF">
      <w:pPr>
        <w:widowControl/>
        <w:spacing w:line="360" w:lineRule="auto"/>
        <w:ind w:firstLine="600" w:firstLineChars="250"/>
        <w:jc w:val="left"/>
        <w:rPr>
          <w:rFonts w:hint="eastAsia" w:ascii="宋体" w:hAnsi="宋体" w:cs="宋体"/>
          <w:color w:val="000000"/>
          <w:spacing w:val="15"/>
          <w:kern w:val="0"/>
          <w:szCs w:val="21"/>
          <w:highlight w:val="none"/>
        </w:rPr>
      </w:pPr>
    </w:p>
    <w:p w14:paraId="78EE72C8">
      <w:pPr>
        <w:widowControl/>
        <w:spacing w:line="360" w:lineRule="auto"/>
        <w:ind w:firstLine="600" w:firstLineChars="250"/>
        <w:jc w:val="left"/>
        <w:rPr>
          <w:rFonts w:hint="eastAsia" w:ascii="宋体" w:hAnsi="宋体" w:cs="宋体"/>
          <w:color w:val="000000"/>
          <w:spacing w:val="15"/>
          <w:kern w:val="0"/>
          <w:szCs w:val="21"/>
          <w:highlight w:val="none"/>
        </w:rPr>
      </w:pPr>
    </w:p>
    <w:p w14:paraId="52F91E5B">
      <w:pPr>
        <w:widowControl/>
        <w:spacing w:line="360" w:lineRule="auto"/>
        <w:ind w:firstLine="600" w:firstLineChars="250"/>
        <w:jc w:val="left"/>
        <w:rPr>
          <w:rFonts w:hint="eastAsia" w:ascii="宋体" w:hAnsi="宋体" w:cs="宋体"/>
          <w:color w:val="000000"/>
          <w:spacing w:val="15"/>
          <w:kern w:val="0"/>
          <w:szCs w:val="21"/>
          <w:highlight w:val="none"/>
        </w:rPr>
      </w:pPr>
      <w:r>
        <w:rPr>
          <w:rFonts w:hint="eastAsia" w:ascii="宋体" w:hAnsi="宋体" w:cs="宋体"/>
          <w:color w:val="000000"/>
          <w:spacing w:val="15"/>
          <w:kern w:val="0"/>
          <w:szCs w:val="21"/>
          <w:highlight w:val="none"/>
        </w:rPr>
        <w:t>声明企业：                               年    月  日</w:t>
      </w:r>
    </w:p>
    <w:p w14:paraId="0668F556">
      <w:pPr>
        <w:pStyle w:val="7"/>
        <w:ind w:right="1449" w:firstLineChars="262"/>
        <w:rPr>
          <w:rFonts w:hint="eastAsia" w:ascii="宋体" w:hAnsi="宋体" w:eastAsia="宋体" w:cs="宋体"/>
          <w:color w:val="000000"/>
          <w:spacing w:val="15"/>
          <w:sz w:val="21"/>
          <w:szCs w:val="21"/>
          <w:highlight w:val="none"/>
        </w:rPr>
      </w:pPr>
      <w:r>
        <w:rPr>
          <w:rFonts w:hint="eastAsia" w:ascii="宋体" w:hAnsi="宋体" w:eastAsia="宋体" w:cs="宋体"/>
          <w:color w:val="000000"/>
          <w:spacing w:val="15"/>
          <w:sz w:val="21"/>
          <w:szCs w:val="21"/>
          <w:highlight w:val="none"/>
        </w:rPr>
        <w:t>法定代表人签字：             (企业公章)</w:t>
      </w:r>
    </w:p>
    <w:p w14:paraId="1D60A6A6">
      <w:pPr>
        <w:pStyle w:val="7"/>
        <w:ind w:right="1449" w:firstLineChars="262"/>
        <w:rPr>
          <w:rFonts w:hint="eastAsia" w:ascii="宋体" w:hAnsi="宋体" w:eastAsia="宋体" w:cs="宋体"/>
          <w:color w:val="000000"/>
          <w:spacing w:val="15"/>
          <w:sz w:val="21"/>
          <w:szCs w:val="21"/>
          <w:highlight w:val="none"/>
        </w:rPr>
      </w:pPr>
    </w:p>
    <w:p w14:paraId="6641E6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ODBkNmNmYWRlNzhkOTU4ZWM4MmU1NmRhMjg0ODIifQ=="/>
  </w:docVars>
  <w:rsids>
    <w:rsidRoot w:val="17B33D70"/>
    <w:rsid w:val="17B33D70"/>
    <w:rsid w:val="27A6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
    <w:basedOn w:val="3"/>
    <w:uiPriority w:val="0"/>
    <w:pPr>
      <w:spacing w:after="120" w:afterLines="0" w:line="240" w:lineRule="auto"/>
      <w:ind w:left="200" w:leftChars="200" w:firstLine="200" w:firstLineChars="200"/>
    </w:pPr>
    <w:rPr>
      <w:rFonts w:ascii="Calibri" w:hAnsi="Calibri"/>
      <w:kern w:val="2"/>
      <w:sz w:val="21"/>
      <w:szCs w:val="24"/>
    </w:rPr>
  </w:style>
  <w:style w:type="paragraph" w:customStyle="1" w:styleId="3">
    <w:name w:val="Body Text Indent"/>
    <w:basedOn w:val="1"/>
    <w:next w:val="4"/>
    <w:qFormat/>
    <w:uiPriority w:val="0"/>
    <w:pPr>
      <w:ind w:firstLine="570"/>
    </w:pPr>
    <w:rPr>
      <w:rFonts w:ascii="Times New Roman" w:hAnsi="Times New Roman"/>
      <w:kern w:val="0"/>
      <w:sz w:val="28"/>
      <w:szCs w:val="20"/>
    </w:rPr>
  </w:style>
  <w:style w:type="paragraph" w:customStyle="1" w:styleId="4">
    <w:name w:val="envelope return"/>
    <w:basedOn w:val="1"/>
    <w:qFormat/>
    <w:uiPriority w:val="0"/>
    <w:pPr>
      <w:snapToGrid w:val="0"/>
    </w:pPr>
    <w:rPr>
      <w:rFonts w:ascii="Arial" w:hAnsi="Arial" w:eastAsia="宋体" w:cs="Times New Roman"/>
      <w:szCs w:val="24"/>
    </w:r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2024-10-28T08:58:00Z</dcterms:created>
  <dc:creator>gts</dc:creator>
  <cp:lastModifiedBy>gts</cp:lastModifiedBy>
  <dcterms:modified xsi:type="dcterms:W3CDTF">2024-10-28T09:00:03Z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2CB919A7BA1A4143935634156B01D610_11</vt:lpwstr>
  </property>
</Properties>
</file>