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48" w:beforeLines="20" w:after="48" w:afterLines="20" w:line="360" w:lineRule="auto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</w:pPr>
      <w:bookmarkStart w:id="0" w:name="_Toc25411"/>
      <w:bookmarkStart w:id="1" w:name="_Toc11850343"/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  <w:t>附件2</w:t>
      </w:r>
    </w:p>
    <w:p>
      <w:pPr>
        <w:keepNext/>
        <w:keepLines/>
        <w:widowControl w:val="0"/>
        <w:spacing w:before="48" w:beforeLines="20" w:after="48" w:afterLines="20"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  <w:t>评标细则（综合评估法）</w:t>
      </w:r>
      <w:bookmarkEnd w:id="0"/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30"/>
        <w:gridCol w:w="537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9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序号</w:t>
            </w:r>
          </w:p>
        </w:tc>
        <w:tc>
          <w:tcPr>
            <w:tcW w:w="123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评审因素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评审标准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人员架构（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项目负责人：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具有工程类高级或以上职称的，得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 xml:space="preserve">分； 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具有中级（或以上）招采人员专业技术能力评价证书得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分。（须同时提供国家级协会颁发的证书及该协会在“中国社会组织政务服务平台”网站的登记信息查询结果网页打印件，否则不予计分。）本项最高得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配备人员（项目负责人除外）：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拟投入的人员中配备工程类中级或以上职称的，每配备1名得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10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②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除第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点拟投入的人员外，拟投入的人员中配备有效的注册造价工程师或一级注册造价工程师，每配备1名得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分。本项最高得15分。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投标报价（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有效报价下浮率为0-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0%，超出有效报价范围的报价不参与计算报价基准价。取所有入围有效报价的算术平均值作为报价基准价（保留小数点后二位，第三位小数四舍五入）。以评标基准价作为计算各有效投标价得分的基础，当有效投标报价等于评标基准价时得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分；其余有效报价与评标基准价相比，每高1%的扣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分，每低1%的扣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分，最多扣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实施方案（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招标代理实施方案能根据建设项目的服务需求做出深入分析，思路清晰，实施步骤明晰，措施完善、可行，人员和设备配置齐全，对实施过程有规范的管理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，时效性强，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16-20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  <w:bookmarkStart w:id="2" w:name="_GoBack"/>
            <w:bookmarkEnd w:id="2"/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实施方案基本可行，完善性、针对性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等相对较好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11-15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有实施方案，但方案欠完善性、针对性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不强，得（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未提供方案，得0分。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100分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</w:tbl>
    <w:p>
      <w:pPr>
        <w:spacing w:after="200" w:line="276" w:lineRule="auto"/>
        <w:jc w:val="left"/>
        <w:rPr>
          <w:rFonts w:ascii="Times New Roman" w:hAnsi="Times New Roman" w:eastAsia="宋体" w:cs="Times New Roman"/>
          <w:szCs w:val="22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YjJjZWYwYWVhMGU0ZmE5NTk4MDUzNTYwMjA5NjkifQ=="/>
  </w:docVars>
  <w:rsids>
    <w:rsidRoot w:val="1CBE3C76"/>
    <w:rsid w:val="1CBE3C76"/>
    <w:rsid w:val="39E16504"/>
    <w:rsid w:val="6AF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2024-03-28T06:42:00Z</dcterms:created>
  <dc:creator>Administrator</dc:creator>
  <cp:lastModifiedBy>启良</cp:lastModifiedBy>
  <dcterms:modified xsi:type="dcterms:W3CDTF">2024-05-06T06:37:59Z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FB2C8E70416842DC90134D88888553D7_13</vt:lpwstr>
  </property>
</Properties>
</file>