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48" w:beforeLines="20" w:after="48" w:afterLines="20" w:line="360" w:lineRule="auto"/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en-US" w:eastAsia="zh-CN" w:bidi="ar-SA"/>
          <w14:ligatures w14:val="none"/>
        </w:rPr>
      </w:pPr>
      <w:bookmarkStart w:id="0" w:name="_Toc11850343"/>
      <w:bookmarkStart w:id="1" w:name="_Toc25411"/>
      <w:r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en-US" w:eastAsia="zh-CN" w:bidi="ar-SA"/>
          <w14:ligatures w14:val="none"/>
        </w:rPr>
        <w:t>附件2</w:t>
      </w:r>
    </w:p>
    <w:p>
      <w:pPr>
        <w:keepNext/>
        <w:keepLines/>
        <w:widowControl w:val="0"/>
        <w:spacing w:before="48" w:beforeLines="20" w:after="48" w:afterLines="20" w:line="360" w:lineRule="auto"/>
        <w:jc w:val="center"/>
        <w:outlineLvl w:val="0"/>
        <w:rPr>
          <w:rFonts w:hint="eastAsia" w:ascii="宋体" w:hAnsi="宋体" w:eastAsia="宋体" w:cs="Times New Roman"/>
          <w:b/>
          <w:bCs/>
          <w:color w:val="auto"/>
          <w:kern w:val="44"/>
          <w:sz w:val="44"/>
          <w:szCs w:val="44"/>
          <w:highlight w:val="none"/>
          <w:lang w:val="en-US" w:eastAsia="zh-CN" w:bidi="ar-SA"/>
          <w14:ligatures w14:val="none"/>
        </w:rPr>
      </w:pPr>
      <w:r>
        <w:rPr>
          <w:rFonts w:hint="eastAsia" w:ascii="宋体" w:hAnsi="宋体" w:eastAsia="宋体" w:cs="Times New Roman"/>
          <w:b/>
          <w:bCs/>
          <w:color w:val="auto"/>
          <w:kern w:val="44"/>
          <w:sz w:val="44"/>
          <w:szCs w:val="44"/>
          <w:highlight w:val="none"/>
          <w:lang w:val="en-US" w:eastAsia="zh-CN" w:bidi="ar-SA"/>
          <w14:ligatures w14:val="none"/>
        </w:rPr>
        <w:t>评标细则（综合评估法）</w:t>
      </w:r>
      <w:bookmarkEnd w:id="0"/>
      <w:bookmarkEnd w:id="1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30"/>
        <w:gridCol w:w="5370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9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序号</w:t>
            </w:r>
          </w:p>
        </w:tc>
        <w:tc>
          <w:tcPr>
            <w:tcW w:w="1230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评审因素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评审标准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人员架构（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30分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项目负责人：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  <w14:ligatures w14:val="none"/>
              </w:rPr>
              <w:t>①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具有工程类高级或以上职称的，得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  <w14:ligatures w14:val="none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 xml:space="preserve">分； 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  <w14:ligatures w14:val="none"/>
              </w:rPr>
              <w:t>②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具有中级（或以上）招采人员专业技术能力评价证书得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  <w14:ligatures w14:val="none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分。（须同时提供国家级协会颁发的证书及该协会在“中国社会组织政务服务平台”网站的登记信息查询结果网页打印件，否则不予计分。）本项最高得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  <w14:ligatures w14:val="none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配备人员（项目负责人除外）：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①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拟投入的人员中配备工程类中级或以上职称的，每配备1名得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分，最多得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10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②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除第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①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点拟投入的人员外，拟投入的人员中配备有效的注册造价工程师或一级注册造价工程师，每配备1名得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分，最多得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分。本项最高得15分。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投标报价（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50分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有效报价下浮率为0-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0%，超出有效报价范围的报价不参与计算报价基准价。取所有入围有效报价的算术平均值作为报价基准价（保留小数点后二位，第三位小数四舍五入）。以评标基准价作为计算各有效投标价得分的基础，当有效投标报价等于评标基准价时得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50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分；其余有效报价与评标基准价相比，每高1%的扣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分，每低1%的扣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分，最多扣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50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分。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实施方案（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20分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both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①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招标代理实施方案能根据建设项目的服务需求做出深入分析，思路清晰，实施步骤明晰，措施完善、可行，人员和设备配置齐全，对实施过程有规范的管理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，时效性强，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得（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16-20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</w:t>
            </w:r>
          </w:p>
          <w:p>
            <w:pPr>
              <w:spacing w:after="200" w:line="276" w:lineRule="auto"/>
              <w:jc w:val="both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②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实施方案基本可行，完善性、针对性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、时效性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等相对较好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得（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11-15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</w:t>
            </w:r>
          </w:p>
          <w:p>
            <w:pPr>
              <w:spacing w:after="200" w:line="276" w:lineRule="auto"/>
              <w:jc w:val="both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③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有实施方案，但方案欠完善性、针对性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、时效性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不强，得（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10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未提供方案，得0分。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合计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100分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</w:tbl>
    <w:p>
      <w:pPr>
        <w:spacing w:after="200" w:line="276" w:lineRule="auto"/>
        <w:jc w:val="left"/>
        <w:rPr>
          <w:rFonts w:ascii="Times New Roman" w:hAnsi="Times New Roman" w:eastAsia="宋体" w:cs="Times New Roman"/>
          <w:szCs w:val="22"/>
          <w14:ligatures w14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YjJjZWYwYWVhMGU0ZmE5NTk4MDUzNTYwMjA5NjkifQ=="/>
  </w:docVars>
  <w:rsids>
    <w:rsidRoot w:val="1CBE3C76"/>
    <w:rsid w:val="1CBE3C76"/>
    <w:rsid w:val="6AF5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2024-03-28T06:42:00Z</dcterms:created>
  <dc:creator>Administrator</dc:creator>
  <cp:lastModifiedBy>WPS_1628753304</cp:lastModifiedBy>
  <dcterms:modified xsi:type="dcterms:W3CDTF">2024-04-12T04:16:29Z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03E998D3C6894FAB89594EFF0DD851DA_12</vt:lpwstr>
  </property>
</Properties>
</file>