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48" w:beforeLines="20" w:after="48" w:afterLines="20" w:line="360" w:lineRule="auto"/>
        <w:jc w:val="left"/>
        <w:outlineLvl w:val="0"/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</w:pPr>
      <w:bookmarkStart w:id="0" w:name="_Toc11850343"/>
      <w:bookmarkStart w:id="1" w:name="_Toc25411"/>
      <w:r>
        <w:rPr>
          <w:rFonts w:hint="eastAsia" w:ascii="黑体" w:hAnsi="黑体" w:eastAsia="黑体" w:cs="黑体"/>
          <w:b w:val="0"/>
          <w:bCs w:val="0"/>
          <w:color w:val="auto"/>
          <w:kern w:val="44"/>
          <w:sz w:val="32"/>
          <w:szCs w:val="32"/>
          <w:highlight w:val="none"/>
          <w:lang w:val="en-US" w:eastAsia="zh-CN" w:bidi="ar-SA"/>
          <w14:ligatures w14:val="none"/>
        </w:rPr>
        <w:t>附件2</w:t>
      </w:r>
    </w:p>
    <w:p>
      <w:pPr>
        <w:keepNext/>
        <w:keepLines/>
        <w:widowControl w:val="0"/>
        <w:spacing w:before="48" w:beforeLines="20" w:after="48" w:afterLines="20" w:line="360" w:lineRule="auto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</w:pPr>
      <w:r>
        <w:rPr>
          <w:rFonts w:hint="eastAsia" w:ascii="宋体" w:hAnsi="宋体" w:eastAsia="宋体" w:cs="Times New Roman"/>
          <w:b/>
          <w:bCs/>
          <w:color w:val="auto"/>
          <w:kern w:val="44"/>
          <w:sz w:val="44"/>
          <w:szCs w:val="44"/>
          <w:highlight w:val="none"/>
          <w:lang w:val="en-US" w:eastAsia="zh-CN" w:bidi="ar-SA"/>
          <w14:ligatures w14:val="none"/>
        </w:rPr>
        <w:t>评标细则（综合评估法）</w:t>
      </w:r>
      <w:bookmarkEnd w:id="0"/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30"/>
        <w:gridCol w:w="5370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9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序号</w:t>
            </w:r>
          </w:p>
        </w:tc>
        <w:tc>
          <w:tcPr>
            <w:tcW w:w="123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评审因素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评审标准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2"/>
                <w:vertAlign w:val="baseline"/>
                <w:lang w:eastAsia="zh-CN"/>
                <w14:ligatures w14:val="none"/>
              </w:rPr>
              <w:t>评审得分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人员架构（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50分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项目负责人：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具有工程类高级或以上职称的，得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 xml:space="preserve">分； 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具有中级（或以上）招采人员专业技术能力评价证书得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分。（须同时提供国家级协会颁发的证书及该协会在“中国社会组织政务服务平台”网站的登记信息查询结果网页打印件，否则不予计分。）本项最高得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2"/>
                <w14:ligatures w14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</w:pP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配备人员（项目负责人除外）：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拟投入的人员中配备工程类中级或以上职称的，每配备1名得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20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分；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②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除第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①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点拟投入的人员外，拟投入的人员中配备有效的注册造价工程师或一级注册造价工程师，每配备1名得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5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分，最多得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10</w:t>
            </w:r>
            <w:r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vertAlign w:val="baseline"/>
                <w:lang w:val="en-US" w:eastAsia="zh-CN" w:bidi="ar-SA"/>
                <w14:ligatures w14:val="none"/>
              </w:rPr>
              <w:t>分。本项最高得30分。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投标报价（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35分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有效报价下浮率为0-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0%，超出有效报价范围的报价不参与计算报价基准价。取所有入围有效报价的算术平均值作为报价基准价（保留小数点后二位，第三位小数四舍五入）。以评标基准价作为计算各有效投标价得分的基础，当有效投标报价等于评标基准价时得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分；其余有效报价与评标基准价相比，每高1%的扣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分，每低1%的扣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分，最多扣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实施方案（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15分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①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招标代理实施方案能根据建设项目的服务需求做出深入分析，思路清晰，实施步骤明晰，措施完善、可行，人员和设备配置齐全，对实施过程有规范的管理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，时效性强，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②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实施方案基本可行，完善性、针对性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等相对较好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6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③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有实施方案，但方案欠完善性、针对性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、时效性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不强，得（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）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分；</w:t>
            </w:r>
          </w:p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④</w:t>
            </w: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14:ligatures w14:val="none"/>
              </w:rPr>
              <w:t>未提供方案，得0分。</w:t>
            </w: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99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eastAsia="zh-CN"/>
                <w14:ligatures w14:val="none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vertAlign w:val="baseline"/>
                <w:lang w:val="en-US" w:eastAsia="zh-CN"/>
                <w14:ligatures w14:val="none"/>
              </w:rPr>
              <w:t>100分</w:t>
            </w:r>
          </w:p>
        </w:tc>
        <w:tc>
          <w:tcPr>
            <w:tcW w:w="5370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  <w:tc>
          <w:tcPr>
            <w:tcW w:w="1223" w:type="dxa"/>
          </w:tcPr>
          <w:p>
            <w:pPr>
              <w:spacing w:after="200" w:line="276" w:lineRule="auto"/>
              <w:jc w:val="both"/>
              <w:rPr>
                <w:rFonts w:ascii="Times New Roman" w:hAnsi="Times New Roman" w:eastAsia="宋体" w:cs="Times New Roman"/>
                <w:szCs w:val="22"/>
                <w:vertAlign w:val="baseline"/>
                <w14:ligatures w14:val="none"/>
              </w:rPr>
            </w:pPr>
          </w:p>
        </w:tc>
      </w:tr>
    </w:tbl>
    <w:p>
      <w:pPr>
        <w:spacing w:after="200" w:line="276" w:lineRule="auto"/>
        <w:jc w:val="left"/>
        <w:rPr>
          <w:rFonts w:ascii="Times New Roman" w:hAnsi="Times New Roman" w:eastAsia="宋体" w:cs="Times New Roman"/>
          <w:szCs w:val="22"/>
          <w14:ligatures w14:val="none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E3C76"/>
    <w:rsid w:val="1CB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2024-03-28T06:42:00Z</dcterms:created>
  <dc:creator>Administrator</dc:creator>
  <cp:lastModifiedBy>Administrator</cp:lastModifiedBy>
  <dcterms:modified xsi:type="dcterms:W3CDTF">2024-03-28T06:46:06Z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