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附件 2</w:t>
      </w:r>
      <w:r>
        <w:rPr>
          <w:rFonts w:hint="eastAsia" w:ascii="宋体" w:hAnsi="宋体" w:eastAsia="宋体" w:cs="宋体"/>
          <w:b/>
          <w:bCs w:val="0"/>
          <w:color w:val="auto"/>
          <w:kern w:val="0"/>
          <w:sz w:val="24"/>
          <w:highlight w:val="none"/>
          <w:lang w:val="en-US" w:eastAsia="zh-CN"/>
        </w:rPr>
        <w:tab/>
      </w:r>
      <w:r>
        <w:rPr>
          <w:rFonts w:hint="eastAsia" w:ascii="宋体" w:hAnsi="宋体" w:eastAsia="宋体" w:cs="宋体"/>
          <w:b/>
          <w:bCs w:val="0"/>
          <w:color w:val="auto"/>
          <w:kern w:val="0"/>
          <w:sz w:val="24"/>
          <w:highlight w:val="none"/>
          <w:lang w:val="en-US" w:eastAsia="zh-CN"/>
        </w:rPr>
        <w:t>评标办法</w:t>
      </w:r>
    </w:p>
    <w:p>
      <w:pPr>
        <w:pStyle w:val="3"/>
        <w:jc w:val="center"/>
        <w:rPr>
          <w:rFonts w:hint="eastAsia" w:ascii="宋体" w:hAnsi="宋体" w:eastAsia="宋体" w:cs="宋体"/>
          <w:color w:val="auto"/>
          <w:highlight w:val="none"/>
        </w:rPr>
      </w:pPr>
      <w:r>
        <w:rPr>
          <w:rFonts w:hint="eastAsia" w:ascii="宋体" w:hAnsi="宋体" w:eastAsia="宋体" w:cs="宋体"/>
          <w:color w:val="auto"/>
          <w:highlight w:val="none"/>
        </w:rPr>
        <w:t>评标办法（</w:t>
      </w:r>
      <w:r>
        <w:rPr>
          <w:rFonts w:hint="eastAsia" w:ascii="宋体" w:hAnsi="宋体" w:eastAsia="宋体" w:cs="宋体"/>
          <w:b/>
          <w:bCs w:val="0"/>
          <w:color w:val="auto"/>
          <w:highlight w:val="none"/>
        </w:rPr>
        <w:t>双信封的技术评分最低标价法</w:t>
      </w:r>
      <w:r>
        <w:rPr>
          <w:rFonts w:hint="eastAsia" w:ascii="宋体" w:hAnsi="宋体" w:eastAsia="宋体" w:cs="宋体"/>
          <w:color w:val="auto"/>
          <w:highlight w:val="none"/>
        </w:rPr>
        <w:t>）</w:t>
      </w:r>
    </w:p>
    <w:p>
      <w:pPr>
        <w:outlineLvl w:val="1"/>
        <w:rPr>
          <w:rFonts w:hint="eastAsia" w:ascii="宋体" w:hAnsi="宋体" w:eastAsia="宋体" w:cs="宋体"/>
          <w:color w:val="auto"/>
          <w:sz w:val="28"/>
          <w:szCs w:val="28"/>
          <w:highlight w:val="none"/>
        </w:rPr>
      </w:pPr>
      <w:bookmarkStart w:id="0" w:name="_Toc15257"/>
      <w:bookmarkStart w:id="1" w:name="_Toc27781"/>
      <w:bookmarkStart w:id="2" w:name="_Toc4493"/>
      <w:r>
        <w:rPr>
          <w:rFonts w:hint="eastAsia" w:ascii="宋体" w:hAnsi="宋体" w:eastAsia="宋体" w:cs="宋体"/>
          <w:color w:val="auto"/>
          <w:sz w:val="28"/>
          <w:szCs w:val="28"/>
          <w:highlight w:val="none"/>
        </w:rPr>
        <w:t>评标办法前附表</w:t>
      </w:r>
      <w:bookmarkEnd w:id="0"/>
      <w:bookmarkEnd w:id="1"/>
      <w:bookmarkEnd w:id="2"/>
    </w:p>
    <w:tbl>
      <w:tblPr>
        <w:tblStyle w:val="8"/>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13"/>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3" w:type="dxa"/>
            <w:gridSpan w:val="2"/>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条款号</w:t>
            </w:r>
          </w:p>
        </w:tc>
        <w:tc>
          <w:tcPr>
            <w:tcW w:w="7642" w:type="dxa"/>
            <w:noWrap w:val="0"/>
            <w:vAlign w:val="center"/>
          </w:tcPr>
          <w:p>
            <w:pPr>
              <w:autoSpaceDE w:val="0"/>
              <w:autoSpaceDN w:val="0"/>
              <w:adjustRightIn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w w:val="86"/>
                <w:kern w:val="0"/>
                <w:sz w:val="21"/>
                <w:szCs w:val="21"/>
                <w:highlight w:val="none"/>
              </w:rPr>
              <w:t>1</w:t>
            </w:r>
          </w:p>
        </w:tc>
        <w:tc>
          <w:tcPr>
            <w:tcW w:w="1213" w:type="dxa"/>
            <w:noWrap w:val="0"/>
            <w:vAlign w:val="center"/>
          </w:tcPr>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评标方法</w:t>
            </w:r>
          </w:p>
        </w:tc>
        <w:tc>
          <w:tcPr>
            <w:tcW w:w="7642" w:type="dxa"/>
            <w:noWrap w:val="0"/>
            <w:vAlign w:val="center"/>
          </w:tcPr>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评标价相等时，评标委员会依次按照以下优先顺序推荐中标候选人或确定中标人：</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招标文件规定被认定为最新年度广东省公路工程从业单位信用评价等级较高的投标人优先；【采用如下的优先顺序：承诺使用的AA级投标人、不承诺使用的AA级投标人、承诺使用的A级投标人、不承诺使用的A级投标人、B级投标人、未参评且被确定为B级投标人】</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(2)以投标人企业最新年度净资产较高的优先；</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(3)评标委员会视投标人情况综合比较，投票确定其名次。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10" w:type="dxa"/>
            <w:noWrap w:val="0"/>
            <w:vAlign w:val="center"/>
          </w:tcPr>
          <w:p>
            <w:pPr>
              <w:autoSpaceDE w:val="0"/>
              <w:autoSpaceDN w:val="0"/>
              <w:adjustRightIn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2.1.1</w:t>
            </w:r>
          </w:p>
          <w:p>
            <w:pPr>
              <w:autoSpaceDE w:val="0"/>
              <w:autoSpaceDN w:val="0"/>
              <w:adjustRightIn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2.1.3</w:t>
            </w:r>
          </w:p>
        </w:tc>
        <w:tc>
          <w:tcPr>
            <w:tcW w:w="1213" w:type="dxa"/>
            <w:noWrap w:val="0"/>
            <w:vAlign w:val="bottom"/>
          </w:tcPr>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形式评审与响应性评审标准</w:t>
            </w: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autoSpaceDE w:val="0"/>
              <w:autoSpaceDN w:val="0"/>
              <w:adjustRightInd w:val="0"/>
              <w:spacing w:line="360" w:lineRule="auto"/>
              <w:rPr>
                <w:rFonts w:hint="eastAsia" w:ascii="宋体" w:hAnsi="宋体" w:eastAsia="宋体" w:cs="宋体"/>
                <w:color w:val="auto"/>
                <w:kern w:val="0"/>
                <w:sz w:val="21"/>
                <w:szCs w:val="21"/>
                <w:highlight w:val="none"/>
              </w:rPr>
            </w:pPr>
          </w:p>
        </w:tc>
        <w:tc>
          <w:tcPr>
            <w:tcW w:w="7642" w:type="dxa"/>
            <w:noWrap w:val="0"/>
            <w:vAlign w:val="top"/>
          </w:tcPr>
          <w:p>
            <w:pPr>
              <w:autoSpaceDE w:val="0"/>
              <w:autoSpaceDN w:val="0"/>
              <w:adjustRightInd w:val="0"/>
              <w:spacing w:line="360" w:lineRule="auto"/>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第一个信封（商务及技术文件）评审标准：</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w:t>
            </w:r>
            <w:r>
              <w:rPr>
                <w:rFonts w:hint="eastAsia" w:ascii="宋体" w:hAnsi="宋体" w:eastAsia="宋体" w:cs="宋体"/>
                <w:color w:val="auto"/>
                <w:sz w:val="21"/>
                <w:szCs w:val="21"/>
                <w:highlight w:val="none"/>
                <w:lang w:val="zh-CN"/>
              </w:rPr>
              <w:t>文件</w:t>
            </w:r>
            <w:r>
              <w:rPr>
                <w:rFonts w:hint="eastAsia" w:ascii="宋体" w:hAnsi="宋体" w:eastAsia="宋体" w:cs="宋体"/>
                <w:color w:val="auto"/>
                <w:sz w:val="21"/>
                <w:szCs w:val="21"/>
                <w:highlight w:val="none"/>
              </w:rPr>
              <w:t>按照招标文件规定的格式、内容填写，字迹清晰可辨：</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a.投标函按招标文件规定填报了项目名称、标段号（如有)、补遗书编号（如有)、工期、工程质量要求及安全目标；</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b.投标函附录的所有数据均符合招标文件规定；</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c.投标文件组成齐全完整，内容均按规定填写。</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（2）投标文件上法定代表人或其委托代理人的签字</w:t>
            </w:r>
            <w:r>
              <w:rPr>
                <w:rFonts w:hint="eastAsia" w:ascii="宋体" w:hAnsi="宋体" w:eastAsia="宋体" w:cs="宋体"/>
                <w:color w:val="auto"/>
                <w:sz w:val="21"/>
                <w:szCs w:val="21"/>
                <w:highlight w:val="none"/>
                <w:lang w:val="en-US" w:eastAsia="zh-CN"/>
              </w:rPr>
              <w:t>字</w:t>
            </w:r>
            <w:r>
              <w:rPr>
                <w:rFonts w:hint="eastAsia" w:ascii="宋体" w:hAnsi="宋体" w:eastAsia="宋体" w:cs="宋体"/>
                <w:color w:val="auto"/>
                <w:sz w:val="21"/>
                <w:szCs w:val="21"/>
                <w:highlight w:val="none"/>
              </w:rPr>
              <w:t>、投标人的单位章盖章齐全，符合招标文件规定。</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）投标人法定代表人授权委托代理人签署投标文件的，需提交授权委托书，且授权人和被授权人均在授权委托书上签名，未使用印章、签名章或其他电子制版签名代替。</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）投标人未以联合体形式进行投标。</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）投标人如有分包计划，符合招标文件第二章“投标人须知”第1.11款规定，且按招标文件第九章“投标文件格式”的要求填写了“拟分包项目情况表”。</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）同一投标人未提交两个以上不同的投标文件，但招标文件要求提交备选投标的除外。</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）投标文件中未出现有关投标报价的内容。</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）投标文件载明的招标项目完成期限未超过招标文件规定的时限。</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）投标文件对招标文件的实质性要求和条件作出响应。</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）权利义务符合招标文件规定：</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a.投标人应接受招标文件规定的风险划分原则，未提出新的风险划分办法；</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b.投标人未增加发包人的责任范围，或减少投标人义务；</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c.投标人未提出不同的工程验收、计量、支付办法；</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d.投标人对合同纠纷、事故处理办法未提出异议；</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e.投标人在投标活动中无欺诈行为；</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f.投标人未对合同条款有重要保留。</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）投标文件未附有招标人不能接受的条件。</w:t>
            </w:r>
          </w:p>
          <w:p>
            <w:pPr>
              <w:widowControl/>
              <w:spacing w:line="360" w:lineRule="auto"/>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第二个信封（报价文件）评审标准：</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（1）投标文件按照招标文件规定的格式、内容填写，字迹清晰可辩：</w:t>
            </w:r>
          </w:p>
          <w:p>
            <w:pPr>
              <w:widowControl/>
              <w:spacing w:line="36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rPr>
              <w:t>a.</w:t>
            </w:r>
            <w:r>
              <w:rPr>
                <w:rFonts w:hint="eastAsia" w:ascii="宋体" w:hAnsi="宋体" w:eastAsia="宋体" w:cs="宋体"/>
                <w:color w:val="auto"/>
                <w:kern w:val="0"/>
                <w:sz w:val="21"/>
                <w:szCs w:val="21"/>
                <w:highlight w:val="none"/>
                <w:lang w:val="zh-CN"/>
              </w:rPr>
              <w:t>投标函按招标文件规定填报了项目名称、标段号（如有)、补遗书编号（如有)、投标总报价(包括大写金额和小写金额)；</w:t>
            </w:r>
          </w:p>
          <w:p>
            <w:pPr>
              <w:widowControl/>
              <w:spacing w:line="36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b.已标价工程量清单说明文字与招标文件规定一致，未进行实质性修改和删减；</w:t>
            </w:r>
          </w:p>
          <w:p>
            <w:pPr>
              <w:widowControl/>
              <w:spacing w:line="36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c.投标文件组成齐全完整，内容均按规定填写。</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（2）投标文</w:t>
            </w:r>
            <w:r>
              <w:rPr>
                <w:rFonts w:hint="eastAsia" w:ascii="宋体" w:hAnsi="宋体" w:eastAsia="宋体" w:cs="宋体"/>
                <w:color w:val="auto"/>
                <w:kern w:val="0"/>
                <w:sz w:val="21"/>
                <w:szCs w:val="21"/>
                <w:highlight w:val="none"/>
              </w:rPr>
              <w:t>件上法定代表人或其委托代理人的签字、投标人的单位章盖章齐全，符合招标文件规定。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（3）投标总报价或调价函中的报价未超过招标文件设定的最高投标限价(如有)及最高评标限价(如有)。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（4）投标报价或调价函中报价的大写金额能够确定具体数值。</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（5）同一投标人未提交两个以上不同的投标报价，但招标文件要求提交备选投标的除外。</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（6）投标人若提交调价函，调价函符合招标文件第二章“投标人须知”第3.2.6项要求。</w:t>
            </w:r>
          </w:p>
          <w:p>
            <w:pPr>
              <w:widowControl/>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w:t>
            </w:r>
            <w:r>
              <w:rPr>
                <w:rFonts w:hint="eastAsia" w:ascii="宋体" w:hAnsi="宋体" w:eastAsia="宋体" w:cs="宋体"/>
                <w:color w:val="auto"/>
                <w:kern w:val="0"/>
                <w:sz w:val="21"/>
                <w:szCs w:val="21"/>
                <w:highlight w:val="none"/>
                <w:lang w:val="zh-CN"/>
              </w:rPr>
              <w:t>投标人若填写工程量固化清单，填写完毕的工程量固化清单未对工程量固化清单电子文件中的数据、格式和运算定义进行修改；工程量固化清单中的投标报价和投标函大写金额报价一致。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2.1.2</w:t>
            </w:r>
          </w:p>
          <w:p>
            <w:pPr>
              <w:autoSpaceDE w:val="0"/>
              <w:autoSpaceDN w:val="0"/>
              <w:adjustRightInd w:val="0"/>
              <w:spacing w:line="360" w:lineRule="auto"/>
              <w:jc w:val="center"/>
              <w:rPr>
                <w:rFonts w:hint="eastAsia" w:ascii="宋体" w:hAnsi="宋体" w:eastAsia="宋体" w:cs="宋体"/>
                <w:color w:val="auto"/>
                <w:kern w:val="0"/>
                <w:sz w:val="21"/>
                <w:szCs w:val="21"/>
                <w:highlight w:val="none"/>
              </w:rPr>
            </w:pPr>
          </w:p>
        </w:tc>
        <w:tc>
          <w:tcPr>
            <w:tcW w:w="1213"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资格评审标准</w:t>
            </w:r>
          </w:p>
        </w:tc>
        <w:tc>
          <w:tcPr>
            <w:tcW w:w="7642" w:type="dxa"/>
            <w:noWrap w:val="0"/>
            <w:vAlign w:val="top"/>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投标人具备有效的营业执照、资质证书、安全生产许可证和基本账户开户许可证(如企业所在地已取消企业银行账户许可而无法提供开户许可证的，则需附上开户银行出具的“基本存款账户信息”或“人民银行账户管理系统查询的基本账户信息截图”)；</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（2）投标人的资质等级符合招标文件规定；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（3）投标人的财务状况符合招标文件规定；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投标人的类似项目业绩符合招标文件规定；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）投标人的信誉符合招标文件规定；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）投标人的项目经理和项目总工资格、在岗情况符合招标文件规定，并按规定在投标文件中签字确认</w:t>
            </w:r>
            <w:r>
              <w:rPr>
                <w:rFonts w:hint="eastAsia" w:ascii="宋体" w:hAnsi="宋体" w:eastAsia="宋体" w:cs="宋体"/>
                <w:color w:val="auto"/>
                <w:kern w:val="0"/>
                <w:sz w:val="21"/>
                <w:szCs w:val="21"/>
                <w:highlight w:val="none"/>
                <w:lang w:val="en-US" w:eastAsia="zh-CN"/>
              </w:rPr>
              <w:t>；</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）投标人不存在第二章“投标人须知”第1.4.3项或第1.4.4项规定的任何一种情形；</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）投标人符合第二章“投标人须知”第1.4.5项规定；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810"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2.2.1</w:t>
            </w:r>
          </w:p>
        </w:tc>
        <w:tc>
          <w:tcPr>
            <w:tcW w:w="1213" w:type="dxa"/>
            <w:noWrap w:val="0"/>
            <w:vAlign w:val="top"/>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第一个信封评分分值构成</w:t>
            </w:r>
          </w:p>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(总分100分）</w:t>
            </w:r>
          </w:p>
        </w:tc>
        <w:tc>
          <w:tcPr>
            <w:tcW w:w="7642" w:type="dxa"/>
            <w:noWrap w:val="0"/>
            <w:vAlign w:val="center"/>
          </w:tcPr>
          <w:p>
            <w:pPr>
              <w:widowControl/>
              <w:spacing w:line="360" w:lineRule="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施工组织设计（A）：</w:t>
            </w:r>
            <w:r>
              <w:rPr>
                <w:rFonts w:hint="eastAsia" w:ascii="宋体" w:hAnsi="宋体" w:eastAsia="宋体" w:cs="宋体"/>
                <w:color w:val="auto"/>
                <w:sz w:val="21"/>
                <w:szCs w:val="21"/>
                <w:highlight w:val="none"/>
                <w:u w:val="single"/>
                <w:lang w:val="en-US" w:eastAsia="zh-CN" w:bidi="ar"/>
              </w:rPr>
              <w:t>40</w:t>
            </w:r>
            <w:r>
              <w:rPr>
                <w:rFonts w:hint="eastAsia" w:ascii="宋体" w:hAnsi="宋体" w:eastAsia="宋体" w:cs="宋体"/>
                <w:color w:val="auto"/>
                <w:sz w:val="21"/>
                <w:szCs w:val="21"/>
                <w:highlight w:val="none"/>
                <w:lang w:bidi="ar"/>
              </w:rPr>
              <w:t>分</w:t>
            </w:r>
          </w:p>
          <w:p>
            <w:pPr>
              <w:widowControl/>
              <w:spacing w:line="360" w:lineRule="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主要人员（B）：</w:t>
            </w:r>
            <w:r>
              <w:rPr>
                <w:rFonts w:hint="eastAsia" w:ascii="宋体" w:hAnsi="宋体" w:eastAsia="宋体" w:cs="宋体"/>
                <w:color w:val="auto"/>
                <w:sz w:val="21"/>
                <w:szCs w:val="21"/>
                <w:highlight w:val="none"/>
                <w:u w:val="single"/>
                <w:lang w:val="en-US" w:eastAsia="zh-CN" w:bidi="ar"/>
              </w:rPr>
              <w:t>25</w:t>
            </w:r>
            <w:r>
              <w:rPr>
                <w:rFonts w:hint="eastAsia" w:ascii="宋体" w:hAnsi="宋体" w:eastAsia="宋体" w:cs="宋体"/>
                <w:color w:val="auto"/>
                <w:sz w:val="21"/>
                <w:szCs w:val="21"/>
                <w:highlight w:val="none"/>
                <w:lang w:bidi="ar"/>
              </w:rPr>
              <w:t>分</w:t>
            </w:r>
          </w:p>
          <w:p>
            <w:pPr>
              <w:widowControl/>
              <w:spacing w:line="360" w:lineRule="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其他因素（</w:t>
            </w:r>
            <w:r>
              <w:rPr>
                <w:rFonts w:hint="eastAsia" w:ascii="宋体" w:hAnsi="宋体" w:eastAsia="宋体" w:cs="宋体"/>
                <w:color w:val="auto"/>
                <w:sz w:val="21"/>
                <w:szCs w:val="21"/>
                <w:highlight w:val="none"/>
                <w:lang w:val="en-US" w:eastAsia="zh-CN" w:bidi="ar"/>
              </w:rPr>
              <w:t>C</w:t>
            </w:r>
            <w:r>
              <w:rPr>
                <w:rFonts w:hint="eastAsia" w:ascii="宋体" w:hAnsi="宋体" w:eastAsia="宋体" w:cs="宋体"/>
                <w:color w:val="auto"/>
                <w:sz w:val="21"/>
                <w:szCs w:val="21"/>
                <w:highlight w:val="none"/>
                <w:lang w:bidi="ar"/>
              </w:rPr>
              <w:t>）</w:t>
            </w:r>
          </w:p>
          <w:p>
            <w:pPr>
              <w:widowControl/>
              <w:spacing w:line="360" w:lineRule="auto"/>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技术能力：</w:t>
            </w:r>
            <w:r>
              <w:rPr>
                <w:rFonts w:hint="eastAsia" w:ascii="宋体" w:hAnsi="宋体" w:eastAsia="宋体" w:cs="宋体"/>
                <w:color w:val="auto"/>
                <w:sz w:val="21"/>
                <w:szCs w:val="21"/>
                <w:highlight w:val="none"/>
                <w:u w:val="single"/>
                <w:lang w:val="en-US" w:eastAsia="zh-CN" w:bidi="ar"/>
              </w:rPr>
              <w:t>20</w:t>
            </w:r>
            <w:r>
              <w:rPr>
                <w:rFonts w:hint="eastAsia" w:ascii="宋体" w:hAnsi="宋体" w:eastAsia="宋体" w:cs="宋体"/>
                <w:color w:val="auto"/>
                <w:sz w:val="21"/>
                <w:szCs w:val="21"/>
                <w:highlight w:val="none"/>
                <w:lang w:bidi="ar"/>
              </w:rPr>
              <w:t>分</w:t>
            </w:r>
          </w:p>
          <w:p>
            <w:pPr>
              <w:widowControl/>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bidi="ar"/>
              </w:rPr>
              <w:t>履约信誉：</w:t>
            </w:r>
            <w:r>
              <w:rPr>
                <w:rFonts w:hint="eastAsia" w:ascii="宋体" w:hAnsi="宋体" w:eastAsia="宋体" w:cs="宋体"/>
                <w:color w:val="auto"/>
                <w:sz w:val="21"/>
                <w:szCs w:val="21"/>
                <w:highlight w:val="none"/>
                <w:u w:val="single"/>
                <w:lang w:val="en-US" w:eastAsia="zh-CN" w:bidi="ar"/>
              </w:rPr>
              <w:t>15</w:t>
            </w:r>
            <w:r>
              <w:rPr>
                <w:rFonts w:hint="eastAsia" w:ascii="宋体" w:hAnsi="宋体" w:eastAsia="宋体" w:cs="宋体"/>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810" w:type="dxa"/>
            <w:noWrap w:val="0"/>
            <w:vAlign w:val="center"/>
          </w:tcPr>
          <w:p>
            <w:pPr>
              <w:pStyle w:val="11"/>
              <w:shd w:val="clear" w:color="auto" w:fill="auto"/>
              <w:spacing w:before="0" w:line="360" w:lineRule="auto"/>
              <w:jc w:val="center"/>
              <w:rPr>
                <w:rStyle w:val="12"/>
                <w:rFonts w:hint="eastAsia" w:ascii="宋体" w:hAnsi="宋体" w:eastAsia="宋体" w:cs="宋体"/>
                <w:color w:val="auto"/>
                <w:highlight w:val="none"/>
              </w:rPr>
            </w:pPr>
            <w:r>
              <w:rPr>
                <w:rStyle w:val="12"/>
                <w:rFonts w:hint="eastAsia" w:ascii="宋体" w:hAnsi="宋体" w:eastAsia="宋体" w:cs="宋体"/>
                <w:color w:val="auto"/>
                <w:highlight w:val="none"/>
              </w:rPr>
              <w:t>2.2.3</w:t>
            </w:r>
          </w:p>
        </w:tc>
        <w:tc>
          <w:tcPr>
            <w:tcW w:w="1213"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第二个信封详细评审标准</w:t>
            </w:r>
          </w:p>
        </w:tc>
        <w:tc>
          <w:tcPr>
            <w:tcW w:w="7642" w:type="dxa"/>
            <w:noWrap w:val="0"/>
            <w:vAlign w:val="center"/>
          </w:tcPr>
          <w:p>
            <w:pPr>
              <w:widowControl/>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评标价的评审：</w:t>
            </w:r>
          </w:p>
          <w:p>
            <w:pPr>
              <w:widowControl/>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评标价计算公式：</w:t>
            </w:r>
          </w:p>
          <w:p>
            <w:pPr>
              <w:widowControl/>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评标价=投标函文字报价一暂估价一暂列金额（不含计日工总额）</w:t>
            </w:r>
            <w:r>
              <w:rPr>
                <w:rStyle w:val="10"/>
                <w:rFonts w:hint="eastAsia" w:ascii="宋体" w:hAnsi="宋体" w:eastAsia="宋体" w:cs="宋体"/>
                <w:color w:val="auto"/>
                <w:kern w:val="0"/>
                <w:sz w:val="21"/>
                <w:szCs w:val="21"/>
                <w:highlight w:val="none"/>
              </w:rPr>
              <w:footnoteReference w:id="0"/>
            </w:r>
          </w:p>
          <w:p>
            <w:pPr>
              <w:widowControl/>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若投标人的评标价小于最高投标限价85％的，启动澄清程序，要求投标人作出书面说明并提供相关证明材料。投标人不能合理说明或者不能提供相关证明资料的，评标委员会认定该投标人以低于成本报价竞标，否决其投标。当所有投标人的投标因此种情况被否决；或当因此种情况被否决部分投标人后，有效投标人不足三家，评标委员会认为竞争不足的情况出现时，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10" w:type="dxa"/>
            <w:noWrap w:val="0"/>
            <w:vAlign w:val="center"/>
          </w:tcPr>
          <w:p>
            <w:pPr>
              <w:pStyle w:val="11"/>
              <w:shd w:val="clear" w:color="auto" w:fill="auto"/>
              <w:spacing w:before="0" w:line="360" w:lineRule="auto"/>
              <w:jc w:val="center"/>
              <w:rPr>
                <w:rStyle w:val="12"/>
                <w:rFonts w:hint="eastAsia" w:ascii="宋体" w:hAnsi="宋体" w:eastAsia="宋体" w:cs="宋体"/>
                <w:color w:val="auto"/>
                <w:highlight w:val="none"/>
              </w:rPr>
            </w:pPr>
            <w:r>
              <w:rPr>
                <w:rStyle w:val="12"/>
                <w:rFonts w:hint="eastAsia" w:ascii="宋体" w:hAnsi="宋体" w:eastAsia="宋体" w:cs="宋体"/>
                <w:color w:val="auto"/>
                <w:highlight w:val="none"/>
              </w:rPr>
              <w:t>3.2.4</w:t>
            </w:r>
          </w:p>
        </w:tc>
        <w:tc>
          <w:tcPr>
            <w:tcW w:w="1213" w:type="dxa"/>
            <w:noWrap w:val="0"/>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通过第一个信封详细评审的投标人数量</w:t>
            </w:r>
          </w:p>
        </w:tc>
        <w:tc>
          <w:tcPr>
            <w:tcW w:w="7642" w:type="dxa"/>
            <w:noWrap w:val="0"/>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1"/>
                <w:szCs w:val="21"/>
                <w:highlight w:val="none"/>
                <w:lang w:val="zh-CN"/>
              </w:rPr>
              <w:t>按照投标人的商务和技术得分由高到低排序，选择</w:t>
            </w:r>
            <w:r>
              <w:rPr>
                <w:rFonts w:hint="eastAsia" w:ascii="宋体" w:hAnsi="宋体" w:eastAsia="宋体" w:cs="宋体"/>
                <w:color w:val="auto"/>
                <w:kern w:val="0"/>
                <w:sz w:val="20"/>
                <w:szCs w:val="20"/>
                <w:highlight w:val="none"/>
                <w:lang w:val="en-US" w:eastAsia="zh-CN" w:bidi="ar"/>
              </w:rPr>
              <w:t>择前5名（不少于3名但不足</w:t>
            </w:r>
          </w:p>
          <w:p>
            <w:pPr>
              <w:keepNext w:val="0"/>
              <w:keepLines w:val="0"/>
              <w:widowControl/>
              <w:suppressLineNumbers w:val="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0"/>
                <w:szCs w:val="20"/>
                <w:highlight w:val="none"/>
                <w:lang w:val="en-US" w:eastAsia="zh-CN" w:bidi="ar"/>
              </w:rPr>
              <w:t>5名时，按全部实际数量）</w:t>
            </w:r>
            <w:r>
              <w:rPr>
                <w:rFonts w:hint="eastAsia" w:ascii="宋体" w:hAnsi="宋体" w:eastAsia="宋体" w:cs="宋体"/>
                <w:color w:val="auto"/>
                <w:kern w:val="0"/>
                <w:sz w:val="21"/>
                <w:szCs w:val="21"/>
                <w:highlight w:val="none"/>
                <w:lang w:val="zh-CN"/>
              </w:rPr>
              <w:t>通过详细评审。</w:t>
            </w:r>
            <w:r>
              <w:rPr>
                <w:rStyle w:val="10"/>
                <w:rFonts w:hint="eastAsia" w:ascii="宋体" w:hAnsi="宋体" w:eastAsia="宋体" w:cs="宋体"/>
                <w:color w:val="auto"/>
                <w:kern w:val="0"/>
                <w:sz w:val="21"/>
                <w:szCs w:val="21"/>
                <w:highlight w:val="none"/>
                <w:lang w:val="zh-CN"/>
              </w:rPr>
              <w:footnoteReference w:id="1"/>
            </w:r>
          </w:p>
        </w:tc>
      </w:tr>
    </w:tbl>
    <w:p>
      <w:pPr>
        <w:rPr>
          <w:rFonts w:hint="eastAsia" w:ascii="宋体" w:hAnsi="宋体" w:eastAsia="宋体" w:cs="宋体"/>
          <w:color w:val="auto"/>
          <w:highlight w:val="none"/>
        </w:rPr>
      </w:pPr>
    </w:p>
    <w:p>
      <w:pPr>
        <w:pStyle w:val="7"/>
        <w:ind w:left="0" w:leftChars="0" w:firstLine="0" w:firstLineChars="0"/>
        <w:rPr>
          <w:rFonts w:hint="eastAsia" w:ascii="宋体" w:hAnsi="宋体" w:eastAsia="宋体" w:cs="宋体"/>
          <w:color w:val="auto"/>
          <w:highlight w:val="none"/>
        </w:rPr>
      </w:pPr>
    </w:p>
    <w:p>
      <w:pPr>
        <w:widowControl/>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tbl>
      <w:tblPr>
        <w:tblStyle w:val="8"/>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8"/>
        <w:gridCol w:w="438"/>
        <w:gridCol w:w="950"/>
        <w:gridCol w:w="1130"/>
        <w:gridCol w:w="892"/>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67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评分因素与权重分值</w:t>
            </w:r>
          </w:p>
        </w:tc>
        <w:tc>
          <w:tcPr>
            <w:tcW w:w="4886" w:type="dxa"/>
            <w:vMerge w:val="restar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条款号</w:t>
            </w:r>
          </w:p>
        </w:tc>
        <w:tc>
          <w:tcPr>
            <w:tcW w:w="856"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tc>
        <w:tc>
          <w:tcPr>
            <w:tcW w:w="9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评分因素权重分值</w:t>
            </w: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各评分因素细分项</w:t>
            </w:r>
          </w:p>
        </w:tc>
        <w:tc>
          <w:tcPr>
            <w:tcW w:w="8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4886" w:type="dxa"/>
            <w:vMerge w:val="continue"/>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val="en-US" w:eastAsia="zh-CN"/>
              </w:rPr>
              <w:t>2</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jc w:val="center"/>
              <w:rPr>
                <w:rFonts w:hint="eastAsia" w:ascii="宋体" w:hAnsi="宋体" w:eastAsia="宋体" w:cs="宋体"/>
                <w:color w:val="auto"/>
                <w:sz w:val="21"/>
                <w:szCs w:val="21"/>
                <w:highlight w:val="none"/>
              </w:rPr>
            </w:pPr>
          </w:p>
        </w:tc>
        <w:tc>
          <w:tcPr>
            <w:tcW w:w="856" w:type="dxa"/>
            <w:gridSpan w:val="2"/>
            <w:vMerge w:val="restart"/>
            <w:tcBorders>
              <w:top w:val="nil"/>
              <w:left w:val="nil"/>
              <w:bottom w:val="single" w:color="auto" w:sz="4" w:space="0"/>
              <w:right w:val="single" w:color="auto" w:sz="4" w:space="0"/>
            </w:tcBorders>
            <w:noWrap w:val="0"/>
            <w:vAlign w:val="center"/>
          </w:tcPr>
          <w:p>
            <w:pPr>
              <w:pStyle w:val="13"/>
              <w:widowContro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施工组织设计</w:t>
            </w:r>
          </w:p>
          <w:p>
            <w:pPr>
              <w:jc w:val="center"/>
              <w:rPr>
                <w:rFonts w:hint="eastAsia" w:ascii="宋体" w:hAnsi="宋体" w:eastAsia="宋体" w:cs="宋体"/>
                <w:color w:val="auto"/>
                <w:sz w:val="21"/>
                <w:szCs w:val="21"/>
                <w:highlight w:val="none"/>
              </w:rPr>
            </w:pPr>
          </w:p>
        </w:tc>
        <w:tc>
          <w:tcPr>
            <w:tcW w:w="95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en-US" w:eastAsia="zh-CN"/>
              </w:rPr>
              <w:t>15</w:t>
            </w:r>
            <w:r>
              <w:rPr>
                <w:rFonts w:hint="eastAsia" w:ascii="宋体" w:hAnsi="宋体" w:eastAsia="宋体" w:cs="宋体"/>
                <w:color w:val="auto"/>
                <w:sz w:val="21"/>
                <w:szCs w:val="21"/>
                <w:highlight w:val="none"/>
              </w:rPr>
              <w:t>分</w:t>
            </w:r>
          </w:p>
        </w:tc>
        <w:tc>
          <w:tcPr>
            <w:tcW w:w="113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总体施工组织布置及规划</w:t>
            </w:r>
          </w:p>
        </w:tc>
        <w:tc>
          <w:tcPr>
            <w:tcW w:w="89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分</w:t>
            </w:r>
          </w:p>
        </w:tc>
        <w:tc>
          <w:tcPr>
            <w:tcW w:w="4886" w:type="dxa"/>
            <w:tcBorders>
              <w:top w:val="single" w:color="auto" w:sz="4" w:space="0"/>
              <w:left w:val="nil"/>
              <w:bottom w:val="single" w:color="auto" w:sz="4" w:space="0"/>
              <w:right w:val="single" w:color="auto" w:sz="4" w:space="0"/>
            </w:tcBorders>
            <w:noWrap w:val="0"/>
            <w:vAlign w:val="top"/>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项目的基本情况了解全面、准确，施工总体布置规划、施工进度计划科学合理、可操作性强，按《广东省公路工程施工标准化指南》及《广东省高速公路工程施工安全标准化指南》《公路工程施工安全防护设施技术指南》执行，得</w:t>
            </w:r>
            <w:r>
              <w:rPr>
                <w:rFonts w:hint="eastAsia" w:ascii="宋体" w:hAnsi="宋体" w:eastAsia="宋体" w:cs="宋体"/>
                <w:color w:val="auto"/>
                <w:szCs w:val="21"/>
                <w:highlight w:val="none"/>
                <w:lang w:val="en-US" w:eastAsia="zh-CN"/>
              </w:rPr>
              <w:t>12-15</w:t>
            </w:r>
            <w:r>
              <w:rPr>
                <w:rFonts w:hint="eastAsia" w:ascii="宋体" w:hAnsi="宋体" w:eastAsia="宋体" w:cs="宋体"/>
                <w:color w:val="auto"/>
                <w:szCs w:val="21"/>
                <w:highlight w:val="none"/>
              </w:rPr>
              <w:t>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(2)满足工程建设需要，施工总体布置规划、施工进度计划基本可行，得</w:t>
            </w:r>
            <w:r>
              <w:rPr>
                <w:rFonts w:hint="eastAsia" w:ascii="宋体" w:hAnsi="宋体" w:eastAsia="宋体" w:cs="宋体"/>
                <w:color w:val="auto"/>
                <w:szCs w:val="21"/>
                <w:highlight w:val="none"/>
                <w:lang w:val="en-US" w:eastAsia="zh-CN"/>
              </w:rPr>
              <w:t>9-12</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rPr>
              <w:tab/>
            </w:r>
          </w:p>
          <w:p>
            <w:pPr>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(3)一般但不被评定为不响应的,得</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51"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856" w:type="dxa"/>
            <w:gridSpan w:val="2"/>
            <w:vMerge w:val="continue"/>
            <w:tcBorders>
              <w:left w:val="nil"/>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9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val="en-US" w:eastAsia="zh-CN"/>
              </w:rPr>
              <w:t>15</w:t>
            </w:r>
            <w:r>
              <w:rPr>
                <w:rFonts w:hint="eastAsia" w:ascii="宋体" w:hAnsi="宋体" w:eastAsia="宋体" w:cs="宋体"/>
                <w:color w:val="auto"/>
                <w:sz w:val="21"/>
                <w:szCs w:val="21"/>
                <w:highlight w:val="none"/>
              </w:rPr>
              <w:t>分</w:t>
            </w: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重点、难点和关键工程的施工方案与技术措施</w:t>
            </w:r>
          </w:p>
        </w:tc>
        <w:tc>
          <w:tcPr>
            <w:tcW w:w="89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分</w:t>
            </w:r>
          </w:p>
        </w:tc>
        <w:tc>
          <w:tcPr>
            <w:tcW w:w="4886" w:type="dxa"/>
            <w:tcBorders>
              <w:top w:val="single" w:color="auto" w:sz="4" w:space="0"/>
              <w:left w:val="nil"/>
              <w:bottom w:val="single" w:color="auto" w:sz="4" w:space="0"/>
              <w:right w:val="single" w:color="auto" w:sz="4" w:space="0"/>
            </w:tcBorders>
            <w:noWrap w:val="0"/>
            <w:vAlign w:val="top"/>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项目重点、难点和关键工程认识分析透彻，能充分发挥自身优势，积极采用“四新”技术，制定的施工方案与技术措施针对性和可操作性强，重点突出的，按《广东省公路工程施工标准化指南》及《广东省高速公路工程施工安全标准化指南》《公路工程施工安全防护设施技术指南》执行，得</w:t>
            </w:r>
            <w:r>
              <w:rPr>
                <w:rFonts w:hint="eastAsia" w:ascii="宋体" w:hAnsi="宋体" w:eastAsia="宋体" w:cs="宋体"/>
                <w:color w:val="auto"/>
                <w:szCs w:val="21"/>
                <w:highlight w:val="none"/>
                <w:lang w:val="en-US" w:eastAsia="zh-CN"/>
              </w:rPr>
              <w:t>12-15</w:t>
            </w:r>
            <w:r>
              <w:rPr>
                <w:rFonts w:hint="eastAsia" w:ascii="宋体" w:hAnsi="宋体" w:eastAsia="宋体" w:cs="宋体"/>
                <w:color w:val="auto"/>
                <w:szCs w:val="21"/>
                <w:highlight w:val="none"/>
              </w:rPr>
              <w:t>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(2)对项目重点、难点和关键工程认识基本到位，施工方案与技术措施基本可行，重点较为突出的，得</w:t>
            </w:r>
            <w:r>
              <w:rPr>
                <w:rFonts w:hint="eastAsia" w:ascii="宋体" w:hAnsi="宋体" w:eastAsia="宋体" w:cs="宋体"/>
                <w:color w:val="auto"/>
                <w:szCs w:val="21"/>
                <w:highlight w:val="none"/>
                <w:lang w:val="en-US" w:eastAsia="zh-CN"/>
              </w:rPr>
              <w:t>9-12</w:t>
            </w:r>
            <w:r>
              <w:rPr>
                <w:rFonts w:hint="eastAsia" w:ascii="宋体" w:hAnsi="宋体" w:eastAsia="宋体" w:cs="宋体"/>
                <w:color w:val="auto"/>
                <w:szCs w:val="21"/>
                <w:highlight w:val="none"/>
              </w:rPr>
              <w:t>分；</w:t>
            </w:r>
          </w:p>
          <w:p>
            <w:pPr>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(3)一般但不被评定为不响应的,得</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51"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856" w:type="dxa"/>
            <w:gridSpan w:val="2"/>
            <w:vMerge w:val="continue"/>
            <w:tcBorders>
              <w:left w:val="nil"/>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950" w:type="dxa"/>
            <w:tcBorders>
              <w:top w:val="single" w:color="auto" w:sz="4" w:space="0"/>
              <w:left w:val="nil"/>
              <w:right w:val="single" w:color="auto" w:sz="4" w:space="0"/>
            </w:tcBorders>
            <w:noWrap w:val="0"/>
            <w:vAlign w:val="center"/>
          </w:tcPr>
          <w:p>
            <w:pPr>
              <w:jc w:val="center"/>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rPr>
              <w:t>分</w:t>
            </w: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工期、质量、安全、环保水保、文明施工保证措施</w:t>
            </w:r>
          </w:p>
        </w:tc>
        <w:tc>
          <w:tcPr>
            <w:tcW w:w="89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4886" w:type="dxa"/>
            <w:tcBorders>
              <w:top w:val="single" w:color="auto" w:sz="4" w:space="0"/>
              <w:left w:val="nil"/>
              <w:bottom w:val="single" w:color="auto" w:sz="4" w:space="0"/>
              <w:right w:val="single" w:color="auto" w:sz="4" w:space="0"/>
            </w:tcBorders>
            <w:noWrap w:val="0"/>
            <w:vAlign w:val="top"/>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能够准确预判分析工期、质量、安全、环保、水保、文明施工目标实现的主要影响因素，拟采取预防保证措施针对性强、科学有效，重点突出的，按《广东省公路工程施工标准化指南》及《广东省高速公路工程施工安全标准化指南》《公路工程施工安全防护设施技术指南》执行，得</w:t>
            </w:r>
            <w:r>
              <w:rPr>
                <w:rFonts w:hint="eastAsia" w:ascii="宋体" w:hAnsi="宋体" w:eastAsia="宋体" w:cs="宋体"/>
                <w:color w:val="auto"/>
                <w:szCs w:val="21"/>
                <w:highlight w:val="none"/>
                <w:lang w:val="en-US" w:eastAsia="zh-CN"/>
              </w:rPr>
              <w:t>8-10</w:t>
            </w:r>
            <w:r>
              <w:rPr>
                <w:rFonts w:hint="eastAsia" w:ascii="宋体" w:hAnsi="宋体" w:eastAsia="宋体" w:cs="宋体"/>
                <w:color w:val="auto"/>
                <w:szCs w:val="21"/>
                <w:highlight w:val="none"/>
              </w:rPr>
              <w:t>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(2)对工期、质量、安全、环保、水保等风险有一定认识，预防保证措施基本可行，重点较为突出的，得</w:t>
            </w:r>
            <w:r>
              <w:rPr>
                <w:rFonts w:hint="eastAsia" w:ascii="宋体" w:hAnsi="宋体" w:eastAsia="宋体" w:cs="宋体"/>
                <w:color w:val="auto"/>
                <w:szCs w:val="21"/>
                <w:highlight w:val="none"/>
                <w:lang w:val="en-US" w:eastAsia="zh-CN"/>
              </w:rPr>
              <w:t>6-8</w:t>
            </w:r>
            <w:r>
              <w:rPr>
                <w:rFonts w:hint="eastAsia" w:ascii="宋体" w:hAnsi="宋体" w:eastAsia="宋体" w:cs="宋体"/>
                <w:color w:val="auto"/>
                <w:szCs w:val="21"/>
                <w:highlight w:val="none"/>
              </w:rPr>
              <w:t>分；</w:t>
            </w:r>
          </w:p>
          <w:p>
            <w:pPr>
              <w:jc w:val="left"/>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rPr>
              <w:t>(3)一般但不被评定为不响应的,得</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5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（2）</w:t>
            </w:r>
          </w:p>
        </w:tc>
        <w:tc>
          <w:tcPr>
            <w:tcW w:w="856" w:type="dxa"/>
            <w:gridSpan w:val="2"/>
            <w:vMerge w:val="restart"/>
            <w:tcBorders>
              <w:top w:val="single" w:color="auto" w:sz="4" w:space="0"/>
              <w:left w:val="nil"/>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主要人员</w:t>
            </w:r>
          </w:p>
        </w:tc>
        <w:tc>
          <w:tcPr>
            <w:tcW w:w="950" w:type="dxa"/>
            <w:vMerge w:val="restart"/>
            <w:tcBorders>
              <w:top w:val="single" w:color="auto" w:sz="4" w:space="0"/>
              <w:left w:val="nil"/>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en-US" w:eastAsia="zh-CN"/>
              </w:rPr>
              <w:t>25</w:t>
            </w:r>
            <w:r>
              <w:rPr>
                <w:rFonts w:hint="eastAsia" w:ascii="宋体" w:hAnsi="宋体" w:eastAsia="宋体" w:cs="宋体"/>
                <w:color w:val="auto"/>
                <w:sz w:val="21"/>
                <w:szCs w:val="21"/>
                <w:highlight w:val="none"/>
              </w:rPr>
              <w:t>分</w:t>
            </w:r>
          </w:p>
        </w:tc>
        <w:tc>
          <w:tcPr>
            <w:tcW w:w="113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项目经理任职资格</w:t>
            </w:r>
            <w:r>
              <w:rPr>
                <w:rFonts w:hint="eastAsia" w:ascii="宋体" w:hAnsi="宋体" w:eastAsia="宋体" w:cs="宋体"/>
                <w:color w:val="auto"/>
                <w:highlight w:val="none"/>
                <w:lang w:val="en-US" w:eastAsia="zh-CN"/>
              </w:rPr>
              <w:t>与业绩</w:t>
            </w:r>
          </w:p>
        </w:tc>
        <w:tc>
          <w:tcPr>
            <w:tcW w:w="8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15分</w:t>
            </w:r>
          </w:p>
        </w:tc>
        <w:tc>
          <w:tcPr>
            <w:tcW w:w="4886"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满足资格审查条件 </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项目经理和项目总工最低要求</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时，得</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分；</w:t>
            </w:r>
          </w:p>
          <w:p>
            <w:pPr>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（2）项目经理具有高级工程师或以上资格的，加</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856" w:type="dxa"/>
            <w:gridSpan w:val="2"/>
            <w:vMerge w:val="continue"/>
            <w:tcBorders>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950" w:type="dxa"/>
            <w:vMerge w:val="continue"/>
            <w:tcBorders>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13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项目总工任职资格</w:t>
            </w:r>
            <w:r>
              <w:rPr>
                <w:rFonts w:hint="eastAsia" w:ascii="宋体" w:hAnsi="宋体" w:eastAsia="宋体" w:cs="宋体"/>
                <w:color w:val="auto"/>
                <w:highlight w:val="none"/>
                <w:lang w:val="en-US" w:eastAsia="zh-CN"/>
              </w:rPr>
              <w:t>与业绩</w:t>
            </w:r>
          </w:p>
        </w:tc>
        <w:tc>
          <w:tcPr>
            <w:tcW w:w="8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10分</w:t>
            </w:r>
          </w:p>
        </w:tc>
        <w:tc>
          <w:tcPr>
            <w:tcW w:w="4886"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（1）满足资格审查条件 </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项目经理和项目总工最低要求</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时，得</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p>
            <w:pPr>
              <w:jc w:val="left"/>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rPr>
              <w:t xml:space="preserve">（2）每担任 1 个类似工程项目总工岗位工作经验的，加 </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 xml:space="preserve"> 分，最多加 </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85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p>
        </w:tc>
        <w:tc>
          <w:tcPr>
            <w:tcW w:w="418" w:type="dxa"/>
            <w:vMerge w:val="restart"/>
            <w:tcBorders>
              <w:top w:val="nil"/>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其他因素</w:t>
            </w:r>
          </w:p>
        </w:tc>
        <w:tc>
          <w:tcPr>
            <w:tcW w:w="438" w:type="dxa"/>
            <w:tcBorders>
              <w:top w:val="nil"/>
              <w:left w:val="nil"/>
              <w:bottom w:val="single" w:color="auto" w:sz="4" w:space="0"/>
              <w:right w:val="single" w:color="auto" w:sz="4" w:space="0"/>
            </w:tcBorders>
            <w:noWrap w:val="0"/>
            <w:vAlign w:val="center"/>
          </w:tcPr>
          <w:p>
            <w:pPr>
              <w:pStyle w:val="13"/>
              <w:widowContro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技术能力</w:t>
            </w:r>
          </w:p>
        </w:tc>
        <w:tc>
          <w:tcPr>
            <w:tcW w:w="95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20分</w:t>
            </w:r>
          </w:p>
        </w:tc>
        <w:tc>
          <w:tcPr>
            <w:tcW w:w="6908"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（1）投标人获得与项目施工有关</w:t>
            </w:r>
            <w:r>
              <w:rPr>
                <w:rStyle w:val="10"/>
                <w:rFonts w:hint="eastAsia" w:ascii="宋体" w:hAnsi="宋体" w:eastAsia="宋体" w:cs="宋体"/>
                <w:color w:val="auto"/>
                <w:highlight w:val="none"/>
              </w:rPr>
              <w:footnoteReference w:id="2"/>
            </w:r>
            <w:r>
              <w:rPr>
                <w:rFonts w:hint="eastAsia" w:ascii="宋体" w:hAnsi="宋体" w:eastAsia="宋体" w:cs="宋体"/>
                <w:color w:val="auto"/>
                <w:highlight w:val="none"/>
              </w:rPr>
              <w:t>的国家级工法、专利（发明专利或实用新型专利）、国家级科学技术进步奖、鲁班奖、詹天佑奖，主编或参编过国家标准，每项加</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p>
          <w:p>
            <w:pPr>
              <w:jc w:val="left"/>
              <w:rPr>
                <w:rFonts w:hint="eastAsia" w:ascii="宋体" w:hAnsi="宋体" w:eastAsia="宋体" w:cs="宋体"/>
                <w:color w:val="auto"/>
                <w:highlight w:val="none"/>
              </w:rPr>
            </w:pPr>
            <w:r>
              <w:rPr>
                <w:rFonts w:hint="eastAsia" w:ascii="宋体" w:hAnsi="宋体" w:eastAsia="宋体" w:cs="宋体"/>
                <w:color w:val="auto"/>
                <w:highlight w:val="none"/>
              </w:rPr>
              <w:t>（2）投标人获得省级科学技术进步奖，主编或参编过的行业或地方（指省级）标准，每项加</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分； </w:t>
            </w:r>
          </w:p>
          <w:p>
            <w:pPr>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highlight w:val="none"/>
              </w:rPr>
              <w:t>注：技术能力加分最高20分，同一事项按较高分只计一次。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1"/>
                <w:szCs w:val="21"/>
                <w:highlight w:val="none"/>
              </w:rPr>
            </w:pPr>
          </w:p>
        </w:tc>
        <w:tc>
          <w:tcPr>
            <w:tcW w:w="418" w:type="dxa"/>
            <w:vMerge w:val="continue"/>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sz w:val="21"/>
                <w:szCs w:val="21"/>
                <w:highlight w:val="none"/>
              </w:rPr>
            </w:pPr>
          </w:p>
        </w:tc>
        <w:tc>
          <w:tcPr>
            <w:tcW w:w="438"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履约信誉</w:t>
            </w:r>
          </w:p>
        </w:tc>
        <w:tc>
          <w:tcPr>
            <w:tcW w:w="9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15分</w:t>
            </w:r>
          </w:p>
        </w:tc>
        <w:tc>
          <w:tcPr>
            <w:tcW w:w="6908" w:type="dxa"/>
            <w:gridSpan w:val="3"/>
            <w:tcBorders>
              <w:top w:val="single" w:color="auto" w:sz="4" w:space="0"/>
              <w:left w:val="nil"/>
              <w:bottom w:val="single" w:color="auto" w:sz="4" w:space="0"/>
              <w:right w:val="single" w:color="auto" w:sz="4" w:space="0"/>
            </w:tcBorders>
            <w:noWrap w:val="0"/>
            <w:vAlign w:val="top"/>
          </w:tcPr>
          <w:p>
            <w:pPr>
              <w:snapToGrid/>
              <w:spacing w:line="240" w:lineRule="auto"/>
              <w:ind w:left="0" w:right="0" w:rightChars="0" w:firstLine="0" w:firstLineChars="0"/>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1.信用等级分值（10分）</w:t>
            </w:r>
          </w:p>
          <w:p>
            <w:pPr>
              <w:snapToGrid/>
              <w:spacing w:line="240" w:lineRule="auto"/>
              <w:ind w:left="0" w:right="0" w:rightChars="0" w:firstLine="0" w:firstLineChars="0"/>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AA、A、B、C级单位的信用等级分得分分别为10、9.5、8.9、7.3分。</w:t>
            </w:r>
          </w:p>
          <w:p>
            <w:pPr>
              <w:pStyle w:val="4"/>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注：信用等级的确定原则遵循投标人须知前附表10.2款的规定。</w:t>
            </w:r>
          </w:p>
          <w:p>
            <w:pPr>
              <w:pStyle w:val="4"/>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2.履约情况（5分）</w:t>
            </w:r>
          </w:p>
          <w:p>
            <w:pPr>
              <w:snapToGrid/>
              <w:spacing w:line="240" w:lineRule="auto"/>
              <w:ind w:left="0" w:right="0" w:rightChars="0" w:firstLine="0" w:firstLineChars="0"/>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若没出现下述情形得满分；</w:t>
            </w:r>
          </w:p>
          <w:p>
            <w:pPr>
              <w:snapToGrid/>
              <w:spacing w:line="240" w:lineRule="auto"/>
              <w:ind w:left="0" w:right="0" w:rightChars="0" w:firstLine="0" w:firstLineChars="0"/>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zh-CN" w:eastAsia="zh-CN" w:bidi="zh-CN"/>
              </w:rPr>
              <w:t>投标文件递交截止日前1年内，因公路工程（含附属设施）质量、</w:t>
            </w:r>
            <w:r>
              <w:rPr>
                <w:rFonts w:hint="eastAsia" w:ascii="宋体" w:hAnsi="宋体" w:eastAsia="宋体" w:cs="宋体"/>
                <w:color w:val="auto"/>
                <w:kern w:val="2"/>
                <w:sz w:val="21"/>
                <w:szCs w:val="21"/>
                <w:highlight w:val="none"/>
                <w:lang w:val="en-US" w:eastAsia="zh-CN" w:bidi="zh-CN"/>
              </w:rPr>
              <w:t>安</w:t>
            </w:r>
            <w:r>
              <w:rPr>
                <w:rFonts w:hint="eastAsia" w:ascii="宋体" w:hAnsi="宋体" w:eastAsia="宋体" w:cs="宋体"/>
                <w:color w:val="auto"/>
                <w:kern w:val="2"/>
                <w:sz w:val="21"/>
                <w:szCs w:val="21"/>
                <w:highlight w:val="none"/>
                <w:lang w:val="zh-CN" w:eastAsia="zh-CN" w:bidi="zh-CN"/>
              </w:rPr>
              <w:t>全、履约或招标投标问题等原因被</w:t>
            </w:r>
            <w:r>
              <w:rPr>
                <w:rFonts w:hint="eastAsia" w:ascii="宋体" w:hAnsi="宋体" w:eastAsia="宋体" w:cs="宋体"/>
                <w:color w:val="auto"/>
                <w:kern w:val="2"/>
                <w:sz w:val="21"/>
                <w:szCs w:val="21"/>
                <w:highlight w:val="none"/>
                <w:lang w:val="en-US" w:eastAsia="zh-CN" w:bidi="zh-CN"/>
              </w:rPr>
              <w:t>：</w:t>
            </w:r>
          </w:p>
          <w:p>
            <w:pPr>
              <w:snapToGrid/>
              <w:spacing w:line="240" w:lineRule="auto"/>
              <w:ind w:left="0" w:right="0" w:rightChars="0" w:firstLine="0" w:firstLineChars="0"/>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(1)交通运输部行政处罚的，扣5分/次。</w:t>
            </w:r>
          </w:p>
          <w:p>
            <w:pPr>
              <w:snapToGrid/>
              <w:spacing w:line="240" w:lineRule="auto"/>
              <w:ind w:left="0" w:right="0" w:rightChars="0" w:firstLine="0" w:firstLineChars="0"/>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(2)广东省交通运输厅行政处罚的，扣3分/次。</w:t>
            </w:r>
            <w:r>
              <w:rPr>
                <w:rFonts w:hint="eastAsia" w:ascii="宋体" w:hAnsi="宋体" w:eastAsia="宋体" w:cs="宋体"/>
                <w:color w:val="auto"/>
                <w:kern w:val="2"/>
                <w:sz w:val="21"/>
                <w:szCs w:val="21"/>
                <w:highlight w:val="none"/>
                <w:lang w:val="en-US" w:eastAsia="zh-CN" w:bidi="zh-CN"/>
              </w:rPr>
              <w:tab/>
            </w:r>
          </w:p>
          <w:p>
            <w:pPr>
              <w:snapToGrid/>
              <w:spacing w:line="240" w:lineRule="auto"/>
              <w:ind w:left="0" w:right="0" w:rightChars="0" w:firstLine="0" w:firstLineChars="0"/>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(3)广东省交通运输厅正式约谈的，扣0.1分/次。</w:t>
            </w:r>
          </w:p>
          <w:p>
            <w:pPr>
              <w:snapToGrid/>
              <w:spacing w:line="240" w:lineRule="auto"/>
              <w:ind w:left="0" w:right="0" w:rightChars="0" w:firstLine="0" w:firstLineChars="0"/>
              <w:jc w:val="left"/>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同一事项同时被多个部门行政处罚或正式约谈只按最高的扣分计算1次</w:t>
            </w:r>
            <w:r>
              <w:rPr>
                <w:rStyle w:val="10"/>
                <w:rFonts w:hint="eastAsia" w:ascii="宋体" w:hAnsi="宋体" w:eastAsia="宋体" w:cs="宋体"/>
                <w:color w:val="auto"/>
                <w:kern w:val="2"/>
                <w:sz w:val="21"/>
                <w:szCs w:val="21"/>
                <w:highlight w:val="none"/>
                <w:lang w:val="en-US" w:eastAsia="zh-CN" w:bidi="zh-CN"/>
              </w:rPr>
              <w:footnoteReference w:id="3"/>
            </w:r>
            <w:r>
              <w:rPr>
                <w:rFonts w:hint="eastAsia" w:ascii="宋体" w:hAnsi="宋体" w:eastAsia="宋体" w:cs="宋体"/>
                <w:color w:val="auto"/>
                <w:kern w:val="2"/>
                <w:sz w:val="21"/>
                <w:szCs w:val="21"/>
                <w:highlight w:val="none"/>
                <w:lang w:val="en-US" w:eastAsia="zh-CN" w:bidi="zh-CN"/>
              </w:rPr>
              <w:t>。如果扣完本项分值，可以从总分中扣。</w:t>
            </w:r>
          </w:p>
        </w:tc>
      </w:tr>
    </w:tbl>
    <w:p>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textAlignment w:val="auto"/>
        <w:outlineLvl w:val="2"/>
        <w:rPr>
          <w:rFonts w:hint="eastAsia" w:ascii="宋体" w:hAnsi="宋体" w:eastAsia="宋体" w:cs="宋体"/>
          <w:bCs/>
          <w:color w:val="auto"/>
          <w:kern w:val="0"/>
          <w:sz w:val="24"/>
          <w:highlight w:val="none"/>
          <w:lang w:val="en-US" w:eastAsia="zh-CN"/>
        </w:rPr>
      </w:pPr>
    </w:p>
    <w:p>
      <w:bookmarkStart w:id="3" w:name="_GoBack"/>
      <w:bookmarkEnd w:id="3"/>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78"/>
    <w:family w:val="modern"/>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footnoteRef/>
      </w:r>
      <w:r>
        <w:rPr>
          <w:rFonts w:hint="eastAsia" w:ascii="宋体" w:hAnsi="宋体" w:eastAsia="宋体" w:cs="宋体"/>
          <w:color w:val="000000"/>
          <w:kern w:val="0"/>
          <w:sz w:val="18"/>
          <w:szCs w:val="18"/>
          <w:lang w:val="en-US" w:eastAsia="zh-CN" w:bidi="ar"/>
        </w:rPr>
        <w:t xml:space="preserve"> 如本项目招标采用第二章“投标人须知”第 </w:t>
      </w:r>
      <w:r>
        <w:rPr>
          <w:rFonts w:hint="default" w:ascii="宋体" w:hAnsi="宋体" w:eastAsia="宋体" w:cs="宋体"/>
          <w:color w:val="000000"/>
          <w:kern w:val="0"/>
          <w:sz w:val="18"/>
          <w:szCs w:val="18"/>
          <w:lang w:val="en-US" w:eastAsia="zh-CN" w:bidi="ar"/>
        </w:rPr>
        <w:t xml:space="preserve">3.2.1 </w:t>
      </w:r>
      <w:r>
        <w:rPr>
          <w:rFonts w:hint="eastAsia" w:ascii="宋体" w:hAnsi="宋体" w:eastAsia="宋体" w:cs="宋体"/>
          <w:color w:val="000000"/>
          <w:kern w:val="0"/>
          <w:sz w:val="18"/>
          <w:szCs w:val="18"/>
          <w:lang w:val="en-US" w:eastAsia="zh-CN" w:bidi="ar"/>
        </w:rPr>
        <w:t>项（</w:t>
      </w:r>
      <w:r>
        <w:rPr>
          <w:rFonts w:hint="default"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 xml:space="preserve">）目规定的投标人按照招标人提供的工程量固化清单电子文件填写工程量清单的，无须按照本章第 </w:t>
      </w:r>
      <w:r>
        <w:rPr>
          <w:rFonts w:hint="default" w:ascii="宋体" w:hAnsi="宋体" w:eastAsia="宋体" w:cs="宋体"/>
          <w:color w:val="000000"/>
          <w:kern w:val="0"/>
          <w:sz w:val="18"/>
          <w:szCs w:val="18"/>
          <w:lang w:val="en-US" w:eastAsia="zh-CN" w:bidi="ar"/>
        </w:rPr>
        <w:t xml:space="preserve">3.4.2 </w:t>
      </w:r>
      <w:r>
        <w:rPr>
          <w:rFonts w:hint="eastAsia" w:ascii="宋体" w:hAnsi="宋体" w:eastAsia="宋体" w:cs="宋体"/>
          <w:color w:val="000000"/>
          <w:kern w:val="0"/>
          <w:sz w:val="18"/>
          <w:szCs w:val="18"/>
          <w:lang w:val="en-US" w:eastAsia="zh-CN" w:bidi="ar"/>
        </w:rPr>
        <w:t xml:space="preserve">项和第 </w:t>
      </w:r>
      <w:r>
        <w:rPr>
          <w:rFonts w:hint="default" w:ascii="宋体" w:hAnsi="宋体" w:eastAsia="宋体" w:cs="宋体"/>
          <w:color w:val="000000"/>
          <w:kern w:val="0"/>
          <w:sz w:val="18"/>
          <w:szCs w:val="18"/>
          <w:lang w:val="en-US" w:eastAsia="zh-CN" w:bidi="ar"/>
        </w:rPr>
        <w:t xml:space="preserve">3.4.3 </w:t>
      </w:r>
      <w:r>
        <w:rPr>
          <w:rFonts w:hint="eastAsia" w:ascii="宋体" w:hAnsi="宋体" w:eastAsia="宋体" w:cs="宋体"/>
          <w:color w:val="000000"/>
          <w:kern w:val="0"/>
          <w:sz w:val="18"/>
          <w:szCs w:val="18"/>
          <w:lang w:val="en-US" w:eastAsia="zh-CN" w:bidi="ar"/>
        </w:rPr>
        <w:t>项的规定对投标报价进行修正，经评审的投标价（评标价）</w:t>
      </w:r>
      <w:r>
        <w:rPr>
          <w:rFonts w:hint="default" w:ascii="宋体" w:hAnsi="宋体" w:eastAsia="宋体" w:cs="宋体"/>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投标函文字报价一暂估价一暂列金额（不含计日工总额）。</w:t>
      </w:r>
    </w:p>
  </w:footnote>
  <w:footnote w:id="1">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footnoteRef/>
      </w:r>
      <w:r>
        <w:rPr>
          <w:rFonts w:hint="eastAsia" w:ascii="宋体" w:hAnsi="宋体" w:eastAsia="宋体" w:cs="宋体"/>
          <w:color w:val="000000"/>
          <w:kern w:val="0"/>
          <w:sz w:val="18"/>
          <w:szCs w:val="18"/>
          <w:lang w:val="en-US" w:eastAsia="zh-CN" w:bidi="ar"/>
        </w:rPr>
        <w:t xml:space="preserve"> 本条所述“名次”包含了并列的情况；如名次为 1, 1,3,4,5 ，则前 5 名为 5 家投标人；如名次为 1,2,3,4,5,5 ，则前 5 名为 6 家投标人，下同。</w:t>
      </w:r>
    </w:p>
  </w:footnote>
  <w:footnote w:id="2">
    <w:p>
      <w:pPr>
        <w:pStyle w:val="6"/>
        <w:snapToGrid w:val="0"/>
      </w:pPr>
      <w:r>
        <w:rPr>
          <w:rStyle w:val="10"/>
        </w:rPr>
        <w:footnoteRef/>
      </w:r>
      <w:r>
        <w:t xml:space="preserve"> </w:t>
      </w:r>
      <w:r>
        <w:rPr>
          <w:rFonts w:hint="eastAsia"/>
        </w:rPr>
        <w:t>与项目施工有关是指与项目标类相对应，下同。</w:t>
      </w:r>
    </w:p>
  </w:footnote>
  <w:footnote w:id="3">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footnoteRef/>
      </w:r>
      <w:r>
        <w:rPr>
          <w:rFonts w:hint="eastAsia" w:ascii="宋体" w:hAnsi="宋体" w:eastAsia="宋体" w:cs="宋体"/>
          <w:color w:val="000000"/>
          <w:kern w:val="0"/>
          <w:sz w:val="18"/>
          <w:szCs w:val="18"/>
          <w:lang w:val="en-US" w:eastAsia="zh-CN" w:bidi="ar"/>
        </w:rPr>
        <w:t xml:space="preserve"> 本条内容所指的行政处罚和正式约谈是指本范本施行之日起发生的行政处罚和正式约谈。其中：正式约谈是指从 业单位的企业法人因建设项目质量、安全、履约或招标投标等问题，被上述单位约谈的情形。行政处罚要以上述单 位正式发文为依据，以正式发文时间为准；正式约谈要以上述单位的书面通知和约谈会议纪要为依据，时间以约谈 会议纪要发文时间为准。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ODkyYWUxNjNlOWVmYzk4YzhjZTRjMGYyMjE4YjkifQ=="/>
  </w:docVars>
  <w:rsids>
    <w:rsidRoot w:val="04B03D04"/>
    <w:rsid w:val="04B03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Calibri" w:cs="Times New Roman"/>
    </w:rPr>
  </w:style>
  <w:style w:type="paragraph" w:styleId="4">
    <w:name w:val="Body Text"/>
    <w:basedOn w:val="1"/>
    <w:qFormat/>
    <w:uiPriority w:val="0"/>
    <w:pPr>
      <w:spacing w:after="120"/>
    </w:pPr>
    <w:rPr>
      <w:rFonts w:ascii="Calibri" w:hAnsi="Calibri" w:eastAsia="Calibri" w:cs="Times New Roman"/>
    </w:rPr>
  </w:style>
  <w:style w:type="paragraph" w:styleId="5">
    <w:name w:val="Body Text Indent"/>
    <w:basedOn w:val="1"/>
    <w:qFormat/>
    <w:uiPriority w:val="0"/>
    <w:pPr>
      <w:spacing w:after="120"/>
      <w:ind w:left="420" w:leftChars="200"/>
    </w:pPr>
    <w:rPr>
      <w:rFonts w:ascii="Calibri" w:hAnsi="Calibri" w:eastAsia="Calibri" w:cs="Times New Roman"/>
    </w:rPr>
  </w:style>
  <w:style w:type="paragraph" w:styleId="6">
    <w:name w:val="footnote text"/>
    <w:basedOn w:val="1"/>
    <w:qFormat/>
    <w:uiPriority w:val="0"/>
    <w:pPr>
      <w:snapToGrid w:val="0"/>
      <w:jc w:val="left"/>
    </w:pPr>
    <w:rPr>
      <w:rFonts w:ascii="Calibri" w:hAnsi="Calibri" w:eastAsia="Calibri" w:cs="Times New Roman"/>
      <w:sz w:val="18"/>
      <w:szCs w:val="18"/>
    </w:rPr>
  </w:style>
  <w:style w:type="paragraph" w:styleId="7">
    <w:name w:val="Body Text First Indent 2"/>
    <w:basedOn w:val="5"/>
    <w:qFormat/>
    <w:uiPriority w:val="0"/>
    <w:pPr>
      <w:tabs>
        <w:tab w:val="left" w:pos="1275"/>
      </w:tabs>
      <w:ind w:firstLine="420" w:firstLineChars="200"/>
    </w:pPr>
    <w:rPr>
      <w:rFonts w:ascii="Calibri" w:hAnsi="Calibri" w:eastAsia="Calibri" w:cs="Times New Roman"/>
    </w:rPr>
  </w:style>
  <w:style w:type="character" w:styleId="10">
    <w:name w:val="footnote reference"/>
    <w:basedOn w:val="9"/>
    <w:qFormat/>
    <w:uiPriority w:val="0"/>
    <w:rPr>
      <w:rFonts w:ascii="Calibri" w:hAnsi="Calibri" w:eastAsia="Calibri" w:cs="Times New Roman"/>
      <w:vertAlign w:val="superscript"/>
    </w:rPr>
  </w:style>
  <w:style w:type="paragraph" w:customStyle="1" w:styleId="11">
    <w:name w:val="正文文本 (2)1"/>
    <w:basedOn w:val="1"/>
    <w:qFormat/>
    <w:uiPriority w:val="0"/>
    <w:pPr>
      <w:shd w:val="clear" w:color="auto" w:fill="FFFFFF"/>
      <w:spacing w:before="300" w:line="439" w:lineRule="exact"/>
      <w:jc w:val="distribute"/>
    </w:pPr>
    <w:rPr>
      <w:rFonts w:ascii="MingLiU" w:hAnsi="Calibri" w:eastAsia="MingLiU" w:cs="MingLiU"/>
      <w:spacing w:val="20"/>
      <w:kern w:val="0"/>
      <w:sz w:val="22"/>
    </w:rPr>
  </w:style>
  <w:style w:type="character" w:customStyle="1" w:styleId="12">
    <w:name w:val="正文文本 (2) + 10 pt34"/>
    <w:qFormat/>
    <w:uiPriority w:val="0"/>
    <w:rPr>
      <w:rFonts w:ascii="MingLiU" w:hAnsi="Calibri" w:eastAsia="MingLiU" w:cs="MingLiU"/>
      <w:spacing w:val="-20"/>
      <w:sz w:val="20"/>
      <w:szCs w:val="20"/>
      <w:u w:val="none"/>
      <w:lang w:val="en-US" w:eastAsia="en-US"/>
    </w:rPr>
  </w:style>
  <w:style w:type="paragraph" w:customStyle="1" w:styleId="13">
    <w:name w:val="正文3"/>
    <w:qFormat/>
    <w:uiPriority w:val="0"/>
    <w:pPr>
      <w:jc w:val="both"/>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2023-11-17T05:01:00Z</dcterms:created>
  <dc:creator>Administrator</dc:creator>
  <cp:lastModifiedBy>Administrator</cp:lastModifiedBy>
  <dcterms:modified xsi:type="dcterms:W3CDTF">2023-11-17T05:01:42Z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B93B4226206440C892990064AAC4069B_11</vt:lpwstr>
  </property>
</Properties>
</file>