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增城区现代服务业发展“十四五”规划</w:t>
      </w:r>
    </w:p>
    <w:p>
      <w:pPr>
        <w:pStyle w:val="2"/>
        <w:jc w:val="center"/>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44"/>
          <w:szCs w:val="44"/>
          <w14:textFill>
            <w14:solidFill>
              <w14:schemeClr w14:val="tx1"/>
            </w14:solidFill>
          </w14:textFill>
        </w:rPr>
        <w:t>（</w:t>
      </w:r>
      <w:r>
        <w:rPr>
          <w:rFonts w:hint="eastAsia" w:ascii="楷体_GB2312" w:hAnsi="楷体_GB2312" w:eastAsia="楷体_GB2312" w:cs="楷体_GB2312"/>
          <w:color w:val="000000" w:themeColor="text1"/>
          <w:sz w:val="44"/>
          <w:szCs w:val="44"/>
          <w:lang w:eastAsia="zh-CN"/>
          <w14:textFill>
            <w14:solidFill>
              <w14:schemeClr w14:val="tx1"/>
            </w14:solidFill>
          </w14:textFill>
        </w:rPr>
        <w:t>公示版</w:t>
      </w:r>
      <w:r>
        <w:rPr>
          <w:rFonts w:hint="eastAsia" w:ascii="楷体_GB2312" w:hAnsi="楷体_GB2312" w:eastAsia="楷体_GB2312" w:cs="楷体_GB2312"/>
          <w:color w:val="000000" w:themeColor="text1"/>
          <w:sz w:val="44"/>
          <w:szCs w:val="44"/>
          <w14:textFill>
            <w14:solidFill>
              <w14:schemeClr w14:val="tx1"/>
            </w14:solidFill>
          </w14:textFill>
        </w:rPr>
        <w:t>）</w:t>
      </w: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560" w:lineRule="exact"/>
        <w:rPr>
          <w:rFonts w:ascii="Times New Roman" w:hAnsi="Times New Roman"/>
          <w:color w:val="000000" w:themeColor="text1"/>
          <w14:textFill>
            <w14:solidFill>
              <w14:schemeClr w14:val="tx1"/>
            </w14:solidFill>
          </w14:textFill>
        </w:rPr>
      </w:pPr>
    </w:p>
    <w:p>
      <w:pPr>
        <w:jc w:val="center"/>
        <w:rPr>
          <w:rFonts w:ascii="Times New Roman" w:hAnsi="Times New Roman" w:eastAsia="黑体" w:cs="黑体"/>
          <w:b/>
          <w:bCs/>
          <w:color w:val="000000" w:themeColor="text1"/>
          <w:sz w:val="36"/>
          <w:szCs w:val="36"/>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jc w:val="center"/>
        <w:rPr>
          <w:rFonts w:ascii="Times New Roman" w:hAnsi="Times New Roman" w:eastAsia="黑体" w:cs="黑体"/>
          <w:b/>
          <w:bCs/>
          <w:color w:val="000000" w:themeColor="text1"/>
          <w:sz w:val="36"/>
          <w:szCs w:val="36"/>
          <w14:textFill>
            <w14:solidFill>
              <w14:schemeClr w14:val="tx1"/>
            </w14:solidFill>
          </w14:textFill>
        </w:rPr>
      </w:pPr>
      <w:r>
        <w:rPr>
          <w:rFonts w:hint="eastAsia" w:ascii="Times New Roman" w:hAnsi="Times New Roman" w:eastAsia="黑体" w:cs="黑体"/>
          <w:b/>
          <w:bCs/>
          <w:color w:val="000000" w:themeColor="text1"/>
          <w:sz w:val="40"/>
          <w:szCs w:val="40"/>
          <w14:textFill>
            <w14:solidFill>
              <w14:schemeClr w14:val="tx1"/>
            </w14:solidFill>
          </w14:textFill>
        </w:rPr>
        <w:t>目  录</w:t>
      </w:r>
    </w:p>
    <w:p>
      <w:pPr>
        <w:pStyle w:val="8"/>
        <w:tabs>
          <w:tab w:val="right" w:leader="dot" w:pos="8306"/>
        </w:tabs>
        <w:spacing w:line="380" w:lineRule="exact"/>
        <w:rPr>
          <w:rFonts w:ascii="Times New Roman" w:hAnsi="Times New Roman"/>
          <w:sz w:val="24"/>
          <w:szCs w:val="32"/>
        </w:rPr>
      </w:pPr>
      <w:r>
        <w:rPr>
          <w:rFonts w:ascii="Times New Roman" w:hAnsi="Times New Roman"/>
          <w:color w:val="000000" w:themeColor="text1"/>
          <w:sz w:val="144"/>
          <w:szCs w:val="144"/>
          <w14:textFill>
            <w14:solidFill>
              <w14:schemeClr w14:val="tx1"/>
            </w14:solidFill>
          </w14:textFill>
        </w:rPr>
        <w:fldChar w:fldCharType="begin"/>
      </w:r>
      <w:r>
        <w:rPr>
          <w:rFonts w:ascii="Times New Roman" w:hAnsi="Times New Roman"/>
          <w:color w:val="000000" w:themeColor="text1"/>
          <w:sz w:val="144"/>
          <w:szCs w:val="144"/>
          <w14:textFill>
            <w14:solidFill>
              <w14:schemeClr w14:val="tx1"/>
            </w14:solidFill>
          </w14:textFill>
        </w:rPr>
        <w:instrText xml:space="preserve">TOC \o "1-2" \h \u </w:instrText>
      </w:r>
      <w:r>
        <w:rPr>
          <w:rFonts w:ascii="Times New Roman" w:hAnsi="Times New Roman"/>
          <w:color w:val="000000" w:themeColor="text1"/>
          <w:sz w:val="144"/>
          <w:szCs w:val="144"/>
          <w14:textFill>
            <w14:solidFill>
              <w14:schemeClr w14:val="tx1"/>
            </w14:solidFill>
          </w14:textFill>
        </w:rPr>
        <w:fldChar w:fldCharType="separate"/>
      </w:r>
      <w:r>
        <w:fldChar w:fldCharType="begin"/>
      </w:r>
      <w:r>
        <w:instrText xml:space="preserve"> HYPERLINK \l "_Toc22126" </w:instrText>
      </w:r>
      <w:r>
        <w:fldChar w:fldCharType="separate"/>
      </w:r>
      <w:r>
        <w:rPr>
          <w:rFonts w:hint="eastAsia" w:ascii="Times New Roman" w:hAnsi="Times New Roman" w:eastAsia="黑体" w:cs="黑体"/>
          <w:sz w:val="24"/>
          <w:szCs w:val="40"/>
        </w:rPr>
        <w:t xml:space="preserve">前 </w:t>
      </w:r>
      <w:r>
        <w:rPr>
          <w:rFonts w:ascii="Times New Roman" w:hAnsi="Times New Roman" w:eastAsia="黑体" w:cs="黑体"/>
          <w:sz w:val="24"/>
          <w:szCs w:val="40"/>
        </w:rPr>
        <w:t xml:space="preserve"> </w:t>
      </w:r>
      <w:r>
        <w:rPr>
          <w:rFonts w:hint="eastAsia" w:ascii="Times New Roman" w:hAnsi="Times New Roman" w:eastAsia="黑体" w:cs="黑体"/>
          <w:sz w:val="24"/>
          <w:szCs w:val="40"/>
        </w:rPr>
        <w:t>言</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_Toc22126 </w:instrText>
      </w:r>
      <w:r>
        <w:rPr>
          <w:rFonts w:ascii="Times New Roman" w:hAnsi="Times New Roman"/>
          <w:sz w:val="24"/>
          <w:szCs w:val="32"/>
        </w:rPr>
        <w:fldChar w:fldCharType="separate"/>
      </w:r>
      <w:r>
        <w:rPr>
          <w:rFonts w:ascii="Times New Roman" w:hAnsi="Times New Roman"/>
          <w:sz w:val="24"/>
          <w:szCs w:val="32"/>
        </w:rPr>
        <w:t>1</w:t>
      </w:r>
      <w:r>
        <w:rPr>
          <w:rFonts w:ascii="Times New Roman" w:hAnsi="Times New Roman"/>
          <w:sz w:val="24"/>
          <w:szCs w:val="32"/>
        </w:rPr>
        <w:fldChar w:fldCharType="end"/>
      </w:r>
      <w:r>
        <w:rPr>
          <w:rFonts w:ascii="Times New Roman" w:hAnsi="Times New Roman"/>
          <w:sz w:val="24"/>
          <w:szCs w:val="32"/>
        </w:rPr>
        <w:fldChar w:fldCharType="end"/>
      </w:r>
    </w:p>
    <w:p>
      <w:pPr>
        <w:pStyle w:val="8"/>
        <w:tabs>
          <w:tab w:val="right" w:leader="dot" w:pos="8306"/>
        </w:tabs>
        <w:spacing w:line="380" w:lineRule="exact"/>
        <w:rPr>
          <w:rFonts w:ascii="Times New Roman" w:hAnsi="Times New Roman"/>
          <w:sz w:val="24"/>
          <w:szCs w:val="32"/>
        </w:rPr>
      </w:pPr>
      <w:r>
        <w:fldChar w:fldCharType="begin"/>
      </w:r>
      <w:r>
        <w:instrText xml:space="preserve"> HYPERLINK \l "_Toc23704" </w:instrText>
      </w:r>
      <w:r>
        <w:fldChar w:fldCharType="separate"/>
      </w:r>
      <w:r>
        <w:rPr>
          <w:rFonts w:hint="eastAsia" w:ascii="Times New Roman" w:hAnsi="Times New Roman" w:eastAsia="黑体" w:cs="黑体"/>
          <w:sz w:val="24"/>
          <w:szCs w:val="40"/>
        </w:rPr>
        <w:t>一、发展背景</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_Toc23704 </w:instrText>
      </w:r>
      <w:r>
        <w:rPr>
          <w:rFonts w:ascii="Times New Roman" w:hAnsi="Times New Roman"/>
          <w:sz w:val="24"/>
          <w:szCs w:val="32"/>
        </w:rPr>
        <w:fldChar w:fldCharType="separate"/>
      </w:r>
      <w:r>
        <w:rPr>
          <w:rFonts w:ascii="Times New Roman" w:hAnsi="Times New Roman"/>
          <w:sz w:val="24"/>
          <w:szCs w:val="32"/>
        </w:rPr>
        <w:t>2</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"_Toc22968" </w:instrText>
      </w:r>
      <w:r>
        <w:fldChar w:fldCharType="separate"/>
      </w:r>
      <w:r>
        <w:rPr>
          <w:rFonts w:hint="eastAsia" w:ascii="Times New Roman" w:hAnsi="Times New Roman" w:eastAsia="楷体_GB2312" w:cs="黑体"/>
          <w:bCs/>
          <w:sz w:val="24"/>
          <w:szCs w:val="40"/>
        </w:rPr>
        <w:t>（一）发展基础</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_Toc22968 </w:instrText>
      </w:r>
      <w:r>
        <w:rPr>
          <w:rFonts w:ascii="Times New Roman" w:hAnsi="Times New Roman"/>
          <w:sz w:val="24"/>
          <w:szCs w:val="32"/>
        </w:rPr>
        <w:fldChar w:fldCharType="separate"/>
      </w:r>
      <w:r>
        <w:rPr>
          <w:rFonts w:ascii="Times New Roman" w:hAnsi="Times New Roman"/>
          <w:sz w:val="24"/>
          <w:szCs w:val="32"/>
        </w:rPr>
        <w:t>2</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"_Toc23852" </w:instrText>
      </w:r>
      <w:r>
        <w:fldChar w:fldCharType="separate"/>
      </w:r>
      <w:r>
        <w:rPr>
          <w:rFonts w:hint="eastAsia" w:ascii="Times New Roman" w:hAnsi="Times New Roman" w:eastAsia="楷体_GB2312" w:cs="黑体"/>
          <w:bCs/>
          <w:sz w:val="24"/>
          <w:szCs w:val="44"/>
        </w:rPr>
        <w:t>（二）存在问题</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_Toc23852 </w:instrText>
      </w:r>
      <w:r>
        <w:rPr>
          <w:rFonts w:ascii="Times New Roman" w:hAnsi="Times New Roman"/>
          <w:sz w:val="24"/>
          <w:szCs w:val="32"/>
        </w:rPr>
        <w:fldChar w:fldCharType="separate"/>
      </w:r>
      <w:r>
        <w:rPr>
          <w:rFonts w:ascii="Times New Roman" w:hAnsi="Times New Roman"/>
          <w:sz w:val="24"/>
          <w:szCs w:val="32"/>
        </w:rPr>
        <w:t>4</w:t>
      </w:r>
      <w:r>
        <w:rPr>
          <w:rFonts w:ascii="Times New Roman" w:hAnsi="Times New Roman"/>
          <w:sz w:val="24"/>
          <w:szCs w:val="32"/>
        </w:rPr>
        <w:fldChar w:fldCharType="end"/>
      </w:r>
      <w:r>
        <w:rPr>
          <w:rFonts w:ascii="Times New Roman" w:hAnsi="Times New Roman"/>
          <w:sz w:val="24"/>
          <w:szCs w:val="32"/>
        </w:rPr>
        <w:fldChar w:fldCharType="end"/>
      </w:r>
    </w:p>
    <w:p>
      <w:pPr>
        <w:pStyle w:val="8"/>
        <w:tabs>
          <w:tab w:val="right" w:leader="dot" w:pos="8306"/>
        </w:tabs>
        <w:spacing w:line="380" w:lineRule="exact"/>
        <w:rPr>
          <w:rFonts w:ascii="Times New Roman" w:hAnsi="Times New Roman"/>
          <w:sz w:val="24"/>
          <w:szCs w:val="32"/>
        </w:rPr>
      </w:pPr>
      <w:r>
        <w:fldChar w:fldCharType="begin"/>
      </w:r>
      <w:r>
        <w:instrText xml:space="preserve"> HYPERLINK \l "_Toc9542" </w:instrText>
      </w:r>
      <w:r>
        <w:fldChar w:fldCharType="separate"/>
      </w:r>
      <w:r>
        <w:rPr>
          <w:rFonts w:hint="eastAsia" w:ascii="Times New Roman" w:hAnsi="Times New Roman" w:eastAsia="黑体" w:cs="黑体"/>
          <w:sz w:val="24"/>
          <w:szCs w:val="40"/>
        </w:rPr>
        <w:t>二、发展环境</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_Toc9542 </w:instrText>
      </w:r>
      <w:r>
        <w:rPr>
          <w:rFonts w:ascii="Times New Roman" w:hAnsi="Times New Roman"/>
          <w:sz w:val="24"/>
          <w:szCs w:val="32"/>
        </w:rPr>
        <w:fldChar w:fldCharType="separate"/>
      </w:r>
      <w:r>
        <w:rPr>
          <w:rFonts w:ascii="Times New Roman" w:hAnsi="Times New Roman"/>
          <w:sz w:val="24"/>
          <w:szCs w:val="32"/>
        </w:rPr>
        <w:t>5</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"_Toc19658" </w:instrText>
      </w:r>
      <w:r>
        <w:fldChar w:fldCharType="separate"/>
      </w:r>
      <w:r>
        <w:rPr>
          <w:rFonts w:hint="eastAsia" w:ascii="Times New Roman" w:hAnsi="Times New Roman" w:eastAsia="楷体_GB2312" w:cs="黑体"/>
          <w:bCs/>
          <w:sz w:val="24"/>
          <w:szCs w:val="40"/>
        </w:rPr>
        <w:t>（一）发展机遇</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_Toc19658 </w:instrText>
      </w:r>
      <w:r>
        <w:rPr>
          <w:rFonts w:ascii="Times New Roman" w:hAnsi="Times New Roman"/>
          <w:sz w:val="24"/>
          <w:szCs w:val="32"/>
        </w:rPr>
        <w:fldChar w:fldCharType="separate"/>
      </w:r>
      <w:r>
        <w:rPr>
          <w:rFonts w:ascii="Times New Roman" w:hAnsi="Times New Roman"/>
          <w:sz w:val="24"/>
          <w:szCs w:val="32"/>
        </w:rPr>
        <w:t>5</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"_Toc12596" </w:instrText>
      </w:r>
      <w:r>
        <w:fldChar w:fldCharType="separate"/>
      </w:r>
      <w:r>
        <w:rPr>
          <w:rFonts w:hint="eastAsia" w:ascii="Times New Roman" w:hAnsi="Times New Roman" w:eastAsia="楷体_GB2312" w:cs="黑体"/>
          <w:bCs/>
          <w:sz w:val="24"/>
          <w:szCs w:val="40"/>
        </w:rPr>
        <w:t>（二）面临挑战</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_Toc12596 </w:instrText>
      </w:r>
      <w:r>
        <w:rPr>
          <w:rFonts w:ascii="Times New Roman" w:hAnsi="Times New Roman"/>
          <w:sz w:val="24"/>
          <w:szCs w:val="32"/>
        </w:rPr>
        <w:fldChar w:fldCharType="separate"/>
      </w:r>
      <w:r>
        <w:rPr>
          <w:rFonts w:ascii="Times New Roman" w:hAnsi="Times New Roman"/>
          <w:sz w:val="24"/>
          <w:szCs w:val="32"/>
        </w:rPr>
        <w:t>7</w:t>
      </w:r>
      <w:r>
        <w:rPr>
          <w:rFonts w:ascii="Times New Roman" w:hAnsi="Times New Roman"/>
          <w:sz w:val="24"/>
          <w:szCs w:val="32"/>
        </w:rPr>
        <w:fldChar w:fldCharType="end"/>
      </w:r>
      <w:r>
        <w:rPr>
          <w:rFonts w:ascii="Times New Roman" w:hAnsi="Times New Roman"/>
          <w:sz w:val="24"/>
          <w:szCs w:val="32"/>
        </w:rPr>
        <w:fldChar w:fldCharType="end"/>
      </w:r>
    </w:p>
    <w:p>
      <w:pPr>
        <w:pStyle w:val="8"/>
        <w:tabs>
          <w:tab w:val="right" w:leader="dot" w:pos="8306"/>
        </w:tabs>
        <w:spacing w:line="380" w:lineRule="exact"/>
        <w:rPr>
          <w:rFonts w:ascii="Times New Roman" w:hAnsi="Times New Roman"/>
          <w:sz w:val="24"/>
          <w:szCs w:val="32"/>
        </w:rPr>
      </w:pPr>
      <w:r>
        <w:fldChar w:fldCharType="begin"/>
      </w:r>
      <w:r>
        <w:instrText xml:space="preserve"> HYPERLINK \l "_Toc9161" </w:instrText>
      </w:r>
      <w:r>
        <w:fldChar w:fldCharType="separate"/>
      </w:r>
      <w:r>
        <w:rPr>
          <w:rFonts w:hint="eastAsia" w:ascii="Times New Roman" w:hAnsi="Times New Roman" w:eastAsia="黑体" w:cs="Times New Roman"/>
          <w:sz w:val="24"/>
          <w:szCs w:val="48"/>
        </w:rPr>
        <w:t>三、总体要求</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_Toc9161 </w:instrText>
      </w:r>
      <w:r>
        <w:rPr>
          <w:rFonts w:ascii="Times New Roman" w:hAnsi="Times New Roman"/>
          <w:sz w:val="24"/>
          <w:szCs w:val="32"/>
        </w:rPr>
        <w:fldChar w:fldCharType="separate"/>
      </w:r>
      <w:r>
        <w:rPr>
          <w:rFonts w:ascii="Times New Roman" w:hAnsi="Times New Roman"/>
          <w:sz w:val="24"/>
          <w:szCs w:val="32"/>
        </w:rPr>
        <w:t>8</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"_Toc6786" </w:instrText>
      </w:r>
      <w:r>
        <w:fldChar w:fldCharType="separate"/>
      </w:r>
      <w:r>
        <w:rPr>
          <w:rFonts w:hint="eastAsia" w:ascii="Times New Roman" w:hAnsi="Times New Roman" w:eastAsia="楷体_GB2312" w:cs="Times New Roman"/>
          <w:bCs/>
          <w:sz w:val="24"/>
          <w:szCs w:val="48"/>
        </w:rPr>
        <w:t>（一）指导思想</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_Toc6786 </w:instrText>
      </w:r>
      <w:r>
        <w:rPr>
          <w:rFonts w:ascii="Times New Roman" w:hAnsi="Times New Roman"/>
          <w:sz w:val="24"/>
          <w:szCs w:val="32"/>
        </w:rPr>
        <w:fldChar w:fldCharType="separate"/>
      </w:r>
      <w:r>
        <w:rPr>
          <w:rFonts w:ascii="Times New Roman" w:hAnsi="Times New Roman"/>
          <w:sz w:val="24"/>
          <w:szCs w:val="32"/>
        </w:rPr>
        <w:t>8</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"_Toc286" </w:instrText>
      </w:r>
      <w:r>
        <w:fldChar w:fldCharType="separate"/>
      </w:r>
      <w:r>
        <w:rPr>
          <w:rFonts w:hint="eastAsia" w:ascii="Times New Roman" w:hAnsi="Times New Roman" w:eastAsia="楷体_GB2312" w:cs="Times New Roman"/>
          <w:bCs/>
          <w:sz w:val="24"/>
          <w:szCs w:val="48"/>
        </w:rPr>
        <w:t>（二）基本原则</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_Toc286 </w:instrText>
      </w:r>
      <w:r>
        <w:rPr>
          <w:rFonts w:ascii="Times New Roman" w:hAnsi="Times New Roman"/>
          <w:sz w:val="24"/>
          <w:szCs w:val="32"/>
        </w:rPr>
        <w:fldChar w:fldCharType="separate"/>
      </w:r>
      <w:r>
        <w:rPr>
          <w:rFonts w:ascii="Times New Roman" w:hAnsi="Times New Roman"/>
          <w:sz w:val="24"/>
          <w:szCs w:val="32"/>
        </w:rPr>
        <w:t>9</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"_Toc2656" </w:instrText>
      </w:r>
      <w:r>
        <w:fldChar w:fldCharType="separate"/>
      </w:r>
      <w:r>
        <w:rPr>
          <w:rFonts w:hint="eastAsia" w:ascii="Times New Roman" w:hAnsi="Times New Roman" w:eastAsia="楷体_GB2312" w:cs="Times New Roman"/>
          <w:bCs/>
          <w:sz w:val="24"/>
          <w:szCs w:val="48"/>
        </w:rPr>
        <w:t>（三）发展目标</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_Toc2656 </w:instrText>
      </w:r>
      <w:r>
        <w:rPr>
          <w:rFonts w:ascii="Times New Roman" w:hAnsi="Times New Roman"/>
          <w:sz w:val="24"/>
          <w:szCs w:val="32"/>
        </w:rPr>
        <w:fldChar w:fldCharType="separate"/>
      </w:r>
      <w:r>
        <w:rPr>
          <w:rFonts w:ascii="Times New Roman" w:hAnsi="Times New Roman"/>
          <w:sz w:val="24"/>
          <w:szCs w:val="32"/>
        </w:rPr>
        <w:t>11</w:t>
      </w:r>
      <w:r>
        <w:rPr>
          <w:rFonts w:ascii="Times New Roman" w:hAnsi="Times New Roman"/>
          <w:sz w:val="24"/>
          <w:szCs w:val="32"/>
        </w:rPr>
        <w:fldChar w:fldCharType="end"/>
      </w:r>
      <w:r>
        <w:rPr>
          <w:rFonts w:ascii="Times New Roman" w:hAnsi="Times New Roman"/>
          <w:sz w:val="24"/>
          <w:szCs w:val="32"/>
        </w:rPr>
        <w:fldChar w:fldCharType="end"/>
      </w:r>
    </w:p>
    <w:p>
      <w:pPr>
        <w:pStyle w:val="8"/>
        <w:tabs>
          <w:tab w:val="right" w:leader="dot" w:pos="8306"/>
        </w:tabs>
        <w:spacing w:line="380" w:lineRule="exact"/>
        <w:rPr>
          <w:rFonts w:ascii="Times New Roman" w:hAnsi="Times New Roman"/>
          <w:sz w:val="24"/>
          <w:szCs w:val="32"/>
        </w:rPr>
      </w:pPr>
      <w:r>
        <w:fldChar w:fldCharType="begin"/>
      </w:r>
      <w:r>
        <w:instrText xml:space="preserve"> HYPERLINK \l "_Toc7944" </w:instrText>
      </w:r>
      <w:r>
        <w:fldChar w:fldCharType="separate"/>
      </w:r>
      <w:r>
        <w:rPr>
          <w:rFonts w:hint="eastAsia" w:ascii="Times New Roman" w:hAnsi="Times New Roman" w:eastAsia="黑体" w:cs="黑体"/>
          <w:sz w:val="24"/>
          <w:szCs w:val="40"/>
        </w:rPr>
        <w:t>四、 产业发展重点（1+5+3）</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_Toc7944 </w:instrText>
      </w:r>
      <w:r>
        <w:rPr>
          <w:rFonts w:ascii="Times New Roman" w:hAnsi="Times New Roman"/>
          <w:sz w:val="24"/>
          <w:szCs w:val="32"/>
        </w:rPr>
        <w:fldChar w:fldCharType="separate"/>
      </w:r>
      <w:r>
        <w:rPr>
          <w:rFonts w:ascii="Times New Roman" w:hAnsi="Times New Roman"/>
          <w:sz w:val="24"/>
          <w:szCs w:val="32"/>
        </w:rPr>
        <w:t>12</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"_Toc22712" </w:instrText>
      </w:r>
      <w:r>
        <w:fldChar w:fldCharType="separate"/>
      </w:r>
      <w:r>
        <w:rPr>
          <w:rFonts w:hint="eastAsia" w:ascii="Times New Roman" w:hAnsi="Times New Roman" w:eastAsia="楷体_GB2312" w:cs="楷体_GB2312"/>
          <w:bCs/>
          <w:sz w:val="24"/>
          <w:szCs w:val="44"/>
        </w:rPr>
        <w:t>（一）</w:t>
      </w:r>
      <w:r>
        <w:rPr>
          <w:rFonts w:hint="eastAsia" w:ascii="Times New Roman" w:hAnsi="Times New Roman" w:eastAsia="楷体_GB2312" w:cs="楷体_GB2312"/>
          <w:bCs/>
          <w:sz w:val="24"/>
          <w:szCs w:val="40"/>
        </w:rPr>
        <w:t>重点发展商贸流通业</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_Toc22712 </w:instrText>
      </w:r>
      <w:r>
        <w:rPr>
          <w:rFonts w:ascii="Times New Roman" w:hAnsi="Times New Roman"/>
          <w:sz w:val="24"/>
          <w:szCs w:val="32"/>
        </w:rPr>
        <w:fldChar w:fldCharType="separate"/>
      </w:r>
      <w:r>
        <w:rPr>
          <w:rFonts w:ascii="Times New Roman" w:hAnsi="Times New Roman"/>
          <w:sz w:val="24"/>
          <w:szCs w:val="32"/>
        </w:rPr>
        <w:t>13</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"_Toc27105" </w:instrText>
      </w:r>
      <w:r>
        <w:fldChar w:fldCharType="separate"/>
      </w:r>
      <w:r>
        <w:rPr>
          <w:rFonts w:hint="eastAsia" w:ascii="Times New Roman" w:hAnsi="Times New Roman" w:eastAsia="楷体_GB2312" w:cs="楷体_GB2312"/>
          <w:bCs/>
          <w:sz w:val="24"/>
          <w:szCs w:val="44"/>
        </w:rPr>
        <w:t>（二）着力发展高端生产性服务业</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_Toc27105 </w:instrText>
      </w:r>
      <w:r>
        <w:rPr>
          <w:rFonts w:ascii="Times New Roman" w:hAnsi="Times New Roman"/>
          <w:sz w:val="24"/>
          <w:szCs w:val="32"/>
        </w:rPr>
        <w:fldChar w:fldCharType="separate"/>
      </w:r>
      <w:r>
        <w:rPr>
          <w:rFonts w:ascii="Times New Roman" w:hAnsi="Times New Roman"/>
          <w:sz w:val="24"/>
          <w:szCs w:val="32"/>
        </w:rPr>
        <w:t>14</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"_Toc19498" </w:instrText>
      </w:r>
      <w:r>
        <w:fldChar w:fldCharType="separate"/>
      </w:r>
      <w:r>
        <w:rPr>
          <w:rFonts w:hint="eastAsia" w:ascii="Times New Roman" w:hAnsi="Times New Roman" w:eastAsia="楷体_GB2312" w:cs="楷体_GB2312"/>
          <w:bCs/>
          <w:sz w:val="24"/>
          <w:szCs w:val="40"/>
        </w:rPr>
        <w:t>（三）提升发展生活性服务业</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_Toc19498 </w:instrText>
      </w:r>
      <w:r>
        <w:rPr>
          <w:rFonts w:ascii="Times New Roman" w:hAnsi="Times New Roman"/>
          <w:sz w:val="24"/>
          <w:szCs w:val="32"/>
        </w:rPr>
        <w:fldChar w:fldCharType="separate"/>
      </w:r>
      <w:r>
        <w:rPr>
          <w:rFonts w:ascii="Times New Roman" w:hAnsi="Times New Roman"/>
          <w:sz w:val="24"/>
          <w:szCs w:val="32"/>
        </w:rPr>
        <w:t>17</w:t>
      </w:r>
      <w:r>
        <w:rPr>
          <w:rFonts w:ascii="Times New Roman" w:hAnsi="Times New Roman"/>
          <w:sz w:val="24"/>
          <w:szCs w:val="32"/>
        </w:rPr>
        <w:fldChar w:fldCharType="end"/>
      </w:r>
      <w:r>
        <w:rPr>
          <w:rFonts w:ascii="Times New Roman" w:hAnsi="Times New Roman"/>
          <w:sz w:val="24"/>
          <w:szCs w:val="32"/>
        </w:rPr>
        <w:fldChar w:fldCharType="end"/>
      </w:r>
    </w:p>
    <w:p>
      <w:pPr>
        <w:pStyle w:val="8"/>
        <w:tabs>
          <w:tab w:val="right" w:leader="dot" w:pos="8306"/>
        </w:tabs>
        <w:spacing w:line="380" w:lineRule="exact"/>
        <w:rPr>
          <w:rFonts w:ascii="Times New Roman" w:hAnsi="Times New Roman"/>
          <w:sz w:val="24"/>
          <w:szCs w:val="32"/>
        </w:rPr>
      </w:pPr>
      <w:r>
        <w:fldChar w:fldCharType="begin"/>
      </w:r>
      <w:r>
        <w:instrText xml:space="preserve"> HYPERLINK \l "_Toc12979" </w:instrText>
      </w:r>
      <w:r>
        <w:fldChar w:fldCharType="separate"/>
      </w:r>
      <w:r>
        <w:rPr>
          <w:rFonts w:hint="eastAsia" w:ascii="Times New Roman" w:hAnsi="Times New Roman" w:eastAsia="黑体" w:cs="黑体"/>
          <w:kern w:val="0"/>
          <w:sz w:val="24"/>
          <w:szCs w:val="40"/>
        </w:rPr>
        <w:t>五、 发展布局</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_Toc12979 </w:instrText>
      </w:r>
      <w:r>
        <w:rPr>
          <w:rFonts w:ascii="Times New Roman" w:hAnsi="Times New Roman"/>
          <w:sz w:val="24"/>
          <w:szCs w:val="32"/>
        </w:rPr>
        <w:fldChar w:fldCharType="separate"/>
      </w:r>
      <w:r>
        <w:rPr>
          <w:rFonts w:ascii="Times New Roman" w:hAnsi="Times New Roman"/>
          <w:sz w:val="24"/>
          <w:szCs w:val="32"/>
        </w:rPr>
        <w:t>19</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"_Toc10972" </w:instrText>
      </w:r>
      <w:r>
        <w:fldChar w:fldCharType="separate"/>
      </w:r>
      <w:r>
        <w:rPr>
          <w:rFonts w:hint="eastAsia" w:ascii="Times New Roman" w:hAnsi="Times New Roman" w:eastAsia="楷体_GB2312" w:cs="楷体_GB2312"/>
          <w:bCs/>
          <w:sz w:val="24"/>
          <w:szCs w:val="40"/>
        </w:rPr>
        <w:t>（一）“</w:t>
      </w:r>
      <w:r>
        <w:rPr>
          <w:rFonts w:hint="eastAsia" w:ascii="Times New Roman" w:hAnsi="Times New Roman" w:eastAsia="楷体_GB2312" w:cs="楷体_GB2312"/>
          <w:bCs/>
          <w:sz w:val="24"/>
          <w:szCs w:val="40"/>
          <w:lang w:val="en-US" w:eastAsia="zh-CN"/>
        </w:rPr>
        <w:t>三</w:t>
      </w:r>
      <w:r>
        <w:rPr>
          <w:rFonts w:hint="eastAsia" w:ascii="Times New Roman" w:hAnsi="Times New Roman" w:eastAsia="楷体_GB2312" w:cs="楷体_GB2312"/>
          <w:bCs/>
          <w:sz w:val="24"/>
          <w:szCs w:val="40"/>
        </w:rPr>
        <w:t>核”驱动</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_Toc10972 </w:instrText>
      </w:r>
      <w:r>
        <w:rPr>
          <w:rFonts w:ascii="Times New Roman" w:hAnsi="Times New Roman"/>
          <w:sz w:val="24"/>
          <w:szCs w:val="32"/>
        </w:rPr>
        <w:fldChar w:fldCharType="separate"/>
      </w:r>
      <w:r>
        <w:rPr>
          <w:rFonts w:ascii="Times New Roman" w:hAnsi="Times New Roman"/>
          <w:sz w:val="24"/>
          <w:szCs w:val="32"/>
        </w:rPr>
        <w:t>20</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"_Toc838" </w:instrText>
      </w:r>
      <w:r>
        <w:fldChar w:fldCharType="separate"/>
      </w:r>
      <w:r>
        <w:rPr>
          <w:rFonts w:hint="eastAsia" w:ascii="Times New Roman" w:hAnsi="Times New Roman" w:eastAsia="楷体_GB2312" w:cs="楷体_GB2312"/>
          <w:bCs/>
          <w:sz w:val="24"/>
          <w:szCs w:val="40"/>
        </w:rPr>
        <w:t>（二）“三带”联动</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_Toc838 </w:instrText>
      </w:r>
      <w:r>
        <w:rPr>
          <w:rFonts w:ascii="Times New Roman" w:hAnsi="Times New Roman"/>
          <w:sz w:val="24"/>
          <w:szCs w:val="32"/>
        </w:rPr>
        <w:fldChar w:fldCharType="separate"/>
      </w:r>
      <w:r>
        <w:rPr>
          <w:rFonts w:ascii="Times New Roman" w:hAnsi="Times New Roman"/>
          <w:sz w:val="24"/>
          <w:szCs w:val="32"/>
        </w:rPr>
        <w:t>22</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"_Toc10950" </w:instrText>
      </w:r>
      <w:r>
        <w:fldChar w:fldCharType="separate"/>
      </w:r>
      <w:r>
        <w:rPr>
          <w:rFonts w:hint="eastAsia" w:ascii="Times New Roman" w:hAnsi="Times New Roman" w:eastAsia="楷体_GB2312" w:cs="楷体_GB2312"/>
          <w:bCs/>
          <w:sz w:val="24"/>
          <w:szCs w:val="40"/>
        </w:rPr>
        <w:t>（三）“三组团”支撑发展</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_Toc10950 </w:instrText>
      </w:r>
      <w:r>
        <w:rPr>
          <w:rFonts w:ascii="Times New Roman" w:hAnsi="Times New Roman"/>
          <w:sz w:val="24"/>
          <w:szCs w:val="32"/>
        </w:rPr>
        <w:fldChar w:fldCharType="separate"/>
      </w:r>
      <w:r>
        <w:rPr>
          <w:rFonts w:ascii="Times New Roman" w:hAnsi="Times New Roman"/>
          <w:sz w:val="24"/>
          <w:szCs w:val="32"/>
        </w:rPr>
        <w:t>23</w:t>
      </w:r>
      <w:r>
        <w:rPr>
          <w:rFonts w:ascii="Times New Roman" w:hAnsi="Times New Roman"/>
          <w:sz w:val="24"/>
          <w:szCs w:val="32"/>
        </w:rPr>
        <w:fldChar w:fldCharType="end"/>
      </w:r>
      <w:r>
        <w:rPr>
          <w:rFonts w:ascii="Times New Roman" w:hAnsi="Times New Roman"/>
          <w:sz w:val="24"/>
          <w:szCs w:val="32"/>
        </w:rPr>
        <w:fldChar w:fldCharType="end"/>
      </w:r>
    </w:p>
    <w:p>
      <w:pPr>
        <w:pStyle w:val="8"/>
        <w:tabs>
          <w:tab w:val="right" w:leader="dot" w:pos="8306"/>
        </w:tabs>
        <w:spacing w:line="380" w:lineRule="exact"/>
        <w:rPr>
          <w:rFonts w:ascii="Times New Roman" w:hAnsi="Times New Roman"/>
          <w:sz w:val="24"/>
          <w:szCs w:val="32"/>
        </w:rPr>
      </w:pPr>
      <w:r>
        <w:fldChar w:fldCharType="begin"/>
      </w:r>
      <w:r>
        <w:instrText xml:space="preserve"> HYPERLINK \l "_Toc1981" </w:instrText>
      </w:r>
      <w:r>
        <w:fldChar w:fldCharType="separate"/>
      </w:r>
      <w:r>
        <w:rPr>
          <w:rFonts w:hint="eastAsia" w:ascii="Times New Roman" w:hAnsi="Times New Roman" w:eastAsia="黑体" w:cs="黑体"/>
          <w:sz w:val="24"/>
          <w:szCs w:val="40"/>
        </w:rPr>
        <w:t>六、重点任务</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_Toc1981 </w:instrText>
      </w:r>
      <w:r>
        <w:rPr>
          <w:rFonts w:ascii="Times New Roman" w:hAnsi="Times New Roman"/>
          <w:sz w:val="24"/>
          <w:szCs w:val="32"/>
        </w:rPr>
        <w:fldChar w:fldCharType="separate"/>
      </w:r>
      <w:r>
        <w:rPr>
          <w:rFonts w:ascii="Times New Roman" w:hAnsi="Times New Roman"/>
          <w:sz w:val="24"/>
          <w:szCs w:val="32"/>
        </w:rPr>
        <w:t>29</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"_Toc1380" </w:instrText>
      </w:r>
      <w:r>
        <w:fldChar w:fldCharType="separate"/>
      </w:r>
      <w:r>
        <w:rPr>
          <w:rFonts w:hint="eastAsia" w:ascii="Times New Roman" w:hAnsi="Times New Roman" w:eastAsia="楷体_GB2312"/>
          <w:bCs/>
          <w:sz w:val="24"/>
          <w:szCs w:val="40"/>
        </w:rPr>
        <w:t>（一）推动服务业融合创新</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_Toc1380 </w:instrText>
      </w:r>
      <w:r>
        <w:rPr>
          <w:rFonts w:ascii="Times New Roman" w:hAnsi="Times New Roman"/>
          <w:sz w:val="24"/>
          <w:szCs w:val="32"/>
        </w:rPr>
        <w:fldChar w:fldCharType="separate"/>
      </w:r>
      <w:r>
        <w:rPr>
          <w:rFonts w:ascii="Times New Roman" w:hAnsi="Times New Roman"/>
          <w:sz w:val="24"/>
          <w:szCs w:val="32"/>
        </w:rPr>
        <w:t>29</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"_Toc25086" </w:instrText>
      </w:r>
      <w:r>
        <w:fldChar w:fldCharType="separate"/>
      </w:r>
      <w:r>
        <w:rPr>
          <w:rFonts w:hint="eastAsia" w:ascii="Times New Roman" w:hAnsi="Times New Roman" w:eastAsia="楷体_GB2312"/>
          <w:bCs/>
          <w:sz w:val="24"/>
          <w:szCs w:val="40"/>
        </w:rPr>
        <w:t>（二）推进重点项目支撑发展</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_Toc25086 </w:instrText>
      </w:r>
      <w:r>
        <w:rPr>
          <w:rFonts w:ascii="Times New Roman" w:hAnsi="Times New Roman"/>
          <w:sz w:val="24"/>
          <w:szCs w:val="32"/>
        </w:rPr>
        <w:fldChar w:fldCharType="separate"/>
      </w:r>
      <w:r>
        <w:rPr>
          <w:rFonts w:ascii="Times New Roman" w:hAnsi="Times New Roman"/>
          <w:sz w:val="24"/>
          <w:szCs w:val="32"/>
        </w:rPr>
        <w:t>31</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"_Toc20979" </w:instrText>
      </w:r>
      <w:r>
        <w:fldChar w:fldCharType="separate"/>
      </w:r>
      <w:r>
        <w:rPr>
          <w:rFonts w:hint="eastAsia" w:ascii="Times New Roman" w:hAnsi="Times New Roman" w:eastAsia="楷体_GB2312"/>
          <w:bCs/>
          <w:sz w:val="24"/>
          <w:szCs w:val="40"/>
        </w:rPr>
        <w:t>（三）加快培育企业做强做优</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_Toc20979 </w:instrText>
      </w:r>
      <w:r>
        <w:rPr>
          <w:rFonts w:ascii="Times New Roman" w:hAnsi="Times New Roman"/>
          <w:sz w:val="24"/>
          <w:szCs w:val="32"/>
        </w:rPr>
        <w:fldChar w:fldCharType="separate"/>
      </w:r>
      <w:r>
        <w:rPr>
          <w:rFonts w:ascii="Times New Roman" w:hAnsi="Times New Roman"/>
          <w:sz w:val="24"/>
          <w:szCs w:val="32"/>
        </w:rPr>
        <w:t>33</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"_Toc7544" </w:instrText>
      </w:r>
      <w:r>
        <w:fldChar w:fldCharType="separate"/>
      </w:r>
      <w:r>
        <w:rPr>
          <w:rFonts w:hint="eastAsia" w:ascii="Times New Roman" w:hAnsi="Times New Roman" w:eastAsia="楷体_GB2312"/>
          <w:bCs/>
          <w:sz w:val="24"/>
          <w:szCs w:val="40"/>
        </w:rPr>
        <w:t>（四）扩大服务业内外开放</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_Toc7544 </w:instrText>
      </w:r>
      <w:r>
        <w:rPr>
          <w:rFonts w:ascii="Times New Roman" w:hAnsi="Times New Roman"/>
          <w:sz w:val="24"/>
          <w:szCs w:val="32"/>
        </w:rPr>
        <w:fldChar w:fldCharType="separate"/>
      </w:r>
      <w:r>
        <w:rPr>
          <w:rFonts w:ascii="Times New Roman" w:hAnsi="Times New Roman"/>
          <w:sz w:val="24"/>
          <w:szCs w:val="32"/>
        </w:rPr>
        <w:t>34</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"_Toc8873" </w:instrText>
      </w:r>
      <w:r>
        <w:fldChar w:fldCharType="separate"/>
      </w:r>
      <w:r>
        <w:rPr>
          <w:rFonts w:hint="eastAsia" w:ascii="Times New Roman" w:hAnsi="Times New Roman" w:eastAsia="楷体_GB2312"/>
          <w:bCs/>
          <w:sz w:val="24"/>
          <w:szCs w:val="40"/>
        </w:rPr>
        <w:t>（五）强化服务业基础设施</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_Toc8873 </w:instrText>
      </w:r>
      <w:r>
        <w:rPr>
          <w:rFonts w:ascii="Times New Roman" w:hAnsi="Times New Roman"/>
          <w:sz w:val="24"/>
          <w:szCs w:val="32"/>
        </w:rPr>
        <w:fldChar w:fldCharType="separate"/>
      </w:r>
      <w:r>
        <w:rPr>
          <w:rFonts w:ascii="Times New Roman" w:hAnsi="Times New Roman"/>
          <w:sz w:val="24"/>
          <w:szCs w:val="32"/>
        </w:rPr>
        <w:t>36</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"_Toc28168" </w:instrText>
      </w:r>
      <w:r>
        <w:fldChar w:fldCharType="separate"/>
      </w:r>
      <w:r>
        <w:rPr>
          <w:rFonts w:hint="eastAsia" w:ascii="Times New Roman" w:hAnsi="Times New Roman" w:eastAsia="楷体_GB2312"/>
          <w:bCs/>
          <w:sz w:val="24"/>
          <w:szCs w:val="40"/>
        </w:rPr>
        <w:t>（六）完善服务业发展环境</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_Toc28168 </w:instrText>
      </w:r>
      <w:r>
        <w:rPr>
          <w:rFonts w:ascii="Times New Roman" w:hAnsi="Times New Roman"/>
          <w:sz w:val="24"/>
          <w:szCs w:val="32"/>
        </w:rPr>
        <w:fldChar w:fldCharType="separate"/>
      </w:r>
      <w:r>
        <w:rPr>
          <w:rFonts w:ascii="Times New Roman" w:hAnsi="Times New Roman"/>
          <w:sz w:val="24"/>
          <w:szCs w:val="32"/>
        </w:rPr>
        <w:t>37</w:t>
      </w:r>
      <w:r>
        <w:rPr>
          <w:rFonts w:ascii="Times New Roman" w:hAnsi="Times New Roman"/>
          <w:sz w:val="24"/>
          <w:szCs w:val="32"/>
        </w:rPr>
        <w:fldChar w:fldCharType="end"/>
      </w:r>
      <w:r>
        <w:rPr>
          <w:rFonts w:ascii="Times New Roman" w:hAnsi="Times New Roman"/>
          <w:sz w:val="24"/>
          <w:szCs w:val="32"/>
        </w:rPr>
        <w:fldChar w:fldCharType="end"/>
      </w:r>
    </w:p>
    <w:p>
      <w:pPr>
        <w:pStyle w:val="8"/>
        <w:tabs>
          <w:tab w:val="right" w:leader="dot" w:pos="8306"/>
        </w:tabs>
        <w:spacing w:line="380" w:lineRule="exact"/>
        <w:rPr>
          <w:rFonts w:ascii="Times New Roman" w:hAnsi="Times New Roman"/>
          <w:sz w:val="24"/>
          <w:szCs w:val="32"/>
        </w:rPr>
      </w:pPr>
      <w:r>
        <w:fldChar w:fldCharType="begin"/>
      </w:r>
      <w:r>
        <w:instrText xml:space="preserve"> HYPERLINK \l "_Toc1153" </w:instrText>
      </w:r>
      <w:r>
        <w:fldChar w:fldCharType="separate"/>
      </w:r>
      <w:r>
        <w:rPr>
          <w:rFonts w:hint="eastAsia" w:ascii="Times New Roman" w:hAnsi="Times New Roman" w:eastAsia="黑体" w:cs="黑体"/>
          <w:sz w:val="24"/>
          <w:szCs w:val="40"/>
        </w:rPr>
        <w:t>七、保障措施</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_Toc1153 </w:instrText>
      </w:r>
      <w:r>
        <w:rPr>
          <w:rFonts w:ascii="Times New Roman" w:hAnsi="Times New Roman"/>
          <w:sz w:val="24"/>
          <w:szCs w:val="32"/>
        </w:rPr>
        <w:fldChar w:fldCharType="separate"/>
      </w:r>
      <w:r>
        <w:rPr>
          <w:rFonts w:ascii="Times New Roman" w:hAnsi="Times New Roman"/>
          <w:sz w:val="24"/>
          <w:szCs w:val="32"/>
        </w:rPr>
        <w:t>38</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"_Toc31496" </w:instrText>
      </w:r>
      <w:r>
        <w:fldChar w:fldCharType="separate"/>
      </w:r>
      <w:r>
        <w:rPr>
          <w:rFonts w:hint="eastAsia" w:ascii="Times New Roman" w:hAnsi="Times New Roman" w:eastAsia="楷体_GB2312" w:cs="Times New Roman"/>
          <w:bCs/>
          <w:sz w:val="24"/>
          <w:szCs w:val="48"/>
        </w:rPr>
        <w:t>（一）加强组织领导</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_Toc31496 </w:instrText>
      </w:r>
      <w:r>
        <w:rPr>
          <w:rFonts w:ascii="Times New Roman" w:hAnsi="Times New Roman"/>
          <w:sz w:val="24"/>
          <w:szCs w:val="32"/>
        </w:rPr>
        <w:fldChar w:fldCharType="separate"/>
      </w:r>
      <w:r>
        <w:rPr>
          <w:rFonts w:ascii="Times New Roman" w:hAnsi="Times New Roman"/>
          <w:sz w:val="24"/>
          <w:szCs w:val="32"/>
        </w:rPr>
        <w:t>38</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"_Toc16017" </w:instrText>
      </w:r>
      <w:r>
        <w:fldChar w:fldCharType="separate"/>
      </w:r>
      <w:r>
        <w:rPr>
          <w:rFonts w:hint="eastAsia" w:ascii="Times New Roman" w:hAnsi="Times New Roman" w:eastAsia="楷体_GB2312" w:cs="Times New Roman"/>
          <w:bCs/>
          <w:sz w:val="24"/>
          <w:szCs w:val="48"/>
        </w:rPr>
        <w:t>（二）强化要素保障</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_Toc16017 </w:instrText>
      </w:r>
      <w:r>
        <w:rPr>
          <w:rFonts w:ascii="Times New Roman" w:hAnsi="Times New Roman"/>
          <w:sz w:val="24"/>
          <w:szCs w:val="32"/>
        </w:rPr>
        <w:fldChar w:fldCharType="separate"/>
      </w:r>
      <w:r>
        <w:rPr>
          <w:rFonts w:ascii="Times New Roman" w:hAnsi="Times New Roman"/>
          <w:sz w:val="24"/>
          <w:szCs w:val="32"/>
        </w:rPr>
        <w:t>39</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"_Toc16331" </w:instrText>
      </w:r>
      <w:r>
        <w:fldChar w:fldCharType="separate"/>
      </w:r>
      <w:r>
        <w:rPr>
          <w:rFonts w:hint="eastAsia" w:ascii="Times New Roman" w:hAnsi="Times New Roman" w:eastAsia="楷体_GB2312" w:cs="Times New Roman"/>
          <w:bCs/>
          <w:sz w:val="24"/>
          <w:szCs w:val="48"/>
        </w:rPr>
        <w:t>（三）完善统计体系</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_Toc16331 </w:instrText>
      </w:r>
      <w:r>
        <w:rPr>
          <w:rFonts w:ascii="Times New Roman" w:hAnsi="Times New Roman"/>
          <w:sz w:val="24"/>
          <w:szCs w:val="32"/>
        </w:rPr>
        <w:fldChar w:fldCharType="separate"/>
      </w:r>
      <w:r>
        <w:rPr>
          <w:rFonts w:ascii="Times New Roman" w:hAnsi="Times New Roman"/>
          <w:sz w:val="24"/>
          <w:szCs w:val="32"/>
        </w:rPr>
        <w:t>39</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"_Toc21776" </w:instrText>
      </w:r>
      <w:r>
        <w:fldChar w:fldCharType="separate"/>
      </w:r>
      <w:r>
        <w:rPr>
          <w:rFonts w:hint="eastAsia" w:ascii="Times New Roman" w:hAnsi="Times New Roman" w:eastAsia="楷体_GB2312" w:cs="Times New Roman"/>
          <w:bCs/>
          <w:sz w:val="24"/>
          <w:szCs w:val="48"/>
        </w:rPr>
        <w:t>（四）强化风险防控</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_Toc21776 </w:instrText>
      </w:r>
      <w:r>
        <w:rPr>
          <w:rFonts w:ascii="Times New Roman" w:hAnsi="Times New Roman"/>
          <w:sz w:val="24"/>
          <w:szCs w:val="32"/>
        </w:rPr>
        <w:fldChar w:fldCharType="separate"/>
      </w:r>
      <w:r>
        <w:rPr>
          <w:rFonts w:ascii="Times New Roman" w:hAnsi="Times New Roman"/>
          <w:sz w:val="24"/>
          <w:szCs w:val="32"/>
        </w:rPr>
        <w:t>40</w:t>
      </w:r>
      <w:r>
        <w:rPr>
          <w:rFonts w:ascii="Times New Roman" w:hAnsi="Times New Roman"/>
          <w:sz w:val="24"/>
          <w:szCs w:val="32"/>
        </w:rPr>
        <w:fldChar w:fldCharType="end"/>
      </w:r>
      <w:r>
        <w:rPr>
          <w:rFonts w:ascii="Times New Roman" w:hAnsi="Times New Roman"/>
          <w:sz w:val="24"/>
          <w:szCs w:val="32"/>
        </w:rPr>
        <w:fldChar w:fldCharType="end"/>
      </w:r>
    </w:p>
    <w:p>
      <w:pPr>
        <w:pStyle w:val="10"/>
        <w:tabs>
          <w:tab w:val="right" w:leader="dot" w:pos="8306"/>
        </w:tabs>
        <w:spacing w:line="380" w:lineRule="exact"/>
        <w:rPr>
          <w:rFonts w:ascii="Times New Roman" w:hAnsi="Times New Roman"/>
          <w:sz w:val="24"/>
          <w:szCs w:val="32"/>
        </w:rPr>
      </w:pPr>
      <w:r>
        <w:fldChar w:fldCharType="begin"/>
      </w:r>
      <w:r>
        <w:instrText xml:space="preserve"> HYPERLINK \l "_Toc5400" </w:instrText>
      </w:r>
      <w:r>
        <w:fldChar w:fldCharType="separate"/>
      </w:r>
      <w:r>
        <w:rPr>
          <w:rFonts w:hint="eastAsia" w:ascii="Times New Roman" w:hAnsi="Times New Roman" w:eastAsia="楷体_GB2312" w:cs="Times New Roman"/>
          <w:bCs/>
          <w:sz w:val="24"/>
          <w:szCs w:val="48"/>
        </w:rPr>
        <w:t>（五）做好宣传推广</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_Toc5400 </w:instrText>
      </w:r>
      <w:r>
        <w:rPr>
          <w:rFonts w:ascii="Times New Roman" w:hAnsi="Times New Roman"/>
          <w:sz w:val="24"/>
          <w:szCs w:val="32"/>
        </w:rPr>
        <w:fldChar w:fldCharType="separate"/>
      </w:r>
      <w:r>
        <w:rPr>
          <w:rFonts w:ascii="Times New Roman" w:hAnsi="Times New Roman"/>
          <w:sz w:val="24"/>
          <w:szCs w:val="32"/>
        </w:rPr>
        <w:t>40</w:t>
      </w:r>
      <w:r>
        <w:rPr>
          <w:rFonts w:ascii="Times New Roman" w:hAnsi="Times New Roman"/>
          <w:sz w:val="24"/>
          <w:szCs w:val="32"/>
        </w:rPr>
        <w:fldChar w:fldCharType="end"/>
      </w:r>
      <w:r>
        <w:rPr>
          <w:rFonts w:ascii="Times New Roman" w:hAnsi="Times New Roman"/>
          <w:sz w:val="24"/>
          <w:szCs w:val="32"/>
        </w:rPr>
        <w:fldChar w:fldCharType="end"/>
      </w:r>
    </w:p>
    <w:p>
      <w:pPr>
        <w:spacing w:line="400" w:lineRule="exact"/>
        <w:jc w:val="center"/>
        <w:rPr>
          <w:rFonts w:ascii="Times New Roman" w:hAnsi="Times New Roman" w:eastAsia="黑体" w:cs="黑体"/>
          <w:color w:val="000000" w:themeColor="text1"/>
          <w:sz w:val="40"/>
          <w:szCs w:val="40"/>
          <w14:textFill>
            <w14:solidFill>
              <w14:schemeClr w14:val="tx1"/>
            </w14:solidFill>
          </w14:textFill>
        </w:rPr>
      </w:pPr>
      <w:r>
        <w:rPr>
          <w:rFonts w:ascii="Times New Roman" w:hAnsi="Times New Roman"/>
          <w:color w:val="000000" w:themeColor="text1"/>
          <w:sz w:val="36"/>
          <w:szCs w:val="144"/>
          <w14:textFill>
            <w14:solidFill>
              <w14:schemeClr w14:val="tx1"/>
            </w14:solidFill>
          </w14:textFill>
        </w:rPr>
        <w:fldChar w:fldCharType="end"/>
      </w:r>
      <w:bookmarkStart w:id="0" w:name="_Toc3047"/>
      <w:bookmarkStart w:id="1" w:name="_Toc21253"/>
    </w:p>
    <w:p>
      <w:pPr>
        <w:spacing w:line="560" w:lineRule="exact"/>
        <w:jc w:val="center"/>
        <w:outlineLvl w:val="0"/>
        <w:rPr>
          <w:rFonts w:ascii="Times New Roman" w:hAnsi="Times New Roman" w:eastAsia="黑体" w:cs="黑体"/>
          <w:color w:val="000000" w:themeColor="text1"/>
          <w:sz w:val="32"/>
          <w:szCs w:val="32"/>
          <w14:textFill>
            <w14:solidFill>
              <w14:schemeClr w14:val="tx1"/>
            </w14:solidFill>
          </w14:textFill>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bookmarkStart w:id="2" w:name="_Toc22126"/>
    </w:p>
    <w:p>
      <w:pPr>
        <w:spacing w:line="560" w:lineRule="exact"/>
        <w:jc w:val="center"/>
        <w:outlineLvl w:val="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 xml:space="preserve">前 </w:t>
      </w:r>
      <w:r>
        <w:rPr>
          <w:rFonts w:ascii="Times New Roman" w:hAnsi="Times New Roman" w:eastAsia="黑体" w:cs="黑体"/>
          <w:color w:val="000000" w:themeColor="text1"/>
          <w:sz w:val="32"/>
          <w:szCs w:val="32"/>
          <w14:textFill>
            <w14:solidFill>
              <w14:schemeClr w14:val="tx1"/>
            </w14:solidFill>
          </w14:textFill>
        </w:rPr>
        <w:t xml:space="preserve"> </w:t>
      </w:r>
      <w:r>
        <w:rPr>
          <w:rFonts w:hint="eastAsia" w:ascii="Times New Roman" w:hAnsi="Times New Roman" w:eastAsia="黑体" w:cs="黑体"/>
          <w:color w:val="000000" w:themeColor="text1"/>
          <w:sz w:val="32"/>
          <w:szCs w:val="32"/>
          <w14:textFill>
            <w14:solidFill>
              <w14:schemeClr w14:val="tx1"/>
            </w14:solidFill>
          </w14:textFill>
        </w:rPr>
        <w:t>言</w:t>
      </w:r>
      <w:bookmarkEnd w:id="0"/>
      <w:bookmarkEnd w:id="1"/>
      <w:bookmarkEnd w:id="2"/>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十四五”时期（2021-2025年），是我国在世界百年未有之大变局中，由全面建成小康社会向基本实现社会主义现代化迈进的关键时期，是广州实现老城市新活力和“四个出新出彩”的重要时期，也是增城全面建设国家级经济技术开发区和国家城乡融合发展试验区、实现高质量发展的提速期。</w:t>
      </w:r>
    </w:p>
    <w:p>
      <w:pPr>
        <w:spacing w:line="560" w:lineRule="exact"/>
        <w:rPr>
          <w:rFonts w:ascii="Times New Roman" w:hAnsi="Times New Roman" w:eastAsia="仿宋_GB2312" w:cs="仿宋_GB2312"/>
          <w:color w:val="000000" w:themeColor="text1"/>
          <w:sz w:val="32"/>
          <w:szCs w:val="32"/>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_GB2312" w:cs="仿宋_GB2312"/>
          <w:color w:val="000000" w:themeColor="text1"/>
          <w:sz w:val="32"/>
          <w:szCs w:val="32"/>
          <w14:textFill>
            <w14:solidFill>
              <w14:schemeClr w14:val="tx1"/>
            </w14:solidFill>
          </w14:textFill>
        </w:rPr>
        <w:t>谋划增城区“十四五”时期现代服务业发展，推动现代服务业提质升级，是增城形成全面开放新格局，加快建设现代化经济体系的关键步伐，也是助力增城打造宜业宜居宜养宜游优质生活圈，建设现代化中等规模生态之城的重要抓手。依据国家有关发展战略以及</w:t>
      </w:r>
      <w:r>
        <w:rPr>
          <w:rFonts w:hint="eastAsia" w:ascii="Times New Roman" w:hAnsi="Times New Roman" w:eastAsia="仿宋_GB2312" w:cs="Times New Roman"/>
          <w:color w:val="000000" w:themeColor="text1"/>
          <w:sz w:val="32"/>
          <w:szCs w:val="40"/>
          <w14:textFill>
            <w14:solidFill>
              <w14:schemeClr w14:val="tx1"/>
            </w14:solidFill>
          </w14:textFill>
        </w:rPr>
        <w:t>《增城区国民经济和社会发展第十四个五年规划纲要》</w:t>
      </w:r>
      <w:r>
        <w:rPr>
          <w:rFonts w:ascii="Times New Roman" w:hAnsi="Times New Roman" w:eastAsia="仿宋_GB2312" w:cs="Times New Roman"/>
          <w:color w:val="000000" w:themeColor="text1"/>
          <w:sz w:val="32"/>
          <w:szCs w:val="40"/>
          <w14:textFill>
            <w14:solidFill>
              <w14:schemeClr w14:val="tx1"/>
            </w14:solidFill>
          </w14:textFill>
        </w:rPr>
        <w:t>等文件，</w:t>
      </w:r>
      <w:r>
        <w:rPr>
          <w:rFonts w:hint="eastAsia" w:ascii="Times New Roman" w:hAnsi="Times New Roman" w:eastAsia="仿宋_GB2312" w:cs="Times New Roman"/>
          <w:color w:val="000000" w:themeColor="text1"/>
          <w:sz w:val="32"/>
          <w:szCs w:val="40"/>
          <w14:textFill>
            <w14:solidFill>
              <w14:schemeClr w14:val="tx1"/>
            </w14:solidFill>
          </w14:textFill>
        </w:rPr>
        <w:t>结合增城区现代服务业产业基础和发展实际，</w:t>
      </w:r>
      <w:r>
        <w:rPr>
          <w:rFonts w:ascii="Times New Roman" w:hAnsi="Times New Roman" w:eastAsia="仿宋_GB2312" w:cs="Times New Roman"/>
          <w:color w:val="000000" w:themeColor="text1"/>
          <w:sz w:val="32"/>
          <w:szCs w:val="40"/>
          <w14:textFill>
            <w14:solidFill>
              <w14:schemeClr w14:val="tx1"/>
            </w14:solidFill>
          </w14:textFill>
        </w:rPr>
        <w:t>编制本规划。规划期为202</w:t>
      </w:r>
      <w:r>
        <w:rPr>
          <w:rFonts w:hint="eastAsia" w:ascii="Times New Roman" w:hAnsi="Times New Roman" w:eastAsia="仿宋_GB2312" w:cs="Times New Roman"/>
          <w:color w:val="000000" w:themeColor="text1"/>
          <w:sz w:val="32"/>
          <w:szCs w:val="40"/>
          <w14:textFill>
            <w14:solidFill>
              <w14:schemeClr w14:val="tx1"/>
            </w14:solidFill>
          </w14:textFill>
        </w:rPr>
        <w:t>1</w:t>
      </w:r>
      <w:r>
        <w:rPr>
          <w:rFonts w:ascii="Times New Roman" w:hAnsi="Times New Roman" w:eastAsia="仿宋_GB2312" w:cs="Times New Roman"/>
          <w:color w:val="000000" w:themeColor="text1"/>
          <w:sz w:val="32"/>
          <w:szCs w:val="40"/>
          <w14:textFill>
            <w14:solidFill>
              <w14:schemeClr w14:val="tx1"/>
            </w14:solidFill>
          </w14:textFill>
        </w:rPr>
        <w:t>至2025年</w:t>
      </w:r>
      <w:r>
        <w:rPr>
          <w:rFonts w:hint="eastAsia" w:ascii="Times New Roman" w:hAnsi="Times New Roman" w:eastAsia="仿宋_GB2312" w:cs="Times New Roman"/>
          <w:color w:val="000000" w:themeColor="text1"/>
          <w:sz w:val="32"/>
          <w:szCs w:val="40"/>
          <w14:textFill>
            <w14:solidFill>
              <w14:schemeClr w14:val="tx1"/>
            </w14:solidFill>
          </w14:textFill>
        </w:rPr>
        <w:t>。</w:t>
      </w:r>
    </w:p>
    <w:p>
      <w:pPr>
        <w:spacing w:line="560" w:lineRule="exact"/>
        <w:ind w:firstLine="640" w:firstLineChars="200"/>
        <w:outlineLvl w:val="0"/>
        <w:rPr>
          <w:rFonts w:ascii="Times New Roman" w:hAnsi="Times New Roman" w:eastAsia="黑体" w:cs="黑体"/>
          <w:color w:val="000000" w:themeColor="text1"/>
          <w:sz w:val="32"/>
          <w:szCs w:val="32"/>
          <w14:textFill>
            <w14:solidFill>
              <w14:schemeClr w14:val="tx1"/>
            </w14:solidFill>
          </w14:textFill>
        </w:rPr>
      </w:pPr>
      <w:bookmarkStart w:id="3" w:name="_Toc23704"/>
      <w:bookmarkStart w:id="4" w:name="_Toc31395"/>
      <w:bookmarkStart w:id="5" w:name="_Toc16509"/>
      <w:r>
        <w:rPr>
          <w:rFonts w:hint="eastAsia" w:ascii="Times New Roman" w:hAnsi="Times New Roman" w:eastAsia="黑体" w:cs="黑体"/>
          <w:color w:val="000000" w:themeColor="text1"/>
          <w:sz w:val="32"/>
          <w:szCs w:val="32"/>
          <w14:textFill>
            <w14:solidFill>
              <w14:schemeClr w14:val="tx1"/>
            </w14:solidFill>
          </w14:textFill>
        </w:rPr>
        <w:t>一、发展背景</w:t>
      </w:r>
      <w:bookmarkEnd w:id="3"/>
      <w:bookmarkEnd w:id="4"/>
      <w:bookmarkEnd w:id="5"/>
    </w:p>
    <w:p>
      <w:pPr>
        <w:spacing w:line="560" w:lineRule="exact"/>
        <w:ind w:firstLine="643" w:firstLineChars="200"/>
        <w:outlineLvl w:val="1"/>
        <w:rPr>
          <w:rFonts w:ascii="Times New Roman" w:hAnsi="Times New Roman" w:eastAsia="楷体_GB2312" w:cs="仿宋_GB2312"/>
          <w:b/>
          <w:bCs/>
          <w:color w:val="000000" w:themeColor="text1"/>
          <w:sz w:val="32"/>
          <w:szCs w:val="32"/>
          <w14:textFill>
            <w14:solidFill>
              <w14:schemeClr w14:val="tx1"/>
            </w14:solidFill>
          </w14:textFill>
        </w:rPr>
      </w:pPr>
      <w:bookmarkStart w:id="6" w:name="_Toc18443"/>
      <w:bookmarkStart w:id="7" w:name="_Toc32216"/>
      <w:bookmarkStart w:id="8" w:name="_Toc22968"/>
      <w:r>
        <w:rPr>
          <w:rFonts w:hint="eastAsia" w:ascii="Times New Roman" w:hAnsi="Times New Roman" w:eastAsia="楷体_GB2312" w:cs="黑体"/>
          <w:b/>
          <w:bCs/>
          <w:color w:val="000000" w:themeColor="text1"/>
          <w:sz w:val="32"/>
          <w:szCs w:val="32"/>
          <w14:textFill>
            <w14:solidFill>
              <w14:schemeClr w14:val="tx1"/>
            </w14:solidFill>
          </w14:textFill>
        </w:rPr>
        <w:t>（一）发展基础</w:t>
      </w:r>
      <w:bookmarkEnd w:id="6"/>
      <w:bookmarkEnd w:id="7"/>
      <w:bookmarkEnd w:id="8"/>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十三五”以来，我区大力推进现代服务业高质量发展，加快引进重点平台建设，出台多项产业扶持政策支撑现代服务业做大做强，整体现代服务业发展迅速，较好地完成了“十三五”规划确定的各项任务，有效促进全区经济社会持续快速发展，为“十四五”发展打下坚实基础。</w:t>
      </w:r>
    </w:p>
    <w:p>
      <w:pPr>
        <w:spacing w:line="560" w:lineRule="exact"/>
        <w:ind w:firstLine="643" w:firstLineChars="200"/>
        <w:outlineLvl w:val="2"/>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6"/>
          <w14:textFill>
            <w14:solidFill>
              <w14:schemeClr w14:val="tx1"/>
            </w14:solidFill>
          </w14:textFill>
        </w:rPr>
        <w:t>1、产业规模总量稳步增长</w:t>
      </w:r>
    </w:p>
    <w:p>
      <w:pPr>
        <w:numPr>
          <w:ilvl w:val="-1"/>
          <w:numId w:val="0"/>
        </w:numPr>
        <w:spacing w:line="560" w:lineRule="exact"/>
        <w:ind w:firstLine="640" w:firstLineChars="200"/>
        <w:rPr>
          <w:rFonts w:hint="default" w:ascii="Times New Roman" w:hAnsi="Times New Roman"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十三五”期间，我区服务业保持稳步增长趋势，全区规模以上服务业营业收入累计实现334.32亿元，其中，规模以上其他营利性服务业营业收入累计实现141.02亿元，年均增长20.1%。2020年全区实现第三产业增加值586.81亿元，生产总值比重由2015年的43%达到2020年的55.22%，提高了12.22个百分点，在“十三五”期间首次超过第二产业产值占比，初步形成以第三产业为主导的产业结构。产业投资持续加大，2020年全区第三产业固定资产投资额达926.71亿元，是2015年的3.2倍。</w:t>
      </w:r>
      <w:r>
        <w:rPr>
          <w:rStyle w:val="14"/>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footnoteReference w:id="0"/>
      </w:r>
    </w:p>
    <w:p>
      <w:pPr>
        <w:spacing w:line="560" w:lineRule="exact"/>
        <w:ind w:firstLine="643" w:firstLineChars="200"/>
        <w:outlineLvl w:val="2"/>
        <w:rPr>
          <w:rFonts w:ascii="Times New Roman" w:hAnsi="Times New Roman" w:eastAsia="仿宋_GB2312"/>
          <w:b/>
          <w:bCs/>
          <w:color w:val="000000" w:themeColor="text1"/>
          <w:sz w:val="32"/>
          <w:szCs w:val="36"/>
          <w14:textFill>
            <w14:solidFill>
              <w14:schemeClr w14:val="tx1"/>
            </w14:solidFill>
          </w14:textFill>
        </w:rPr>
      </w:pPr>
      <w:r>
        <w:rPr>
          <w:rFonts w:hint="eastAsia" w:ascii="Times New Roman" w:hAnsi="Times New Roman" w:eastAsia="仿宋_GB2312"/>
          <w:b/>
          <w:bCs/>
          <w:color w:val="000000" w:themeColor="text1"/>
          <w:sz w:val="32"/>
          <w:szCs w:val="36"/>
          <w14:textFill>
            <w14:solidFill>
              <w14:schemeClr w14:val="tx1"/>
            </w14:solidFill>
          </w14:textFill>
        </w:rPr>
        <w:t>2、重点领域保持较快发展</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“十三五”期间，我区加快培育现代服务业各个细分领域，商务服务、现代金融、现代旅游等产业实现大步跨越。其中商贸服务业方面，2016-2020年，全区社会消费品零售总额累计达1862亿元，年均增长8.7%；</w:t>
      </w:r>
      <w:r>
        <w:rPr>
          <w:rStyle w:val="14"/>
          <w:rFonts w:hint="eastAsia" w:ascii="Times New Roman" w:hAnsi="Times New Roman" w:eastAsia="仿宋_GB2312"/>
          <w:color w:val="000000" w:themeColor="text1"/>
          <w:sz w:val="32"/>
          <w:szCs w:val="32"/>
          <w14:textFill>
            <w14:solidFill>
              <w14:schemeClr w14:val="tx1"/>
            </w14:solidFill>
          </w14:textFill>
        </w:rPr>
        <w:footnoteReference w:id="1"/>
      </w:r>
      <w:r>
        <w:rPr>
          <w:rFonts w:hint="eastAsia" w:ascii="Times New Roman" w:hAnsi="Times New Roman" w:eastAsia="仿宋_GB2312"/>
          <w:color w:val="000000" w:themeColor="text1"/>
          <w:sz w:val="32"/>
          <w:szCs w:val="32"/>
          <w14:textFill>
            <w14:solidFill>
              <w14:schemeClr w14:val="tx1"/>
            </w14:solidFill>
          </w14:textFill>
        </w:rPr>
        <w:t>现代金融业方面，</w:t>
      </w:r>
      <w:r>
        <w:rPr>
          <w:rFonts w:hint="eastAsia" w:ascii="Times New Roman" w:hAnsi="Times New Roman" w:eastAsia="仿宋_GB2312"/>
          <w:color w:val="000000" w:themeColor="text1"/>
          <w:sz w:val="32"/>
          <w:szCs w:val="32"/>
          <w:lang w:val="en-US" w:eastAsia="zh-CN"/>
          <w14:textFill>
            <w14:solidFill>
              <w14:schemeClr w14:val="tx1"/>
            </w14:solidFill>
          </w14:textFill>
        </w:rPr>
        <w:t>2016-2020年，</w:t>
      </w:r>
      <w:r>
        <w:rPr>
          <w:rFonts w:hint="eastAsia" w:ascii="Times New Roman" w:hAnsi="Times New Roman" w:eastAsia="仿宋_GB2312"/>
          <w:color w:val="000000" w:themeColor="text1"/>
          <w:sz w:val="32"/>
          <w:szCs w:val="32"/>
          <w14:textFill>
            <w14:solidFill>
              <w14:schemeClr w14:val="tx1"/>
            </w14:solidFill>
          </w14:textFill>
        </w:rPr>
        <w:t>全区银行业金融机构人民币各项存款余额年均保持1000亿元以上，年均增长14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53%，</w:t>
      </w:r>
      <w:r>
        <w:rPr>
          <w:rFonts w:hint="eastAsia" w:ascii="Times New Roman" w:hAnsi="Times New Roman" w:eastAsia="仿宋_GB2312"/>
          <w:color w:val="000000" w:themeColor="text1"/>
          <w:sz w:val="32"/>
          <w:szCs w:val="32"/>
          <w:lang w:val="en-US" w:eastAsia="zh-CN"/>
          <w14:textFill>
            <w14:solidFill>
              <w14:schemeClr w14:val="tx1"/>
            </w14:solidFill>
          </w14:textFill>
        </w:rPr>
        <w:t>2020年已突破2000亿，</w:t>
      </w:r>
      <w:r>
        <w:rPr>
          <w:rFonts w:hint="eastAsia" w:ascii="Times New Roman" w:hAnsi="Times New Roman" w:eastAsia="仿宋_GB2312"/>
          <w:color w:val="000000" w:themeColor="text1"/>
          <w:sz w:val="32"/>
          <w:szCs w:val="32"/>
          <w14:textFill>
            <w14:solidFill>
              <w14:schemeClr w14:val="tx1"/>
            </w14:solidFill>
          </w14:textFill>
        </w:rPr>
        <w:t>各项贷款余额年均达</w:t>
      </w:r>
      <w:r>
        <w:rPr>
          <w:rFonts w:hint="eastAsia" w:ascii="Times New Roman" w:hAnsi="Times New Roman" w:eastAsia="仿宋_GB2312"/>
          <w:color w:val="000000" w:themeColor="text1"/>
          <w:sz w:val="32"/>
          <w:szCs w:val="32"/>
          <w:lang w:val="en-US" w:eastAsia="zh-CN"/>
          <w14:textFill>
            <w14:solidFill>
              <w14:schemeClr w14:val="tx1"/>
            </w14:solidFill>
          </w14:textFill>
        </w:rPr>
        <w:t>1125</w:t>
      </w:r>
      <w:r>
        <w:rPr>
          <w:rFonts w:hint="eastAsia" w:ascii="Times New Roman" w:hAnsi="Times New Roman" w:eastAsia="仿宋_GB2312"/>
          <w:color w:val="000000" w:themeColor="text1"/>
          <w:sz w:val="32"/>
          <w:szCs w:val="32"/>
          <w14:textFill>
            <w14:solidFill>
              <w14:schemeClr w14:val="tx1"/>
            </w14:solidFill>
          </w14:textFill>
        </w:rPr>
        <w:t>亿元，年均增长</w:t>
      </w:r>
      <w:r>
        <w:rPr>
          <w:rFonts w:hint="eastAsia" w:ascii="Times New Roman" w:hAnsi="Times New Roman" w:eastAsia="仿宋_GB2312"/>
          <w:color w:val="000000" w:themeColor="text1"/>
          <w:sz w:val="32"/>
          <w:szCs w:val="32"/>
          <w:lang w:val="en-US" w:eastAsia="zh-CN"/>
          <w14:textFill>
            <w14:solidFill>
              <w14:schemeClr w14:val="tx1"/>
            </w14:solidFill>
          </w14:textFill>
        </w:rPr>
        <w:t>16.61</w:t>
      </w:r>
      <w:r>
        <w:rPr>
          <w:rFonts w:hint="eastAsia" w:ascii="Times New Roman" w:hAnsi="Times New Roman" w:eastAsia="仿宋_GB2312"/>
          <w:color w:val="000000" w:themeColor="text1"/>
          <w:sz w:val="32"/>
          <w:szCs w:val="32"/>
          <w14:textFill>
            <w14:solidFill>
              <w14:schemeClr w14:val="tx1"/>
            </w14:solidFill>
          </w14:textFill>
        </w:rPr>
        <w:t>%；现代旅游业方面，</w:t>
      </w:r>
      <w:r>
        <w:rPr>
          <w:rFonts w:hint="eastAsia" w:ascii="Times New Roman" w:hAnsi="Times New Roman" w:eastAsia="仿宋_GB2312"/>
          <w:color w:val="000000" w:themeColor="text1"/>
          <w:sz w:val="32"/>
          <w:szCs w:val="32"/>
          <w:lang w:val="en-US" w:eastAsia="zh-CN"/>
          <w14:textFill>
            <w14:solidFill>
              <w14:schemeClr w14:val="tx1"/>
            </w14:solidFill>
          </w14:textFill>
        </w:rPr>
        <w:t>2016-2020年，</w:t>
      </w:r>
      <w:r>
        <w:rPr>
          <w:rFonts w:hint="eastAsia" w:ascii="Times New Roman" w:hAnsi="Times New Roman" w:eastAsia="仿宋_GB2312"/>
          <w:color w:val="000000" w:themeColor="text1"/>
          <w:sz w:val="32"/>
          <w:szCs w:val="32"/>
          <w14:textFill>
            <w14:solidFill>
              <w14:schemeClr w14:val="tx1"/>
            </w14:solidFill>
          </w14:textFill>
        </w:rPr>
        <w:t>全区年平均接待游客2648.57万人次，年平均旅游收入117.7亿元，同比</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十二五</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分别增长41.67%和123.47%。</w:t>
      </w:r>
    </w:p>
    <w:p>
      <w:pPr>
        <w:spacing w:line="560" w:lineRule="exact"/>
        <w:ind w:firstLine="643" w:firstLineChars="200"/>
        <w:outlineLvl w:val="2"/>
        <w:rPr>
          <w:rFonts w:ascii="Times New Roman" w:hAnsi="Times New Roman" w:eastAsia="仿宋_GB2312"/>
          <w:b/>
          <w:bCs/>
          <w:color w:val="000000" w:themeColor="text1"/>
          <w:sz w:val="32"/>
          <w:szCs w:val="36"/>
          <w14:textFill>
            <w14:solidFill>
              <w14:schemeClr w14:val="tx1"/>
            </w14:solidFill>
          </w14:textFill>
        </w:rPr>
      </w:pPr>
      <w:r>
        <w:rPr>
          <w:rFonts w:hint="eastAsia" w:ascii="Times New Roman" w:hAnsi="Times New Roman" w:eastAsia="仿宋_GB2312"/>
          <w:b/>
          <w:bCs/>
          <w:color w:val="000000" w:themeColor="text1"/>
          <w:sz w:val="32"/>
          <w:szCs w:val="36"/>
          <w14:textFill>
            <w14:solidFill>
              <w14:schemeClr w14:val="tx1"/>
            </w14:solidFill>
          </w14:textFill>
        </w:rPr>
        <w:t>3、产业平台加速集聚完善</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十三五”期间，我区坚持招强引优构建高端高质高新产业新体系，加快大力推动现代服务业集聚集约发展，依托增城经济技术开发区、侨梦苑、低碳总部园、广州东部交通枢纽中心高端商务区、中新科技园等优势平台，先后引进碧桂园华南设计总部、南香谷产业园等多个知名现代服务业产业项目，依托中南部现代服务业优势基础以及北部旅游优势资源，初步形成产业要素齐全的现代服务业产业空间集聚区。</w:t>
      </w:r>
    </w:p>
    <w:p>
      <w:pPr>
        <w:spacing w:line="560" w:lineRule="exact"/>
        <w:ind w:firstLine="643" w:firstLineChars="200"/>
        <w:outlineLvl w:val="2"/>
        <w:rPr>
          <w:rFonts w:ascii="Times New Roman" w:hAnsi="Times New Roman" w:eastAsia="仿宋_GB2312"/>
          <w:b/>
          <w:bCs/>
          <w:color w:val="000000" w:themeColor="text1"/>
          <w:sz w:val="32"/>
          <w:szCs w:val="36"/>
          <w14:textFill>
            <w14:solidFill>
              <w14:schemeClr w14:val="tx1"/>
            </w14:solidFill>
          </w14:textFill>
        </w:rPr>
      </w:pPr>
      <w:r>
        <w:rPr>
          <w:rFonts w:hint="eastAsia" w:ascii="Times New Roman" w:hAnsi="Times New Roman" w:eastAsia="仿宋_GB2312"/>
          <w:b/>
          <w:bCs/>
          <w:color w:val="000000" w:themeColor="text1"/>
          <w:sz w:val="32"/>
          <w:szCs w:val="36"/>
          <w14:textFill>
            <w14:solidFill>
              <w14:schemeClr w14:val="tx1"/>
            </w14:solidFill>
          </w14:textFill>
        </w:rPr>
        <w:t>4、产业营商环境不断优化</w:t>
      </w:r>
    </w:p>
    <w:p>
      <w:pPr>
        <w:spacing w:line="560" w:lineRule="exact"/>
        <w:ind w:firstLine="640" w:firstLineChars="200"/>
        <w:rPr>
          <w:rFonts w:ascii="Times New Roman" w:hAnsi="Times New Roman" w:eastAsia="仿宋_GB2312"/>
          <w:color w:val="000000" w:themeColor="text1"/>
          <w:sz w:val="32"/>
          <w:szCs w:val="36"/>
          <w14:textFill>
            <w14:solidFill>
              <w14:schemeClr w14:val="tx1"/>
            </w14:solidFill>
          </w14:textFill>
        </w:rPr>
      </w:pPr>
      <w:r>
        <w:rPr>
          <w:rFonts w:hint="eastAsia" w:ascii="Times New Roman" w:hAnsi="Times New Roman" w:eastAsia="仿宋_GB2312"/>
          <w:color w:val="000000" w:themeColor="text1"/>
          <w:sz w:val="32"/>
          <w:szCs w:val="36"/>
          <w14:textFill>
            <w14:solidFill>
              <w14:schemeClr w14:val="tx1"/>
            </w14:solidFill>
          </w14:textFill>
        </w:rPr>
        <w:t>“十三五”期间，我区全面推进现代服务业产业营商环境建设，先后制定出台《广州市增城区商务发展专项资金管理办法》增城促进影视产业发展若干意见》《增城区促进高端专业服务业发展实施办法》《广州市增城区促进文化旅游体育产业高质量发展扶持办法》等专项政策措施，积极落实相关申报和扶持工作，聚焦产业链关键环节，助力各细分领域招商引资，在企业引进、办公场所、人才培育、创优评级、上市融资、转型升级等方面给予补贴奖励。进一步优化服务业投资环境，降低服务业准入门槛，减少审批事项，推动现代服务业企业壮大发展。</w:t>
      </w:r>
    </w:p>
    <w:p>
      <w:pPr>
        <w:spacing w:line="560" w:lineRule="exact"/>
        <w:ind w:firstLine="640" w:firstLineChars="200"/>
        <w:rPr>
          <w:rFonts w:ascii="Times New Roman" w:hAnsi="Times New Roman" w:eastAsia="仿宋_GB2312"/>
          <w:color w:val="000000" w:themeColor="text1"/>
          <w:sz w:val="32"/>
          <w:szCs w:val="36"/>
          <w14:textFill>
            <w14:solidFill>
              <w14:schemeClr w14:val="tx1"/>
            </w14:solidFill>
          </w14:textFill>
        </w:rPr>
      </w:pPr>
    </w:p>
    <w:p>
      <w:pPr>
        <w:pStyle w:val="2"/>
        <w:rPr>
          <w:rFonts w:ascii="Times New Roman" w:hAnsi="Times New Roman" w:eastAsia="仿宋_GB2312"/>
          <w:color w:val="000000" w:themeColor="text1"/>
          <w:sz w:val="32"/>
          <w:szCs w:val="36"/>
          <w14:textFill>
            <w14:solidFill>
              <w14:schemeClr w14:val="tx1"/>
            </w14:solidFill>
          </w14:textFill>
        </w:rPr>
      </w:pPr>
    </w:p>
    <w:p>
      <w:pPr>
        <w:spacing w:line="560" w:lineRule="exact"/>
        <w:ind w:firstLine="643" w:firstLineChars="200"/>
        <w:outlineLvl w:val="1"/>
        <w:rPr>
          <w:rFonts w:ascii="Times New Roman" w:hAnsi="Times New Roman" w:eastAsia="楷体_GB2312" w:cs="黑体"/>
          <w:b/>
          <w:bCs/>
          <w:color w:val="000000" w:themeColor="text1"/>
          <w:sz w:val="32"/>
          <w:szCs w:val="36"/>
          <w14:textFill>
            <w14:solidFill>
              <w14:schemeClr w14:val="tx1"/>
            </w14:solidFill>
          </w14:textFill>
        </w:rPr>
      </w:pPr>
      <w:bookmarkStart w:id="9" w:name="_Toc27423"/>
      <w:bookmarkStart w:id="10" w:name="_Toc11584"/>
      <w:bookmarkStart w:id="11" w:name="_Toc23852"/>
      <w:r>
        <w:rPr>
          <w:rFonts w:hint="eastAsia" w:ascii="Times New Roman" w:hAnsi="Times New Roman" w:eastAsia="楷体_GB2312" w:cs="黑体"/>
          <w:b/>
          <w:bCs/>
          <w:color w:val="000000" w:themeColor="text1"/>
          <w:sz w:val="32"/>
          <w:szCs w:val="36"/>
          <w14:textFill>
            <w14:solidFill>
              <w14:schemeClr w14:val="tx1"/>
            </w14:solidFill>
          </w14:textFill>
        </w:rPr>
        <w:t>（二）存在问题</w:t>
      </w:r>
      <w:bookmarkEnd w:id="9"/>
      <w:bookmarkEnd w:id="10"/>
      <w:bookmarkEnd w:id="11"/>
    </w:p>
    <w:p>
      <w:pPr>
        <w:spacing w:line="560" w:lineRule="exact"/>
        <w:ind w:firstLine="640" w:firstLineChars="200"/>
        <w:rPr>
          <w:rFonts w:ascii="Times New Roman" w:hAnsi="Times New Roman" w:eastAsia="仿宋_GB2312"/>
          <w:color w:val="000000" w:themeColor="text1"/>
          <w:sz w:val="32"/>
          <w:szCs w:val="36"/>
          <w14:textFill>
            <w14:solidFill>
              <w14:schemeClr w14:val="tx1"/>
            </w14:solidFill>
          </w14:textFill>
        </w:rPr>
      </w:pPr>
      <w:r>
        <w:rPr>
          <w:rFonts w:hint="eastAsia" w:ascii="Times New Roman" w:hAnsi="Times New Roman" w:eastAsia="仿宋_GB2312" w:cs="黑体"/>
          <w:color w:val="000000" w:themeColor="text1"/>
          <w:sz w:val="32"/>
          <w:szCs w:val="36"/>
          <w14:textFill>
            <w14:solidFill>
              <w14:schemeClr w14:val="tx1"/>
            </w14:solidFill>
          </w14:textFill>
        </w:rPr>
        <w:t>但与广州市各区对比，增城区现代服务业在规模、结构、环境和人才等方面仍存在一定不足与差距，</w:t>
      </w:r>
      <w:r>
        <w:rPr>
          <w:rFonts w:hint="eastAsia" w:ascii="Times New Roman" w:hAnsi="Times New Roman" w:eastAsia="仿宋_GB2312" w:cs="黑体"/>
          <w:b/>
          <w:bCs/>
          <w:color w:val="000000" w:themeColor="text1"/>
          <w:sz w:val="32"/>
          <w:szCs w:val="36"/>
          <w14:textFill>
            <w14:solidFill>
              <w14:schemeClr w14:val="tx1"/>
            </w14:solidFill>
          </w14:textFill>
        </w:rPr>
        <w:t>一是</w:t>
      </w:r>
      <w:r>
        <w:rPr>
          <w:rFonts w:hint="eastAsia" w:ascii="Times New Roman" w:hAnsi="Times New Roman" w:eastAsia="仿宋_GB2312" w:cs="黑体"/>
          <w:color w:val="000000" w:themeColor="text1"/>
          <w:sz w:val="32"/>
          <w:szCs w:val="36"/>
          <w14:textFill>
            <w14:solidFill>
              <w14:schemeClr w14:val="tx1"/>
            </w14:solidFill>
          </w14:textFill>
        </w:rPr>
        <w:t>产业带动动能不足，</w:t>
      </w:r>
      <w:r>
        <w:rPr>
          <w:rFonts w:hint="eastAsia" w:ascii="Times New Roman" w:hAnsi="Times New Roman" w:eastAsia="仿宋_GB2312"/>
          <w:color w:val="000000" w:themeColor="text1"/>
          <w:sz w:val="32"/>
          <w:szCs w:val="36"/>
          <w14:textFill>
            <w14:solidFill>
              <w14:schemeClr w14:val="tx1"/>
            </w14:solidFill>
          </w14:textFill>
        </w:rPr>
        <w:t>对比广州市各区来看，我区服务业增加值占地区生产总值的比重低于越秀区（95.77%）、天河区（92.04%）、荔湾区（74.6%）、番禺区（63.3%）等地区，也低于广州市（71.62%）的平均水平，对地区经济的带动动能仍存在较大不足。</w:t>
      </w:r>
      <w:r>
        <w:rPr>
          <w:rFonts w:hint="eastAsia" w:ascii="Times New Roman" w:hAnsi="Times New Roman" w:eastAsia="仿宋_GB2312"/>
          <w:b/>
          <w:bCs/>
          <w:color w:val="000000" w:themeColor="text1"/>
          <w:sz w:val="32"/>
          <w:szCs w:val="36"/>
          <w14:textFill>
            <w14:solidFill>
              <w14:schemeClr w14:val="tx1"/>
            </w14:solidFill>
          </w14:textFill>
        </w:rPr>
        <w:t>二是</w:t>
      </w:r>
      <w:r>
        <w:rPr>
          <w:rFonts w:hint="eastAsia" w:ascii="Times New Roman" w:hAnsi="Times New Roman" w:eastAsia="仿宋_GB2312" w:cs="黑体"/>
          <w:color w:val="000000" w:themeColor="text1"/>
          <w:sz w:val="32"/>
          <w:szCs w:val="36"/>
          <w14:textFill>
            <w14:solidFill>
              <w14:schemeClr w14:val="tx1"/>
            </w14:solidFill>
          </w14:textFill>
        </w:rPr>
        <w:t>产业结构仍需优化，</w:t>
      </w:r>
      <w:r>
        <w:rPr>
          <w:rFonts w:hint="eastAsia" w:ascii="Times New Roman" w:hAnsi="Times New Roman" w:eastAsia="仿宋_GB2312"/>
          <w:color w:val="000000" w:themeColor="text1"/>
          <w:sz w:val="32"/>
          <w:szCs w:val="36"/>
          <w14:textFill>
            <w14:solidFill>
              <w14:schemeClr w14:val="tx1"/>
            </w14:solidFill>
          </w14:textFill>
        </w:rPr>
        <w:t>我区现代服务业主要还是以商贸服务为主，属于产业附加值较低的环节，信息软件、金融服务等生产性服务业占比仍然偏低，而且在科创服务、会计服务、律师服务、咨询服务、文化创意等高端专业服务业领域基础薄弱，缺乏重点项目企业支撑发展，产业结构仍需优化。</w:t>
      </w:r>
      <w:r>
        <w:rPr>
          <w:rFonts w:hint="eastAsia" w:ascii="Times New Roman" w:hAnsi="Times New Roman" w:eastAsia="仿宋_GB2312" w:cs="黑体"/>
          <w:b/>
          <w:bCs/>
          <w:color w:val="000000" w:themeColor="text1"/>
          <w:sz w:val="32"/>
          <w:szCs w:val="36"/>
          <w14:textFill>
            <w14:solidFill>
              <w14:schemeClr w14:val="tx1"/>
            </w14:solidFill>
          </w14:textFill>
        </w:rPr>
        <w:t>三是</w:t>
      </w:r>
      <w:r>
        <w:rPr>
          <w:rFonts w:hint="eastAsia" w:ascii="Times New Roman" w:hAnsi="Times New Roman" w:eastAsia="仿宋_GB2312" w:cs="黑体"/>
          <w:color w:val="000000" w:themeColor="text1"/>
          <w:sz w:val="32"/>
          <w:szCs w:val="36"/>
          <w14:textFill>
            <w14:solidFill>
              <w14:schemeClr w14:val="tx1"/>
            </w14:solidFill>
          </w14:textFill>
        </w:rPr>
        <w:t>机制环境有待完善。</w:t>
      </w:r>
      <w:r>
        <w:rPr>
          <w:rFonts w:hint="eastAsia" w:ascii="Times New Roman" w:hAnsi="Times New Roman" w:eastAsia="仿宋_GB2312"/>
          <w:color w:val="000000" w:themeColor="text1"/>
          <w:sz w:val="32"/>
          <w:szCs w:val="36"/>
          <w14:textFill>
            <w14:solidFill>
              <w14:schemeClr w14:val="tx1"/>
            </w14:solidFill>
          </w14:textFill>
        </w:rPr>
        <w:t>对比粤港澳大湾区来看，广州天河区、越秀区以及深圳福田区等商务中心依托C</w:t>
      </w:r>
      <w:r>
        <w:rPr>
          <w:rFonts w:ascii="Times New Roman" w:hAnsi="Times New Roman" w:eastAsia="仿宋_GB2312"/>
          <w:color w:val="000000" w:themeColor="text1"/>
          <w:sz w:val="32"/>
          <w:szCs w:val="36"/>
          <w14:textFill>
            <w14:solidFill>
              <w14:schemeClr w14:val="tx1"/>
            </w14:solidFill>
          </w14:textFill>
        </w:rPr>
        <w:t>BD</w:t>
      </w:r>
      <w:r>
        <w:rPr>
          <w:rFonts w:hint="eastAsia" w:ascii="Times New Roman" w:hAnsi="Times New Roman" w:eastAsia="仿宋_GB2312"/>
          <w:color w:val="000000" w:themeColor="text1"/>
          <w:sz w:val="32"/>
          <w:szCs w:val="36"/>
          <w14:textFill>
            <w14:solidFill>
              <w14:schemeClr w14:val="tx1"/>
            </w14:solidFill>
          </w14:textFill>
        </w:rPr>
        <w:t>的载体优势，建立较为完善的现代服务业发展机制，当前我区现代服务业平台载体尚不完善，同时在产业政策扶持的力度和广度方面仍存在差距，现代服务业产业发展营商环境水平仍需进一步提高。</w:t>
      </w:r>
      <w:r>
        <w:rPr>
          <w:rFonts w:hint="eastAsia" w:ascii="Times New Roman" w:hAnsi="Times New Roman" w:eastAsia="仿宋_GB2312" w:cs="黑体"/>
          <w:b/>
          <w:bCs/>
          <w:color w:val="000000" w:themeColor="text1"/>
          <w:sz w:val="32"/>
          <w:szCs w:val="36"/>
          <w14:textFill>
            <w14:solidFill>
              <w14:schemeClr w14:val="tx1"/>
            </w14:solidFill>
          </w14:textFill>
        </w:rPr>
        <w:t>四是</w:t>
      </w:r>
      <w:r>
        <w:rPr>
          <w:rFonts w:hint="eastAsia" w:ascii="Times New Roman" w:hAnsi="Times New Roman" w:eastAsia="仿宋_GB2312" w:cs="黑体"/>
          <w:color w:val="000000" w:themeColor="text1"/>
          <w:sz w:val="32"/>
          <w:szCs w:val="36"/>
          <w14:textFill>
            <w14:solidFill>
              <w14:schemeClr w14:val="tx1"/>
            </w14:solidFill>
          </w14:textFill>
        </w:rPr>
        <w:t>产业人才较为缺乏。</w:t>
      </w:r>
      <w:r>
        <w:rPr>
          <w:rFonts w:hint="eastAsia" w:ascii="Times New Roman" w:hAnsi="Times New Roman" w:eastAsia="仿宋_GB2312"/>
          <w:color w:val="000000" w:themeColor="text1"/>
          <w:sz w:val="32"/>
          <w:szCs w:val="36"/>
          <w14:textFill>
            <w14:solidFill>
              <w14:schemeClr w14:val="tx1"/>
            </w14:solidFill>
          </w14:textFill>
        </w:rPr>
        <w:t>由于我区现代服务业产业结构仍不完善，低附加值的产业类型居多，以及对人才吸引培育相关的政策不够完善，导致对现代服务业高端人才的吸引力明显不足。相对发达地区来看，我区现代服务业人才仍存在较大缺口。</w:t>
      </w:r>
    </w:p>
    <w:p>
      <w:pPr>
        <w:spacing w:line="560" w:lineRule="exact"/>
        <w:ind w:firstLine="640" w:firstLineChars="200"/>
        <w:outlineLvl w:val="0"/>
        <w:rPr>
          <w:rFonts w:ascii="Times New Roman" w:hAnsi="Times New Roman" w:eastAsia="黑体" w:cs="黑体"/>
          <w:color w:val="000000" w:themeColor="text1"/>
          <w:sz w:val="32"/>
          <w:szCs w:val="32"/>
          <w14:textFill>
            <w14:solidFill>
              <w14:schemeClr w14:val="tx1"/>
            </w14:solidFill>
          </w14:textFill>
        </w:rPr>
      </w:pPr>
      <w:bookmarkStart w:id="12" w:name="_Toc9542"/>
      <w:bookmarkStart w:id="13" w:name="_Toc20280"/>
      <w:bookmarkStart w:id="14" w:name="_Toc1734"/>
      <w:r>
        <w:rPr>
          <w:rFonts w:hint="eastAsia" w:ascii="Times New Roman" w:hAnsi="Times New Roman" w:eastAsia="黑体" w:cs="黑体"/>
          <w:color w:val="000000" w:themeColor="text1"/>
          <w:sz w:val="32"/>
          <w:szCs w:val="32"/>
          <w14:textFill>
            <w14:solidFill>
              <w14:schemeClr w14:val="tx1"/>
            </w14:solidFill>
          </w14:textFill>
        </w:rPr>
        <w:t>二、发展环境</w:t>
      </w:r>
      <w:bookmarkEnd w:id="12"/>
      <w:bookmarkEnd w:id="13"/>
      <w:bookmarkEnd w:id="14"/>
    </w:p>
    <w:p>
      <w:pPr>
        <w:spacing w:line="560" w:lineRule="exact"/>
        <w:ind w:firstLine="643" w:firstLineChars="200"/>
        <w:outlineLvl w:val="1"/>
        <w:rPr>
          <w:rFonts w:ascii="Times New Roman" w:hAnsi="Times New Roman" w:eastAsia="楷体_GB2312" w:cs="黑体"/>
          <w:b/>
          <w:bCs/>
          <w:color w:val="000000" w:themeColor="text1"/>
          <w:sz w:val="32"/>
          <w:szCs w:val="32"/>
          <w14:textFill>
            <w14:solidFill>
              <w14:schemeClr w14:val="tx1"/>
            </w14:solidFill>
          </w14:textFill>
        </w:rPr>
      </w:pPr>
      <w:bookmarkStart w:id="15" w:name="_Toc19056"/>
      <w:bookmarkStart w:id="16" w:name="_Toc2900"/>
      <w:bookmarkStart w:id="17" w:name="_Toc19658"/>
      <w:r>
        <w:rPr>
          <w:rFonts w:hint="eastAsia" w:ascii="Times New Roman" w:hAnsi="Times New Roman" w:eastAsia="楷体_GB2312" w:cs="黑体"/>
          <w:b/>
          <w:bCs/>
          <w:color w:val="000000" w:themeColor="text1"/>
          <w:sz w:val="32"/>
          <w:szCs w:val="32"/>
          <w14:textFill>
            <w14:solidFill>
              <w14:schemeClr w14:val="tx1"/>
            </w14:solidFill>
          </w14:textFill>
        </w:rPr>
        <w:t>（一）发展机遇</w:t>
      </w:r>
      <w:bookmarkEnd w:id="15"/>
      <w:bookmarkEnd w:id="16"/>
      <w:bookmarkEnd w:id="17"/>
    </w:p>
    <w:p>
      <w:pPr>
        <w:spacing w:line="560" w:lineRule="exact"/>
        <w:ind w:firstLine="643" w:firstLineChars="200"/>
        <w:outlineLvl w:val="2"/>
        <w:rPr>
          <w:rFonts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1、从国际环境来看，新一轮科技革命和产业变革推动服务业深化发展</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在新一轮科技革命和产业变革推动下，当前全球服务业呈现新的发展趋势，科技创新推动服务业加快转型升级，新一代信息、人工智能、区块链等技术不断突破和广泛应用，加速服务内容、业态和商业模式创新，推动服务网络化、智慧化、平台化，知识密集型服务业比重快速提升，个性化、体验式、互动式等服务消费蓬勃兴起。同时，制造业服务化及产业融合发展态势明显，互联网、新一代信息技术与制造业的深度融合加速了制造服务化进程，研发设计、系统集成、融资租赁等生产性服务业加快发展。未来，增城服务业将在新一轮科技革命和产业变革推动迎来更深层次、高质量的发展。</w:t>
      </w:r>
    </w:p>
    <w:p>
      <w:pPr>
        <w:spacing w:line="560" w:lineRule="exact"/>
        <w:ind w:firstLine="643" w:firstLineChars="200"/>
        <w:outlineLvl w:val="2"/>
        <w:rPr>
          <w:rFonts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2、从国内环境来看，国内国际双循环发展格局下服务业获得持续发展动力</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w:t>
      </w:r>
      <w:r>
        <w:rPr>
          <w:rFonts w:ascii="Times New Roman" w:hAnsi="Times New Roman" w:eastAsia="仿宋_GB2312" w:cs="仿宋_GB2312"/>
          <w:color w:val="000000" w:themeColor="text1"/>
          <w:sz w:val="32"/>
          <w:szCs w:val="32"/>
          <w14:textFill>
            <w14:solidFill>
              <w14:schemeClr w14:val="tx1"/>
            </w14:solidFill>
          </w14:textFill>
        </w:rPr>
        <w:t>020</w:t>
      </w:r>
      <w:r>
        <w:rPr>
          <w:rFonts w:hint="eastAsia" w:ascii="Times New Roman" w:hAnsi="Times New Roman" w:eastAsia="仿宋_GB2312" w:cs="仿宋_GB2312"/>
          <w:color w:val="000000" w:themeColor="text1"/>
          <w:sz w:val="32"/>
          <w:szCs w:val="32"/>
          <w14:textFill>
            <w14:solidFill>
              <w14:schemeClr w14:val="tx1"/>
            </w14:solidFill>
          </w14:textFill>
        </w:rPr>
        <w:t>年5月，中共中央政治局常委会会议首次提出“深化供给侧结构性改革，充分发挥我国超大规模市场优势和内需潜力，构建国内国际双循环相互促进的新发展格局”，未来扩大内需战略与深化供给侧结构性改革将进一步有机结合。当前，服务业已成为我国经济和社会发展的稳定器，服务品种日益丰富，新业态竞相涌现，有力支撑了经济发展、就业扩大和民生改善。同时，国内服务业发展的政策环境日趋完善，国务院近几年密集出台了加快发展生产性服务业、生活性服务业、健康服务业、科技服务业、服务贸易、消费体制机制改革、服务业创新发展等政策文件，致力于降低服务业税负，积极推动服务业发展提速、比重提高、水平提升。新格局下增城服务业需深度参与湾区产业链分工，同时以体制机制创新为抓手推进新型城镇化，持续释放居民消费、基础设施和公共服务等需求潜力。</w:t>
      </w:r>
    </w:p>
    <w:p>
      <w:pPr>
        <w:spacing w:line="560" w:lineRule="exact"/>
        <w:ind w:firstLine="643" w:firstLineChars="200"/>
        <w:outlineLvl w:val="2"/>
        <w:rPr>
          <w:rFonts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3、从区域环境来看，大湾区与示范区“双区”驱动为服务业带来广阔前景</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当前，粤港澳大湾区与深圳建设中国特色社会主义先行示范区建设已成为国家重大发展战略，“十四五”时期，大湾区建设将进入纵深推进阶段，深圳示范区建设也在特区成立40周年后开启全面发展，广州、深圳作为湾区两大增长极和创新极，“双区建设、双城联动”的辐射带动作用日益显著，随着广深港澳科技创新走廊和广深两大都市圈等区域协同发展战略的深入实施，现代服务业将迎来广阔的发展空间。增城地处粤港澳大湾区的关键节点和广深两地重要结合区，面对当前</w:t>
      </w:r>
      <w:r>
        <w:rPr>
          <w:rFonts w:ascii="Times New Roman" w:hAnsi="Times New Roman" w:eastAsia="仿宋_GB2312" w:cs="仿宋_GB2312"/>
          <w:color w:val="000000" w:themeColor="text1"/>
          <w:sz w:val="32"/>
          <w:szCs w:val="32"/>
          <w14:textFill>
            <w14:solidFill>
              <w14:schemeClr w14:val="tx1"/>
            </w14:solidFill>
          </w14:textFill>
        </w:rPr>
        <w:t>重大</w:t>
      </w:r>
      <w:r>
        <w:rPr>
          <w:rFonts w:hint="eastAsia" w:ascii="Times New Roman" w:hAnsi="Times New Roman" w:eastAsia="仿宋_GB2312" w:cs="仿宋_GB2312"/>
          <w:color w:val="000000" w:themeColor="text1"/>
          <w:sz w:val="32"/>
          <w:szCs w:val="32"/>
          <w14:textFill>
            <w14:solidFill>
              <w14:schemeClr w14:val="tx1"/>
            </w14:solidFill>
          </w14:textFill>
        </w:rPr>
        <w:t>战略</w:t>
      </w:r>
      <w:r>
        <w:rPr>
          <w:rFonts w:ascii="Times New Roman" w:hAnsi="Times New Roman" w:eastAsia="仿宋_GB2312" w:cs="仿宋_GB2312"/>
          <w:color w:val="000000" w:themeColor="text1"/>
          <w:sz w:val="32"/>
          <w:szCs w:val="32"/>
          <w14:textFill>
            <w14:solidFill>
              <w14:schemeClr w14:val="tx1"/>
            </w14:solidFill>
          </w14:textFill>
        </w:rPr>
        <w:t>机遇，要积极融入湾区</w:t>
      </w:r>
      <w:r>
        <w:rPr>
          <w:rFonts w:hint="eastAsia" w:ascii="Times New Roman" w:hAnsi="Times New Roman" w:eastAsia="仿宋_GB2312" w:cs="仿宋_GB2312"/>
          <w:color w:val="000000" w:themeColor="text1"/>
          <w:sz w:val="32"/>
          <w:szCs w:val="32"/>
          <w14:textFill>
            <w14:solidFill>
              <w14:schemeClr w14:val="tx1"/>
            </w14:solidFill>
          </w14:textFill>
        </w:rPr>
        <w:t>经济体系</w:t>
      </w:r>
      <w:r>
        <w:rPr>
          <w:rFonts w:ascii="Times New Roman" w:hAnsi="Times New Roman" w:eastAsia="仿宋_GB2312" w:cs="仿宋_GB2312"/>
          <w:color w:val="000000" w:themeColor="text1"/>
          <w:sz w:val="32"/>
          <w:szCs w:val="32"/>
          <w14:textFill>
            <w14:solidFill>
              <w14:schemeClr w14:val="tx1"/>
            </w14:solidFill>
          </w14:textFill>
        </w:rPr>
        <w:t>建设，推进重大交通设施互联互通，</w:t>
      </w:r>
      <w:r>
        <w:rPr>
          <w:rFonts w:hint="eastAsia" w:ascii="Times New Roman" w:hAnsi="Times New Roman" w:eastAsia="仿宋_GB2312" w:cs="仿宋_GB2312"/>
          <w:color w:val="000000" w:themeColor="text1"/>
          <w:sz w:val="32"/>
          <w:szCs w:val="32"/>
          <w14:textFill>
            <w14:solidFill>
              <w14:schemeClr w14:val="tx1"/>
            </w14:solidFill>
          </w14:textFill>
        </w:rPr>
        <w:t>深化与深圳地区的资源交流与产业合作，推动湾区各类服务业创新资源与高端产业要素向增城集聚，紧盯</w:t>
      </w:r>
      <w:r>
        <w:rPr>
          <w:rFonts w:ascii="Times New Roman" w:hAnsi="Times New Roman" w:eastAsia="仿宋_GB2312" w:cs="仿宋_GB2312"/>
          <w:color w:val="000000" w:themeColor="text1"/>
          <w:sz w:val="32"/>
          <w:szCs w:val="32"/>
          <w14:textFill>
            <w14:solidFill>
              <w14:schemeClr w14:val="tx1"/>
            </w14:solidFill>
          </w14:textFill>
        </w:rPr>
        <w:t>现代服务业</w:t>
      </w:r>
      <w:r>
        <w:rPr>
          <w:rFonts w:hint="eastAsia" w:ascii="Times New Roman" w:hAnsi="Times New Roman" w:eastAsia="仿宋_GB2312" w:cs="仿宋_GB2312"/>
          <w:color w:val="000000" w:themeColor="text1"/>
          <w:sz w:val="32"/>
          <w:szCs w:val="32"/>
          <w14:textFill>
            <w14:solidFill>
              <w14:schemeClr w14:val="tx1"/>
            </w14:solidFill>
          </w14:textFill>
        </w:rPr>
        <w:t>及总部经济</w:t>
      </w:r>
      <w:r>
        <w:rPr>
          <w:rFonts w:ascii="Times New Roman" w:hAnsi="Times New Roman" w:eastAsia="仿宋_GB2312" w:cs="仿宋_GB2312"/>
          <w:color w:val="000000" w:themeColor="text1"/>
          <w:sz w:val="32"/>
          <w:szCs w:val="32"/>
          <w14:textFill>
            <w14:solidFill>
              <w14:schemeClr w14:val="tx1"/>
            </w14:solidFill>
          </w14:textFill>
        </w:rPr>
        <w:t>招商，</w:t>
      </w:r>
      <w:r>
        <w:rPr>
          <w:rFonts w:hint="eastAsia" w:ascii="Times New Roman" w:hAnsi="Times New Roman" w:eastAsia="仿宋_GB2312" w:cs="仿宋_GB2312"/>
          <w:color w:val="000000" w:themeColor="text1"/>
          <w:sz w:val="32"/>
          <w:szCs w:val="32"/>
          <w14:textFill>
            <w14:solidFill>
              <w14:schemeClr w14:val="tx1"/>
            </w14:solidFill>
          </w14:textFill>
        </w:rPr>
        <w:t>加强区域合作，围绕高端服务业领域及其关键环节积极持续</w:t>
      </w:r>
      <w:r>
        <w:rPr>
          <w:rFonts w:ascii="Times New Roman" w:hAnsi="Times New Roman" w:eastAsia="仿宋_GB2312" w:cs="仿宋_GB2312"/>
          <w:color w:val="000000" w:themeColor="text1"/>
          <w:sz w:val="32"/>
          <w:szCs w:val="32"/>
          <w14:textFill>
            <w14:solidFill>
              <w14:schemeClr w14:val="tx1"/>
            </w14:solidFill>
          </w14:textFill>
        </w:rPr>
        <w:t>新引进</w:t>
      </w:r>
      <w:r>
        <w:rPr>
          <w:rFonts w:hint="eastAsia" w:ascii="Times New Roman" w:hAnsi="Times New Roman" w:eastAsia="仿宋_GB2312" w:cs="仿宋_GB2312"/>
          <w:color w:val="000000" w:themeColor="text1"/>
          <w:sz w:val="32"/>
          <w:szCs w:val="32"/>
          <w14:textFill>
            <w14:solidFill>
              <w14:schemeClr w14:val="tx1"/>
            </w14:solidFill>
          </w14:textFill>
        </w:rPr>
        <w:t>优质</w:t>
      </w:r>
      <w:r>
        <w:rPr>
          <w:rFonts w:ascii="Times New Roman" w:hAnsi="Times New Roman" w:eastAsia="仿宋_GB2312" w:cs="仿宋_GB2312"/>
          <w:color w:val="000000" w:themeColor="text1"/>
          <w:sz w:val="32"/>
          <w:szCs w:val="32"/>
          <w14:textFill>
            <w14:solidFill>
              <w14:schemeClr w14:val="tx1"/>
            </w14:solidFill>
          </w14:textFill>
        </w:rPr>
        <w:t>项目</w:t>
      </w:r>
      <w:r>
        <w:rPr>
          <w:rFonts w:hint="eastAsia" w:ascii="Times New Roman" w:hAnsi="Times New Roman" w:eastAsia="仿宋_GB2312" w:cs="仿宋_GB2312"/>
          <w:color w:val="000000" w:themeColor="text1"/>
          <w:sz w:val="32"/>
          <w:szCs w:val="32"/>
          <w14:textFill>
            <w14:solidFill>
              <w14:schemeClr w14:val="tx1"/>
            </w14:solidFill>
          </w14:textFill>
        </w:rPr>
        <w:t>，大力</w:t>
      </w:r>
      <w:r>
        <w:rPr>
          <w:rFonts w:ascii="Times New Roman" w:hAnsi="Times New Roman" w:eastAsia="仿宋_GB2312" w:cs="仿宋_GB2312"/>
          <w:color w:val="000000" w:themeColor="text1"/>
          <w:sz w:val="32"/>
          <w:szCs w:val="32"/>
          <w14:textFill>
            <w14:solidFill>
              <w14:schemeClr w14:val="tx1"/>
            </w14:solidFill>
          </w14:textFill>
        </w:rPr>
        <w:t>优化区域城市功能定位</w:t>
      </w:r>
      <w:r>
        <w:rPr>
          <w:rFonts w:hint="eastAsia" w:ascii="Times New Roman" w:hAnsi="Times New Roman" w:eastAsia="仿宋_GB2312" w:cs="仿宋_GB2312"/>
          <w:color w:val="000000" w:themeColor="text1"/>
          <w:sz w:val="32"/>
          <w:szCs w:val="32"/>
          <w14:textFill>
            <w14:solidFill>
              <w14:schemeClr w14:val="tx1"/>
            </w14:solidFill>
          </w14:textFill>
        </w:rPr>
        <w:t>，与</w:t>
      </w:r>
      <w:r>
        <w:rPr>
          <w:rFonts w:ascii="Times New Roman" w:hAnsi="Times New Roman" w:eastAsia="仿宋_GB2312" w:cs="仿宋_GB2312"/>
          <w:color w:val="000000" w:themeColor="text1"/>
          <w:sz w:val="32"/>
          <w:szCs w:val="32"/>
          <w14:textFill>
            <w14:solidFill>
              <w14:schemeClr w14:val="tx1"/>
            </w14:solidFill>
          </w14:textFill>
        </w:rPr>
        <w:t>周边城市</w:t>
      </w:r>
      <w:r>
        <w:rPr>
          <w:rFonts w:hint="eastAsia" w:ascii="Times New Roman" w:hAnsi="Times New Roman" w:eastAsia="仿宋_GB2312" w:cs="仿宋_GB2312"/>
          <w:color w:val="000000" w:themeColor="text1"/>
          <w:sz w:val="32"/>
          <w:szCs w:val="32"/>
          <w14:textFill>
            <w14:solidFill>
              <w14:schemeClr w14:val="tx1"/>
            </w14:solidFill>
          </w14:textFill>
        </w:rPr>
        <w:t>携手</w:t>
      </w:r>
      <w:r>
        <w:rPr>
          <w:rFonts w:ascii="Times New Roman" w:hAnsi="Times New Roman" w:eastAsia="仿宋_GB2312" w:cs="仿宋_GB2312"/>
          <w:color w:val="000000" w:themeColor="text1"/>
          <w:sz w:val="32"/>
          <w:szCs w:val="32"/>
          <w14:textFill>
            <w14:solidFill>
              <w14:schemeClr w14:val="tx1"/>
            </w14:solidFill>
          </w14:textFill>
        </w:rPr>
        <w:t>共建富有活力和国际竞争力的一流湾区</w:t>
      </w:r>
      <w:r>
        <w:rPr>
          <w:rFonts w:hint="eastAsia" w:ascii="Times New Roman" w:hAnsi="Times New Roman" w:eastAsia="仿宋_GB2312" w:cs="仿宋_GB2312"/>
          <w:color w:val="000000" w:themeColor="text1"/>
          <w:sz w:val="32"/>
          <w:szCs w:val="32"/>
          <w14:textFill>
            <w14:solidFill>
              <w14:schemeClr w14:val="tx1"/>
            </w14:solidFill>
          </w14:textFill>
        </w:rPr>
        <w:t>。</w:t>
      </w:r>
    </w:p>
    <w:p>
      <w:pPr>
        <w:spacing w:line="560" w:lineRule="exact"/>
        <w:ind w:firstLine="643" w:firstLineChars="200"/>
        <w:outlineLvl w:val="2"/>
        <w:rPr>
          <w:rFonts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4、从城市建设来看，“老城市新活力”的城市发展目标助力产业环境持续优化</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近几年，广州认真学习贯彻习近平总书记视察广东重要讲话精神，全面深化城市更新，促进城市生态修复和城市功能修补，努力探索城市有机更新、老城市焕发新活力的有效模式，出台深化城市更新工作推进高质量发展“1+1+N”政策体系，强调规划引领、产城融合、职住平衡、保障民生、文化传承、生态宜居、智慧管理，激发城市更新工作活力，并提出以更强担当在加快形成新发展格局中积极探索、走在前列，以更高质量推进实现“老城市新活力”“四个出新出彩”。增城需紧跟广州新型城市建设步伐，着力推进服务业基础设施、产业载体、城市文化等资源建设，大力推动乡村振兴发展，持续优化城市功能布局，为民生服务、产业发展、环境品质等方面可持续发展提供坚实基础，为现代服务业各类业态全面发展提供更为良好的环境，助力广州综合城市功能、文化综合实力出新出彩。</w:t>
      </w:r>
    </w:p>
    <w:p>
      <w:pPr>
        <w:spacing w:line="560" w:lineRule="exact"/>
        <w:ind w:firstLine="643" w:firstLineChars="200"/>
        <w:outlineLvl w:val="1"/>
        <w:rPr>
          <w:rFonts w:ascii="Times New Roman" w:hAnsi="Times New Roman" w:eastAsia="楷体_GB2312" w:cs="黑体"/>
          <w:b/>
          <w:bCs/>
          <w:color w:val="000000" w:themeColor="text1"/>
          <w:sz w:val="32"/>
          <w:szCs w:val="32"/>
          <w14:textFill>
            <w14:solidFill>
              <w14:schemeClr w14:val="tx1"/>
            </w14:solidFill>
          </w14:textFill>
        </w:rPr>
      </w:pPr>
      <w:bookmarkStart w:id="18" w:name="_Toc2994"/>
      <w:bookmarkStart w:id="19" w:name="_Toc12596"/>
      <w:bookmarkStart w:id="20" w:name="_Toc6456"/>
      <w:r>
        <w:rPr>
          <w:rFonts w:hint="eastAsia" w:ascii="Times New Roman" w:hAnsi="Times New Roman" w:eastAsia="楷体_GB2312" w:cs="黑体"/>
          <w:b/>
          <w:bCs/>
          <w:color w:val="000000" w:themeColor="text1"/>
          <w:sz w:val="32"/>
          <w:szCs w:val="32"/>
          <w14:textFill>
            <w14:solidFill>
              <w14:schemeClr w14:val="tx1"/>
            </w14:solidFill>
          </w14:textFill>
        </w:rPr>
        <w:t>（二）面临挑战</w:t>
      </w:r>
      <w:bookmarkEnd w:id="18"/>
      <w:bookmarkEnd w:id="19"/>
      <w:bookmarkEnd w:id="20"/>
    </w:p>
    <w:p>
      <w:pPr>
        <w:spacing w:line="560" w:lineRule="exact"/>
        <w:ind w:firstLine="643" w:firstLineChars="200"/>
        <w:outlineLvl w:val="2"/>
        <w:rPr>
          <w:rFonts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1、从国际环境来看，全球经济的不稳定性进一步提升</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当前国际环境日趋复杂，经济动荡性明显加强，经济全球化遭遇逆流，世界进入动荡变革期，单边主义、保护主义对世界和平与经济发展构成威胁，中美贸易摩擦也影响着我国服务贸易开放程度，现代服务业的市场公平竞争能力和行业效率面临着巨大的挑战。2020年新冠肺炎疫情冲击导致全球经济增长乏力，不稳定</w:t>
      </w:r>
      <w:r>
        <w:rPr>
          <w:rFonts w:ascii="Times New Roman" w:hAnsi="Times New Roman" w:eastAsia="仿宋_GB2312" w:cs="仿宋_GB2312"/>
          <w:color w:val="000000" w:themeColor="text1"/>
          <w:sz w:val="32"/>
          <w:szCs w:val="32"/>
          <w14:textFill>
            <w14:solidFill>
              <w14:schemeClr w14:val="tx1"/>
            </w14:solidFill>
          </w14:textFill>
        </w:rPr>
        <w:t>性</w:t>
      </w:r>
      <w:r>
        <w:rPr>
          <w:rFonts w:hint="eastAsia" w:ascii="Times New Roman" w:hAnsi="Times New Roman" w:eastAsia="仿宋_GB2312" w:cs="仿宋_GB2312"/>
          <w:color w:val="000000" w:themeColor="text1"/>
          <w:sz w:val="32"/>
          <w:szCs w:val="32"/>
          <w14:textFill>
            <w14:solidFill>
              <w14:schemeClr w14:val="tx1"/>
            </w14:solidFill>
          </w14:textFill>
        </w:rPr>
        <w:t>进一步增</w:t>
      </w:r>
      <w:r>
        <w:rPr>
          <w:rFonts w:ascii="Times New Roman" w:hAnsi="Times New Roman" w:eastAsia="仿宋_GB2312" w:cs="仿宋_GB2312"/>
          <w:color w:val="000000" w:themeColor="text1"/>
          <w:sz w:val="32"/>
          <w:szCs w:val="32"/>
          <w14:textFill>
            <w14:solidFill>
              <w14:schemeClr w14:val="tx1"/>
            </w14:solidFill>
          </w14:textFill>
        </w:rPr>
        <w:t>强</w:t>
      </w:r>
      <w:r>
        <w:rPr>
          <w:rFonts w:hint="eastAsia" w:ascii="Times New Roman" w:hAnsi="Times New Roman" w:eastAsia="仿宋_GB2312" w:cs="仿宋_GB2312"/>
          <w:color w:val="000000" w:themeColor="text1"/>
          <w:sz w:val="32"/>
          <w:szCs w:val="32"/>
          <w14:textFill>
            <w14:solidFill>
              <w14:schemeClr w14:val="tx1"/>
            </w14:solidFill>
          </w14:textFill>
        </w:rPr>
        <w:t>，制约服务贸易的拓展交流和行业的生产活动，对我国现代服务业中外向型产业构成严峻挑战。</w:t>
      </w:r>
    </w:p>
    <w:p>
      <w:pPr>
        <w:spacing w:line="560" w:lineRule="exact"/>
        <w:ind w:firstLine="643" w:firstLineChars="200"/>
        <w:outlineLvl w:val="2"/>
        <w:rPr>
          <w:rFonts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2、从国内环境来看，新常态下经济下行压力持续加大</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t>新常态下</w:t>
      </w:r>
      <w:r>
        <w:rPr>
          <w:rFonts w:hint="eastAsia" w:ascii="Times New Roman" w:hAnsi="Times New Roman" w:eastAsia="仿宋_GB2312" w:cs="仿宋_GB2312"/>
          <w:color w:val="000000" w:themeColor="text1"/>
          <w:sz w:val="32"/>
          <w:szCs w:val="32"/>
          <w14:textFill>
            <w14:solidFill>
              <w14:schemeClr w14:val="tx1"/>
            </w14:solidFill>
          </w14:textFill>
        </w:rPr>
        <w:t>，我国持续面临</w:t>
      </w:r>
      <w:r>
        <w:rPr>
          <w:rFonts w:ascii="Times New Roman" w:hAnsi="Times New Roman" w:eastAsia="仿宋_GB2312" w:cs="仿宋_GB2312"/>
          <w:color w:val="000000" w:themeColor="text1"/>
          <w:sz w:val="32"/>
          <w:szCs w:val="32"/>
          <w14:textFill>
            <w14:solidFill>
              <w14:schemeClr w14:val="tx1"/>
            </w14:solidFill>
          </w14:textFill>
        </w:rPr>
        <w:t>经济下行的压力，消费增速</w:t>
      </w:r>
      <w:r>
        <w:rPr>
          <w:rFonts w:hint="eastAsia" w:ascii="Times New Roman" w:hAnsi="Times New Roman" w:eastAsia="仿宋_GB2312" w:cs="仿宋_GB2312"/>
          <w:color w:val="000000" w:themeColor="text1"/>
          <w:sz w:val="32"/>
          <w:szCs w:val="32"/>
          <w14:textFill>
            <w14:solidFill>
              <w14:schemeClr w14:val="tx1"/>
            </w14:solidFill>
          </w14:textFill>
        </w:rPr>
        <w:t>有所</w:t>
      </w:r>
      <w:r>
        <w:rPr>
          <w:rFonts w:ascii="Times New Roman" w:hAnsi="Times New Roman" w:eastAsia="仿宋_GB2312" w:cs="仿宋_GB2312"/>
          <w:color w:val="000000" w:themeColor="text1"/>
          <w:sz w:val="32"/>
          <w:szCs w:val="32"/>
          <w14:textFill>
            <w14:solidFill>
              <w14:schemeClr w14:val="tx1"/>
            </w14:solidFill>
          </w14:textFill>
        </w:rPr>
        <w:t>减慢，有效投资增长乏力。</w:t>
      </w:r>
      <w:r>
        <w:rPr>
          <w:rFonts w:hint="eastAsia" w:ascii="Times New Roman" w:hAnsi="Times New Roman" w:eastAsia="仿宋_GB2312" w:cs="仿宋_GB2312"/>
          <w:color w:val="000000" w:themeColor="text1"/>
          <w:sz w:val="32"/>
          <w:szCs w:val="32"/>
          <w14:textFill>
            <w14:solidFill>
              <w14:schemeClr w14:val="tx1"/>
            </w14:solidFill>
          </w14:textFill>
        </w:rPr>
        <w:t>2020年新冠肺炎疫情进一步增加下行压力中的不稳定因素，</w:t>
      </w:r>
      <w:r>
        <w:rPr>
          <w:rFonts w:ascii="Times New Roman" w:hAnsi="Times New Roman" w:eastAsia="仿宋_GB2312" w:cs="仿宋_GB2312"/>
          <w:color w:val="000000" w:themeColor="text1"/>
          <w:sz w:val="32"/>
          <w:szCs w:val="32"/>
          <w14:textFill>
            <w14:solidFill>
              <w14:schemeClr w14:val="tx1"/>
            </w14:solidFill>
          </w14:textFill>
        </w:rPr>
        <w:t>服务业发展不可避免</w:t>
      </w:r>
      <w:r>
        <w:rPr>
          <w:rFonts w:hint="eastAsia" w:ascii="Times New Roman" w:hAnsi="Times New Roman" w:eastAsia="仿宋_GB2312" w:cs="仿宋_GB2312"/>
          <w:color w:val="000000" w:themeColor="text1"/>
          <w:sz w:val="32"/>
          <w:szCs w:val="32"/>
          <w14:textFill>
            <w14:solidFill>
              <w14:schemeClr w14:val="tx1"/>
            </w14:solidFill>
          </w14:textFill>
        </w:rPr>
        <w:t>地</w:t>
      </w:r>
      <w:r>
        <w:rPr>
          <w:rFonts w:ascii="Times New Roman" w:hAnsi="Times New Roman" w:eastAsia="仿宋_GB2312" w:cs="仿宋_GB2312"/>
          <w:color w:val="000000" w:themeColor="text1"/>
          <w:sz w:val="32"/>
          <w:szCs w:val="32"/>
          <w14:textFill>
            <w14:solidFill>
              <w14:schemeClr w14:val="tx1"/>
            </w14:solidFill>
          </w14:textFill>
        </w:rPr>
        <w:t>受到影响，</w:t>
      </w:r>
      <w:r>
        <w:rPr>
          <w:rFonts w:hint="eastAsia" w:ascii="Times New Roman" w:hAnsi="Times New Roman" w:eastAsia="仿宋_GB2312" w:cs="仿宋_GB2312"/>
          <w:color w:val="000000" w:themeColor="text1"/>
          <w:sz w:val="32"/>
          <w:szCs w:val="32"/>
          <w14:textFill>
            <w14:solidFill>
              <w14:schemeClr w14:val="tx1"/>
            </w14:solidFill>
          </w14:textFill>
        </w:rPr>
        <w:t>部分细分领域消费需求受到明显抑制，整体行业相比制造业恢复速度较慢，债务风险增加，如何在新常态下加快产业资源集聚效应，提升创新成果转化能力，推进现代服务业提质增效，保障产业链供应链稳定，是增城在“十四五”期间的重点挑战之一。</w:t>
      </w:r>
    </w:p>
    <w:p>
      <w:pPr>
        <w:spacing w:line="560" w:lineRule="exact"/>
        <w:ind w:firstLine="643" w:firstLineChars="200"/>
        <w:outlineLvl w:val="2"/>
        <w:rPr>
          <w:rFonts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3、从区域环境来看，周边区域服务业竞争日渐激烈</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增城地处粤港澳大湾区，是国内现代服务业发展高度活跃的地区之一，同时面临着与周边地市的激烈的产业竞争。广州黄埔、花都等城区依靠自身优质环境和资源加快现代服务业集聚发展，同时佛山、东莞等地也纷纷提出转型升级，加大力度发展现代服务业，香港、深圳等地的高端与新兴服务业优势明显。对比周边地区，增城现代服务业在产业基础方面优势不突出，在人才、政策等发展要素方面竞争力不足，“十四五”期间如何找准产业定位，谋划差异化发展，实现弯道超车，将是增城的主要挑战。</w:t>
      </w:r>
    </w:p>
    <w:p>
      <w:pPr>
        <w:spacing w:line="560" w:lineRule="exact"/>
        <w:ind w:firstLine="640" w:firstLineChars="200"/>
        <w:outlineLvl w:val="0"/>
        <w:rPr>
          <w:rFonts w:ascii="Times New Roman" w:hAnsi="Times New Roman" w:eastAsia="黑体" w:cs="Times New Roman"/>
          <w:color w:val="000000" w:themeColor="text1"/>
          <w:sz w:val="32"/>
          <w:szCs w:val="40"/>
          <w14:textFill>
            <w14:solidFill>
              <w14:schemeClr w14:val="tx1"/>
            </w14:solidFill>
          </w14:textFill>
        </w:rPr>
      </w:pPr>
      <w:bookmarkStart w:id="21" w:name="_Toc30357"/>
      <w:bookmarkStart w:id="22" w:name="_Toc56516272"/>
      <w:bookmarkStart w:id="23" w:name="_Toc27738"/>
      <w:bookmarkStart w:id="24" w:name="_Toc9161"/>
      <w:r>
        <w:rPr>
          <w:rFonts w:hint="eastAsia" w:ascii="Times New Roman" w:hAnsi="Times New Roman" w:eastAsia="黑体" w:cs="Times New Roman"/>
          <w:color w:val="000000" w:themeColor="text1"/>
          <w:sz w:val="32"/>
          <w:szCs w:val="40"/>
          <w14:textFill>
            <w14:solidFill>
              <w14:schemeClr w14:val="tx1"/>
            </w14:solidFill>
          </w14:textFill>
        </w:rPr>
        <w:t>三、总体要求</w:t>
      </w:r>
      <w:bookmarkEnd w:id="21"/>
      <w:bookmarkEnd w:id="22"/>
      <w:bookmarkEnd w:id="23"/>
      <w:bookmarkEnd w:id="24"/>
    </w:p>
    <w:p>
      <w:pPr>
        <w:spacing w:line="560" w:lineRule="exact"/>
        <w:ind w:firstLine="643" w:firstLineChars="200"/>
        <w:jc w:val="left"/>
        <w:outlineLvl w:val="1"/>
        <w:rPr>
          <w:rFonts w:ascii="Times New Roman" w:hAnsi="Times New Roman" w:eastAsia="楷体_GB2312" w:cs="Times New Roman"/>
          <w:b/>
          <w:bCs/>
          <w:color w:val="000000" w:themeColor="text1"/>
          <w:sz w:val="32"/>
          <w:szCs w:val="40"/>
          <w14:textFill>
            <w14:solidFill>
              <w14:schemeClr w14:val="tx1"/>
            </w14:solidFill>
          </w14:textFill>
        </w:rPr>
      </w:pPr>
      <w:bookmarkStart w:id="25" w:name="_Toc6786"/>
      <w:bookmarkStart w:id="26" w:name="_Toc16776"/>
      <w:bookmarkStart w:id="27" w:name="_Toc8274"/>
      <w:bookmarkStart w:id="28" w:name="_Toc56516273"/>
      <w:r>
        <w:rPr>
          <w:rFonts w:hint="eastAsia" w:ascii="Times New Roman" w:hAnsi="Times New Roman" w:eastAsia="楷体_GB2312" w:cs="Times New Roman"/>
          <w:b/>
          <w:bCs/>
          <w:color w:val="000000" w:themeColor="text1"/>
          <w:sz w:val="32"/>
          <w:szCs w:val="40"/>
          <w14:textFill>
            <w14:solidFill>
              <w14:schemeClr w14:val="tx1"/>
            </w14:solidFill>
          </w14:textFill>
        </w:rPr>
        <w:t>（一）指导思想</w:t>
      </w:r>
      <w:bookmarkEnd w:id="25"/>
      <w:bookmarkEnd w:id="26"/>
      <w:bookmarkEnd w:id="27"/>
      <w:bookmarkEnd w:id="28"/>
    </w:p>
    <w:p>
      <w:pPr>
        <w:spacing w:line="560" w:lineRule="exact"/>
        <w:ind w:firstLine="640" w:firstLineChars="200"/>
        <w:rPr>
          <w:rFonts w:ascii="Times New Roman" w:hAnsi="Times New Roman" w:eastAsia="仿宋_GB2312" w:cs="Times New Roman"/>
          <w:color w:val="000000" w:themeColor="text1"/>
          <w:sz w:val="32"/>
          <w:szCs w:val="40"/>
          <w14:textFill>
            <w14:solidFill>
              <w14:schemeClr w14:val="tx1"/>
            </w14:solidFill>
          </w14:textFill>
        </w:rPr>
      </w:pPr>
      <w:r>
        <w:rPr>
          <w:rFonts w:hint="eastAsia" w:ascii="Times New Roman" w:hAnsi="Times New Roman" w:eastAsia="仿宋_GB2312" w:cs="Times New Roman"/>
          <w:color w:val="000000" w:themeColor="text1"/>
          <w:sz w:val="32"/>
          <w:szCs w:val="40"/>
          <w14:textFill>
            <w14:solidFill>
              <w14:schemeClr w14:val="tx1"/>
            </w14:solidFill>
          </w14:textFill>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念、基本路线、基本方略，深入贯彻习近平总书记重要讲话和重要指示批示精神，落实</w:t>
      </w:r>
      <w:r>
        <w:rPr>
          <w:rFonts w:hint="eastAsia" w:ascii="Times New Roman" w:hAnsi="Times New Roman" w:eastAsia="仿宋_GB2312" w:cs="Times New Roman"/>
          <w:color w:val="000000" w:themeColor="text1"/>
          <w:sz w:val="32"/>
          <w:szCs w:val="40"/>
          <w:lang w:eastAsia="zh-CN"/>
          <w14:textFill>
            <w14:solidFill>
              <w14:schemeClr w14:val="tx1"/>
            </w14:solidFill>
          </w14:textFill>
        </w:rPr>
        <w:t>党</w:t>
      </w:r>
      <w:bookmarkStart w:id="89" w:name="_GoBack"/>
      <w:bookmarkEnd w:id="89"/>
      <w:r>
        <w:rPr>
          <w:rFonts w:hint="eastAsia" w:ascii="Times New Roman" w:hAnsi="Times New Roman" w:eastAsia="仿宋_GB2312" w:cs="Times New Roman"/>
          <w:color w:val="000000" w:themeColor="text1"/>
          <w:sz w:val="32"/>
          <w:szCs w:val="40"/>
          <w:lang w:eastAsia="zh-CN"/>
          <w14:textFill>
            <w14:solidFill>
              <w14:schemeClr w14:val="tx1"/>
            </w14:solidFill>
          </w14:textFill>
        </w:rPr>
        <w:t>中央决策部署</w:t>
      </w:r>
      <w:r>
        <w:rPr>
          <w:rFonts w:hint="eastAsia" w:ascii="Times New Roman" w:hAnsi="Times New Roman" w:eastAsia="仿宋_GB2312" w:cs="Times New Roman"/>
          <w:color w:val="000000" w:themeColor="text1"/>
          <w:sz w:val="32"/>
          <w:szCs w:val="40"/>
          <w14:textFill>
            <w14:solidFill>
              <w14:schemeClr w14:val="tx1"/>
            </w14:solidFill>
          </w14:textFill>
        </w:rPr>
        <w:t>和省、市工作安排，统筹推进经济建设、政治建设、文化建设、社会建设、生态文明建设的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以“双区建设、双城联动”为战略引领，以国家级增城开发区和国家城乡融合发展试验区“两区带动”为抓手，围绕构建国内国际双循环相互促进的新发展格局，加快建设现代化经济体系、科技创新强区、现代服务业强区、人才强区，积极推动增城生产性服务业向专业化和价值链高端延伸，生活性服务业向精细化和高品质升级，促进现代服务业向高端化、品牌化、国际化方向发展，加快构建以服务经济为主的经济结构，增强现代服务业产业集群效应，提升服务业综合能级，为增城打造“宜业宜居宜养宜游”优质生活圈，持续构建现代化中等规模生态城区发展作出更大贡献。</w:t>
      </w:r>
    </w:p>
    <w:p>
      <w:pPr>
        <w:spacing w:line="560" w:lineRule="exact"/>
        <w:ind w:firstLine="643" w:firstLineChars="200"/>
        <w:jc w:val="left"/>
        <w:outlineLvl w:val="1"/>
        <w:rPr>
          <w:rFonts w:ascii="Times New Roman" w:hAnsi="Times New Roman" w:eastAsia="楷体_GB2312" w:cs="Times New Roman"/>
          <w:b/>
          <w:bCs/>
          <w:color w:val="000000" w:themeColor="text1"/>
          <w:sz w:val="32"/>
          <w:szCs w:val="40"/>
          <w14:textFill>
            <w14:solidFill>
              <w14:schemeClr w14:val="tx1"/>
            </w14:solidFill>
          </w14:textFill>
        </w:rPr>
      </w:pPr>
      <w:bookmarkStart w:id="29" w:name="_Toc286"/>
      <w:bookmarkStart w:id="30" w:name="_Toc6349"/>
      <w:bookmarkStart w:id="31" w:name="_Toc28480"/>
      <w:r>
        <w:rPr>
          <w:rFonts w:hint="eastAsia" w:ascii="Times New Roman" w:hAnsi="Times New Roman" w:eastAsia="楷体_GB2312" w:cs="Times New Roman"/>
          <w:b/>
          <w:bCs/>
          <w:color w:val="000000" w:themeColor="text1"/>
          <w:sz w:val="32"/>
          <w:szCs w:val="40"/>
          <w14:textFill>
            <w14:solidFill>
              <w14:schemeClr w14:val="tx1"/>
            </w14:solidFill>
          </w14:textFill>
        </w:rPr>
        <w:t>（二）基本原则</w:t>
      </w:r>
      <w:bookmarkEnd w:id="29"/>
      <w:bookmarkEnd w:id="30"/>
      <w:bookmarkEnd w:id="31"/>
    </w:p>
    <w:p>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坚持市场主导，政府引导。</w:t>
      </w:r>
      <w:r>
        <w:rPr>
          <w:rFonts w:hint="eastAsia" w:ascii="Times New Roman" w:hAnsi="Times New Roman" w:eastAsia="仿宋_GB2312" w:cs="仿宋_GB2312"/>
          <w:color w:val="000000" w:themeColor="text1"/>
          <w:sz w:val="32"/>
          <w:szCs w:val="32"/>
          <w14:textFill>
            <w14:solidFill>
              <w14:schemeClr w14:val="tx1"/>
            </w14:solidFill>
          </w14:textFill>
        </w:rPr>
        <w:t>充分发挥市场配置资源的决定性作用，更好地发挥政府的调控作用，营造公平竞争的市场环境，激发企业内生动力和创新活力，引导服务业发展要素流向需求旺盛的行业领域，确保满足经济和社会发展的需要。</w:t>
      </w:r>
    </w:p>
    <w:p>
      <w:pPr>
        <w:pStyle w:val="4"/>
        <w:numPr>
          <w:ilvl w:val="255"/>
          <w:numId w:val="0"/>
        </w:num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坚持服务生产，促进消费。</w:t>
      </w:r>
      <w:r>
        <w:rPr>
          <w:rFonts w:hint="eastAsia" w:ascii="Times New Roman" w:hAnsi="Times New Roman" w:eastAsia="仿宋_GB2312" w:cs="仿宋_GB2312"/>
          <w:color w:val="000000" w:themeColor="text1"/>
          <w:sz w:val="32"/>
          <w:szCs w:val="32"/>
          <w14:textFill>
            <w14:solidFill>
              <w14:schemeClr w14:val="tx1"/>
            </w14:solidFill>
          </w14:textFill>
        </w:rPr>
        <w:t>顺应先进制造业与现代服务业加速融合的发展趋势，抢抓生产性服务业发展机遇，树立“全产业链”发展理念，以延长产业链、提升价值链、完善利益链为关键，加强服务业与汽车产业、高端纺织等产业深度融合，补齐生产性服务业发展短板。加快发展需求潜力大、带动作用强、面向民生的消费类服务业，重点发展商贸、旅游、文化、家庭服务业，满足人民群众多层次需求，促进服务业成为扩大消费需求重要增长点。</w:t>
      </w:r>
    </w:p>
    <w:p>
      <w:pPr>
        <w:pStyle w:val="4"/>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坚持技术创新，模式创新。</w:t>
      </w:r>
      <w:r>
        <w:rPr>
          <w:rFonts w:hint="eastAsia" w:ascii="Times New Roman" w:hAnsi="Times New Roman" w:eastAsia="仿宋_GB2312" w:cs="仿宋_GB2312"/>
          <w:color w:val="000000" w:themeColor="text1"/>
          <w:sz w:val="32"/>
          <w:szCs w:val="32"/>
          <w14:textFill>
            <w14:solidFill>
              <w14:schemeClr w14:val="tx1"/>
            </w14:solidFill>
          </w14:textFill>
        </w:rPr>
        <w:t>运用互联网、大数据、云计算等信息技术推动服务业实现技术创新、管理创新和商业模式创新，聚焦专业服务、金融、物流等服务功能，关注服务业新业态与新型生产模式的发展，推动生产性服务业与生活性服务向精细化、品质化和国际化发展，提升增城现代服务业综合竞争力。</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坚持全面发展，重点突破。</w:t>
      </w:r>
      <w:r>
        <w:rPr>
          <w:rFonts w:hint="eastAsia" w:ascii="Times New Roman" w:hAnsi="Times New Roman" w:eastAsia="仿宋_GB2312" w:cs="仿宋_GB2312"/>
          <w:color w:val="000000" w:themeColor="text1"/>
          <w:sz w:val="32"/>
          <w:szCs w:val="32"/>
          <w14:textFill>
            <w14:solidFill>
              <w14:schemeClr w14:val="tx1"/>
            </w14:solidFill>
          </w14:textFill>
        </w:rPr>
        <w:t>结合增城现有现代服务业特色优势，聚焦重点领域和关键环节，选择基础条件好、增长潜力大、带动作用强的商贸服务、现代物流等产业实施重点突破，补齐产业短板，形成优势行业和领域，围绕重点平台建设现代服务业集聚区，</w:t>
      </w:r>
      <w:r>
        <w:rPr>
          <w:rFonts w:hint="eastAsia" w:ascii="Times New Roman" w:hAnsi="Times New Roman" w:eastAsia="仿宋_GB2312"/>
          <w:color w:val="000000" w:themeColor="text1"/>
          <w:sz w:val="32"/>
          <w:szCs w:val="32"/>
          <w14:textFill>
            <w14:solidFill>
              <w14:schemeClr w14:val="tx1"/>
            </w14:solidFill>
          </w14:textFill>
        </w:rPr>
        <w:t>坚持突出特色、以点带面，</w:t>
      </w:r>
      <w:r>
        <w:rPr>
          <w:rFonts w:hint="eastAsia" w:ascii="Times New Roman" w:hAnsi="Times New Roman" w:eastAsia="仿宋_GB2312" w:cs="仿宋_GB2312"/>
          <w:color w:val="000000" w:themeColor="text1"/>
          <w:sz w:val="32"/>
          <w:szCs w:val="32"/>
          <w14:textFill>
            <w14:solidFill>
              <w14:schemeClr w14:val="tx1"/>
            </w14:solidFill>
          </w14:textFill>
        </w:rPr>
        <w:t>增强集聚辐射和示范带动效应，实现现代服务业差异化、特色化、个性化发展，同时站在区域长远发展的角度，</w:t>
      </w:r>
      <w:r>
        <w:rPr>
          <w:rFonts w:hint="eastAsia" w:ascii="Times New Roman" w:hAnsi="Times New Roman" w:eastAsia="仿宋_GB2312"/>
          <w:color w:val="000000" w:themeColor="text1"/>
          <w:sz w:val="32"/>
          <w:szCs w:val="32"/>
          <w14:textFill>
            <w14:solidFill>
              <w14:schemeClr w14:val="tx1"/>
            </w14:solidFill>
          </w14:textFill>
        </w:rPr>
        <w:t>对服务业进行整体规划、统筹布局、分步实施，推动现代服务业整体全面发展。</w:t>
      </w:r>
    </w:p>
    <w:p>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坚持开放合作，内部协同。</w:t>
      </w:r>
      <w:r>
        <w:rPr>
          <w:rFonts w:hint="eastAsia" w:ascii="Times New Roman" w:hAnsi="Times New Roman" w:eastAsia="仿宋_GB2312" w:cs="仿宋_GB2312"/>
          <w:color w:val="000000" w:themeColor="text1"/>
          <w:sz w:val="32"/>
          <w:szCs w:val="32"/>
          <w14:textFill>
            <w14:solidFill>
              <w14:schemeClr w14:val="tx1"/>
            </w14:solidFill>
          </w14:textFill>
        </w:rPr>
        <w:t>充分利用国内国外两个市场，推动“走出去”和“引进来”相结合，加强与广州市内邻近及经济实力较强的区域协同合作，主动承接生产服务功能上的转移溢出，同时加强吸引外资在增城投资建设，进一步拓展我区现代服务业发展空间，促进生产性服务业向制造业生产全流程渗透，发挥“服务+制造”组合效应，推进服务业与农业、制造业的深度融合，实现“对内协同、对外开放”的“双循环”发展格局。</w:t>
      </w:r>
    </w:p>
    <w:p>
      <w:pPr>
        <w:spacing w:line="560" w:lineRule="exact"/>
        <w:ind w:firstLine="643" w:firstLineChars="200"/>
        <w:jc w:val="left"/>
        <w:outlineLvl w:val="1"/>
        <w:rPr>
          <w:rFonts w:ascii="Times New Roman" w:hAnsi="Times New Roman" w:eastAsia="楷体_GB2312" w:cs="Times New Roman"/>
          <w:b/>
          <w:bCs/>
          <w:color w:val="000000" w:themeColor="text1"/>
          <w:sz w:val="32"/>
          <w:szCs w:val="40"/>
          <w14:textFill>
            <w14:solidFill>
              <w14:schemeClr w14:val="tx1"/>
            </w14:solidFill>
          </w14:textFill>
        </w:rPr>
      </w:pPr>
      <w:bookmarkStart w:id="32" w:name="_Toc26179"/>
      <w:bookmarkStart w:id="33" w:name="_Toc2656"/>
      <w:bookmarkStart w:id="34" w:name="_Toc23737"/>
      <w:r>
        <w:rPr>
          <w:rFonts w:hint="eastAsia" w:ascii="Times New Roman" w:hAnsi="Times New Roman" w:eastAsia="楷体_GB2312" w:cs="Times New Roman"/>
          <w:b/>
          <w:bCs/>
          <w:color w:val="000000" w:themeColor="text1"/>
          <w:sz w:val="32"/>
          <w:szCs w:val="40"/>
          <w14:textFill>
            <w14:solidFill>
              <w14:schemeClr w14:val="tx1"/>
            </w14:solidFill>
          </w14:textFill>
        </w:rPr>
        <w:t>（三）发展目标</w:t>
      </w:r>
      <w:bookmarkEnd w:id="32"/>
      <w:bookmarkEnd w:id="33"/>
      <w:bookmarkEnd w:id="34"/>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到“十四五”末，增城区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现代</w:t>
      </w:r>
      <w:r>
        <w:rPr>
          <w:rFonts w:hint="eastAsia" w:ascii="Times New Roman" w:hAnsi="Times New Roman" w:eastAsia="仿宋_GB2312" w:cs="仿宋_GB2312"/>
          <w:color w:val="000000" w:themeColor="text1"/>
          <w:sz w:val="32"/>
          <w:szCs w:val="32"/>
          <w14:textFill>
            <w14:solidFill>
              <w14:schemeClr w14:val="tx1"/>
            </w14:solidFill>
          </w14:textFill>
        </w:rPr>
        <w:t>服务业比重持续提高、产业结构不断优化、质量和效益稳步提升，创新驱动发展的局面初步形成，对经济社会发展的贡献进一步增强，老城市新活力</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进一步激发</w:t>
      </w:r>
      <w:r>
        <w:rPr>
          <w:rFonts w:hint="eastAsia" w:ascii="Times New Roman" w:hAnsi="Times New Roman" w:eastAsia="仿宋_GB2312" w:cs="仿宋_GB2312"/>
          <w:color w:val="000000" w:themeColor="text1"/>
          <w:sz w:val="32"/>
          <w:szCs w:val="32"/>
          <w14:textFill>
            <w14:solidFill>
              <w14:schemeClr w14:val="tx1"/>
            </w14:solidFill>
          </w14:textFill>
        </w:rPr>
        <w:t>，综合城市功能显著提升，初步建成具有区域影响力的现代服务业产业集群。</w:t>
      </w:r>
    </w:p>
    <w:p>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总量规模持续扩大。</w:t>
      </w:r>
      <w:r>
        <w:rPr>
          <w:rFonts w:hint="eastAsia" w:ascii="Times New Roman" w:hAnsi="Times New Roman" w:eastAsia="仿宋_GB2312" w:cs="仿宋_GB2312"/>
          <w:color w:val="000000" w:themeColor="text1"/>
          <w:sz w:val="32"/>
          <w:szCs w:val="32"/>
          <w14:textFill>
            <w14:solidFill>
              <w14:schemeClr w14:val="tx1"/>
            </w14:solidFill>
          </w14:textFill>
        </w:rPr>
        <w:t>到2</w:t>
      </w:r>
      <w:r>
        <w:rPr>
          <w:rFonts w:ascii="Times New Roman" w:hAnsi="Times New Roman" w:eastAsia="仿宋_GB2312" w:cs="仿宋_GB2312"/>
          <w:color w:val="000000" w:themeColor="text1"/>
          <w:sz w:val="32"/>
          <w:szCs w:val="32"/>
          <w14:textFill>
            <w14:solidFill>
              <w14:schemeClr w14:val="tx1"/>
            </w14:solidFill>
          </w14:textFill>
        </w:rPr>
        <w:t>025</w:t>
      </w:r>
      <w:r>
        <w:rPr>
          <w:rFonts w:hint="eastAsia" w:ascii="Times New Roman" w:hAnsi="Times New Roman" w:eastAsia="仿宋_GB2312" w:cs="仿宋_GB2312"/>
          <w:color w:val="000000" w:themeColor="text1"/>
          <w:sz w:val="32"/>
          <w:szCs w:val="32"/>
          <w14:textFill>
            <w14:solidFill>
              <w14:schemeClr w14:val="tx1"/>
            </w14:solidFill>
          </w14:textFill>
        </w:rPr>
        <w:t>年，我区服务业增加值达到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880</w:t>
      </w:r>
      <w:r>
        <w:rPr>
          <w:rFonts w:hint="eastAsia" w:ascii="Times New Roman" w:hAnsi="Times New Roman" w:eastAsia="仿宋_GB2312" w:cs="仿宋_GB2312"/>
          <w:color w:val="000000" w:themeColor="text1"/>
          <w:sz w:val="32"/>
          <w:szCs w:val="32"/>
          <w14:textFill>
            <w14:solidFill>
              <w14:schemeClr w14:val="tx1"/>
            </w14:solidFill>
          </w14:textFill>
        </w:rPr>
        <w:t>亿元，服务业增加值占地区生产总值比重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稳定在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58</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左右</w:t>
      </w:r>
      <w:r>
        <w:rPr>
          <w:rFonts w:hint="eastAsia" w:ascii="Times New Roman" w:hAnsi="Times New Roman" w:eastAsia="仿宋_GB2312" w:cs="仿宋_GB2312"/>
          <w:color w:val="000000" w:themeColor="text1"/>
          <w:sz w:val="32"/>
          <w:szCs w:val="32"/>
          <w14:textFill>
            <w14:solidFill>
              <w14:schemeClr w14:val="tx1"/>
            </w14:solidFill>
          </w14:textFill>
        </w:rPr>
        <w:t>，服务业固定资产投资额</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超过</w:t>
      </w:r>
      <w:r>
        <w:rPr>
          <w:rFonts w:ascii="Times New Roman" w:hAnsi="Times New Roman" w:eastAsia="仿宋_GB2312" w:cs="仿宋_GB2312"/>
          <w:color w:val="000000" w:themeColor="text1"/>
          <w:sz w:val="32"/>
          <w:szCs w:val="32"/>
          <w14:textFill>
            <w14:solidFill>
              <w14:schemeClr w14:val="tx1"/>
            </w14:solidFill>
          </w14:textFill>
        </w:rPr>
        <w:t>1</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200</w:t>
      </w:r>
      <w:r>
        <w:rPr>
          <w:rFonts w:hint="eastAsia" w:ascii="Times New Roman" w:hAnsi="Times New Roman" w:eastAsia="仿宋_GB2312" w:cs="仿宋_GB2312"/>
          <w:color w:val="000000" w:themeColor="text1"/>
          <w:sz w:val="32"/>
          <w:szCs w:val="32"/>
          <w14:textFill>
            <w14:solidFill>
              <w14:schemeClr w14:val="tx1"/>
            </w14:solidFill>
          </w14:textFill>
        </w:rPr>
        <w:t>亿元。</w:t>
      </w:r>
    </w:p>
    <w:p>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市场主体加快发展。</w:t>
      </w:r>
      <w:r>
        <w:rPr>
          <w:rFonts w:hint="eastAsia" w:ascii="Times New Roman" w:hAnsi="Times New Roman" w:eastAsia="仿宋_GB2312" w:cs="仿宋_GB2312"/>
          <w:color w:val="000000" w:themeColor="text1"/>
          <w:sz w:val="32"/>
          <w:szCs w:val="32"/>
          <w14:textFill>
            <w14:solidFill>
              <w14:schemeClr w14:val="tx1"/>
            </w14:solidFill>
          </w14:textFill>
        </w:rPr>
        <w:t>到2</w:t>
      </w:r>
      <w:r>
        <w:rPr>
          <w:rFonts w:ascii="Times New Roman" w:hAnsi="Times New Roman" w:eastAsia="仿宋_GB2312" w:cs="仿宋_GB2312"/>
          <w:color w:val="000000" w:themeColor="text1"/>
          <w:sz w:val="32"/>
          <w:szCs w:val="32"/>
          <w14:textFill>
            <w14:solidFill>
              <w14:schemeClr w14:val="tx1"/>
            </w14:solidFill>
          </w14:textFill>
        </w:rPr>
        <w:t>025</w:t>
      </w:r>
      <w:r>
        <w:rPr>
          <w:rFonts w:hint="eastAsia" w:ascii="Times New Roman" w:hAnsi="Times New Roman" w:eastAsia="仿宋_GB2312" w:cs="仿宋_GB2312"/>
          <w:color w:val="000000" w:themeColor="text1"/>
          <w:sz w:val="32"/>
          <w:szCs w:val="32"/>
          <w14:textFill>
            <w14:solidFill>
              <w14:schemeClr w14:val="tx1"/>
            </w14:solidFill>
          </w14:textFill>
        </w:rPr>
        <w:t>年，我区服务业规模以上企业数量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超过</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350</w:t>
      </w:r>
      <w:r>
        <w:rPr>
          <w:rFonts w:hint="eastAsia" w:ascii="Times New Roman" w:hAnsi="Times New Roman" w:eastAsia="仿宋_GB2312" w:cs="仿宋_GB2312"/>
          <w:color w:val="000000" w:themeColor="text1"/>
          <w:sz w:val="32"/>
          <w:szCs w:val="32"/>
          <w14:textFill>
            <w14:solidFill>
              <w14:schemeClr w14:val="tx1"/>
            </w14:solidFill>
          </w14:textFill>
        </w:rPr>
        <w:t>家，营收达</w:t>
      </w:r>
      <w:r>
        <w:rPr>
          <w:rFonts w:ascii="Times New Roman" w:hAnsi="Times New Roman" w:eastAsia="仿宋_GB2312" w:cs="仿宋_GB2312"/>
          <w:color w:val="000000" w:themeColor="text1"/>
          <w:sz w:val="32"/>
          <w:szCs w:val="32"/>
          <w14:textFill>
            <w14:solidFill>
              <w14:schemeClr w14:val="tx1"/>
            </w14:solidFill>
          </w14:textFill>
        </w:rPr>
        <w:t xml:space="preserve"> 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00</w:t>
      </w:r>
      <w:r>
        <w:rPr>
          <w:rFonts w:hint="eastAsia" w:ascii="Times New Roman" w:hAnsi="Times New Roman" w:eastAsia="仿宋_GB2312" w:cs="仿宋_GB2312"/>
          <w:color w:val="000000" w:themeColor="text1"/>
          <w:sz w:val="32"/>
          <w:szCs w:val="32"/>
          <w14:textFill>
            <w14:solidFill>
              <w14:schemeClr w14:val="tx1"/>
            </w14:solidFill>
          </w14:textFill>
        </w:rPr>
        <w:t>亿元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以上</w:t>
      </w:r>
      <w:r>
        <w:rPr>
          <w:rFonts w:hint="eastAsia" w:ascii="Times New Roman" w:hAnsi="Times New Roman" w:eastAsia="仿宋_GB2312" w:cs="仿宋_GB2312"/>
          <w:color w:val="000000" w:themeColor="text1"/>
          <w:sz w:val="32"/>
          <w:szCs w:val="32"/>
          <w14:textFill>
            <w14:solidFill>
              <w14:schemeClr w14:val="tx1"/>
            </w14:solidFill>
          </w14:textFill>
        </w:rPr>
        <w:t>，培育至少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家营收达10亿元以上的服务业企业，规模以上其他</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营</w:t>
      </w:r>
      <w:r>
        <w:rPr>
          <w:rFonts w:hint="eastAsia" w:ascii="Times New Roman" w:hAnsi="Times New Roman" w:eastAsia="仿宋_GB2312" w:cs="仿宋_GB2312"/>
          <w:color w:val="000000" w:themeColor="text1"/>
          <w:sz w:val="32"/>
          <w:szCs w:val="32"/>
          <w14:textFill>
            <w14:solidFill>
              <w14:schemeClr w14:val="tx1"/>
            </w14:solidFill>
          </w14:textFill>
        </w:rPr>
        <w:t>利性服务业营收突破百亿元。</w:t>
      </w:r>
    </w:p>
    <w:p>
      <w:pPr>
        <w:spacing w:line="560" w:lineRule="exact"/>
        <w:ind w:firstLine="643"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产业结构优化提升。</w:t>
      </w:r>
      <w:r>
        <w:rPr>
          <w:rFonts w:hint="eastAsia" w:ascii="Times New Roman" w:hAnsi="Times New Roman" w:eastAsia="仿宋_GB2312" w:cs="仿宋_GB2312"/>
          <w:color w:val="000000" w:themeColor="text1"/>
          <w:sz w:val="32"/>
          <w:szCs w:val="32"/>
          <w14:textFill>
            <w14:solidFill>
              <w14:schemeClr w14:val="tx1"/>
            </w14:solidFill>
          </w14:textFill>
        </w:rPr>
        <w:t>到2025年，我区推动一批高端新兴服务细分产业加快发展，高新技术企业突破600家，</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现代物流业</w:t>
      </w:r>
      <w:r>
        <w:rPr>
          <w:rFonts w:hint="eastAsia" w:ascii="Times New Roman" w:hAnsi="Times New Roman" w:eastAsia="仿宋_GB2312" w:cs="仿宋_GB2312"/>
          <w:color w:val="000000" w:themeColor="text1"/>
          <w:sz w:val="32"/>
          <w:szCs w:val="32"/>
          <w14:textFill>
            <w14:solidFill>
              <w14:schemeClr w14:val="tx1"/>
            </w14:solidFill>
          </w14:textFill>
        </w:rPr>
        <w:t>规模达</w:t>
      </w:r>
      <w:r>
        <w:rPr>
          <w:rFonts w:ascii="Times New Roman" w:hAnsi="Times New Roman" w:eastAsia="仿宋_GB2312" w:cs="仿宋_GB2312"/>
          <w:color w:val="000000" w:themeColor="text1"/>
          <w:sz w:val="32"/>
          <w:szCs w:val="32"/>
          <w14:textFill>
            <w14:solidFill>
              <w14:schemeClr w14:val="tx1"/>
            </w14:solidFill>
          </w14:textFill>
        </w:rPr>
        <w:t>4</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s="仿宋_GB2312"/>
          <w:color w:val="000000" w:themeColor="text1"/>
          <w:sz w:val="32"/>
          <w:szCs w:val="32"/>
          <w14:textFill>
            <w14:solidFill>
              <w14:schemeClr w14:val="tx1"/>
            </w14:solidFill>
          </w14:textFill>
        </w:rPr>
        <w:t>亿元，旅游业总收入</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达</w:t>
      </w:r>
      <w:r>
        <w:rPr>
          <w:rFonts w:hint="eastAsia" w:ascii="Times New Roman" w:hAnsi="Times New Roman" w:eastAsia="仿宋_GB2312" w:cs="仿宋_GB2312"/>
          <w:color w:val="000000" w:themeColor="text1"/>
          <w:sz w:val="32"/>
          <w:szCs w:val="32"/>
          <w14:textFill>
            <w14:solidFill>
              <w14:schemeClr w14:val="tx1"/>
            </w14:solidFill>
          </w14:textFill>
        </w:rPr>
        <w:t>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w:t>
      </w:r>
      <w:r>
        <w:rPr>
          <w:rFonts w:hint="eastAsia" w:ascii="Times New Roman" w:hAnsi="Times New Roman" w:eastAsia="仿宋_GB2312" w:cs="仿宋_GB2312"/>
          <w:color w:val="000000" w:themeColor="text1"/>
          <w:sz w:val="32"/>
          <w:szCs w:val="32"/>
          <w14:textFill>
            <w14:solidFill>
              <w14:schemeClr w14:val="tx1"/>
            </w14:solidFill>
          </w14:textFill>
        </w:rPr>
        <w:t>亿元。</w:t>
      </w:r>
    </w:p>
    <w:p>
      <w:pPr>
        <w:pStyle w:val="3"/>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表 </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w:instrText>
      </w:r>
      <w:r>
        <w:rPr>
          <w:rFonts w:hint="eastAsia" w:ascii="Times New Roman" w:hAnsi="Times New Roman"/>
          <w:color w:val="000000" w:themeColor="text1"/>
          <w14:textFill>
            <w14:solidFill>
              <w14:schemeClr w14:val="tx1"/>
            </w14:solidFill>
          </w14:textFill>
        </w:rPr>
        <w:instrText xml:space="preserve">SEQ 表 \* ARABIC</w:instrText>
      </w:r>
      <w:r>
        <w:rPr>
          <w:rFonts w:ascii="Times New Roman" w:hAnsi="Times New Roman"/>
          <w:color w:val="000000" w:themeColor="text1"/>
          <w14:textFill>
            <w14:solidFill>
              <w14:schemeClr w14:val="tx1"/>
            </w14:solidFill>
          </w14:textFill>
        </w:rPr>
        <w:instrText xml:space="preserve"> </w:instrText>
      </w:r>
      <w:r>
        <w:rPr>
          <w:rFonts w:ascii="Times New Roman" w:hAnsi="Times New Roman"/>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增城区现代服务业“十四五”发展指标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955"/>
        <w:gridCol w:w="1455"/>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17" w:type="dxa"/>
            <w:vAlign w:val="center"/>
          </w:tcPr>
          <w:p>
            <w:pPr>
              <w:jc w:val="center"/>
              <w:rPr>
                <w:rFonts w:ascii="Times New Roman" w:hAnsi="Times New Roman" w:eastAsia="黑体"/>
                <w:color w:val="000000" w:themeColor="text1"/>
                <w:sz w:val="24"/>
                <w:szCs w:val="32"/>
                <w14:textFill>
                  <w14:solidFill>
                    <w14:schemeClr w14:val="tx1"/>
                  </w14:solidFill>
                </w14:textFill>
              </w:rPr>
            </w:pPr>
            <w:r>
              <w:rPr>
                <w:rFonts w:hint="eastAsia" w:ascii="Times New Roman" w:hAnsi="Times New Roman" w:eastAsia="黑体"/>
                <w:color w:val="000000" w:themeColor="text1"/>
                <w:sz w:val="24"/>
                <w:szCs w:val="32"/>
                <w14:textFill>
                  <w14:solidFill>
                    <w14:schemeClr w14:val="tx1"/>
                  </w14:solidFill>
                </w14:textFill>
              </w:rPr>
              <w:t>序号</w:t>
            </w:r>
          </w:p>
        </w:tc>
        <w:tc>
          <w:tcPr>
            <w:tcW w:w="3827" w:type="dxa"/>
            <w:vAlign w:val="center"/>
          </w:tcPr>
          <w:p>
            <w:pPr>
              <w:jc w:val="center"/>
              <w:rPr>
                <w:rFonts w:ascii="Times New Roman" w:hAnsi="Times New Roman" w:eastAsia="黑体"/>
                <w:color w:val="000000" w:themeColor="text1"/>
                <w:sz w:val="24"/>
                <w:szCs w:val="32"/>
                <w14:textFill>
                  <w14:solidFill>
                    <w14:schemeClr w14:val="tx1"/>
                  </w14:solidFill>
                </w14:textFill>
              </w:rPr>
            </w:pPr>
            <w:r>
              <w:rPr>
                <w:rFonts w:hint="eastAsia" w:ascii="Times New Roman" w:hAnsi="Times New Roman" w:eastAsia="黑体"/>
                <w:color w:val="000000" w:themeColor="text1"/>
                <w:sz w:val="24"/>
                <w:szCs w:val="32"/>
                <w14:textFill>
                  <w14:solidFill>
                    <w14:schemeClr w14:val="tx1"/>
                  </w14:solidFill>
                </w14:textFill>
              </w:rPr>
              <w:t>指标名称</w:t>
            </w:r>
          </w:p>
        </w:tc>
        <w:tc>
          <w:tcPr>
            <w:tcW w:w="955" w:type="dxa"/>
            <w:vAlign w:val="center"/>
          </w:tcPr>
          <w:p>
            <w:pPr>
              <w:jc w:val="center"/>
              <w:rPr>
                <w:rFonts w:ascii="Times New Roman" w:hAnsi="Times New Roman" w:eastAsia="黑体"/>
                <w:color w:val="000000" w:themeColor="text1"/>
                <w:sz w:val="24"/>
                <w:szCs w:val="32"/>
                <w14:textFill>
                  <w14:solidFill>
                    <w14:schemeClr w14:val="tx1"/>
                  </w14:solidFill>
                </w14:textFill>
              </w:rPr>
            </w:pPr>
            <w:r>
              <w:rPr>
                <w:rFonts w:hint="eastAsia" w:ascii="Times New Roman" w:hAnsi="Times New Roman" w:eastAsia="黑体"/>
                <w:color w:val="000000" w:themeColor="text1"/>
                <w:sz w:val="24"/>
                <w:szCs w:val="32"/>
                <w14:textFill>
                  <w14:solidFill>
                    <w14:schemeClr w14:val="tx1"/>
                  </w14:solidFill>
                </w14:textFill>
              </w:rPr>
              <w:t>单位</w:t>
            </w:r>
          </w:p>
        </w:tc>
        <w:tc>
          <w:tcPr>
            <w:tcW w:w="1455" w:type="dxa"/>
            <w:vAlign w:val="center"/>
          </w:tcPr>
          <w:p>
            <w:pPr>
              <w:jc w:val="center"/>
              <w:rPr>
                <w:rFonts w:ascii="Times New Roman" w:hAnsi="Times New Roman" w:eastAsia="黑体"/>
                <w:color w:val="000000" w:themeColor="text1"/>
                <w:sz w:val="24"/>
                <w:szCs w:val="32"/>
                <w14:textFill>
                  <w14:solidFill>
                    <w14:schemeClr w14:val="tx1"/>
                  </w14:solidFill>
                </w14:textFill>
              </w:rPr>
            </w:pPr>
            <w:r>
              <w:rPr>
                <w:rFonts w:hint="eastAsia" w:ascii="Times New Roman" w:hAnsi="Times New Roman" w:eastAsia="黑体"/>
                <w:color w:val="000000" w:themeColor="text1"/>
                <w:sz w:val="24"/>
                <w:szCs w:val="32"/>
                <w14:textFill>
                  <w14:solidFill>
                    <w14:schemeClr w14:val="tx1"/>
                  </w14:solidFill>
                </w14:textFill>
              </w:rPr>
              <w:t>2020年基数</w:t>
            </w:r>
          </w:p>
        </w:tc>
        <w:tc>
          <w:tcPr>
            <w:tcW w:w="1468" w:type="dxa"/>
            <w:vAlign w:val="center"/>
          </w:tcPr>
          <w:p>
            <w:pPr>
              <w:jc w:val="center"/>
              <w:rPr>
                <w:rFonts w:ascii="Times New Roman" w:hAnsi="Times New Roman" w:eastAsia="黑体"/>
                <w:color w:val="000000" w:themeColor="text1"/>
                <w:sz w:val="24"/>
                <w:szCs w:val="32"/>
                <w14:textFill>
                  <w14:solidFill>
                    <w14:schemeClr w14:val="tx1"/>
                  </w14:solidFill>
                </w14:textFill>
              </w:rPr>
            </w:pPr>
            <w:r>
              <w:rPr>
                <w:rFonts w:hint="eastAsia" w:ascii="Times New Roman" w:hAnsi="Times New Roman" w:eastAsia="黑体"/>
                <w:color w:val="000000" w:themeColor="text1"/>
                <w:sz w:val="24"/>
                <w:szCs w:val="32"/>
                <w14:textFill>
                  <w14:solidFill>
                    <w14:schemeClr w14:val="tx1"/>
                  </w14:solidFill>
                </w14:textFill>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1</w:t>
            </w:r>
          </w:p>
        </w:tc>
        <w:tc>
          <w:tcPr>
            <w:tcW w:w="382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第三产业增加值</w:t>
            </w:r>
          </w:p>
        </w:tc>
        <w:tc>
          <w:tcPr>
            <w:tcW w:w="9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亿元</w:t>
            </w:r>
          </w:p>
        </w:tc>
        <w:tc>
          <w:tcPr>
            <w:tcW w:w="14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ascii="Times New Roman" w:hAnsi="Times New Roman" w:eastAsia="仿宋_GB2312"/>
                <w:color w:val="000000" w:themeColor="text1"/>
                <w:sz w:val="24"/>
                <w:szCs w:val="32"/>
                <w14:textFill>
                  <w14:solidFill>
                    <w14:schemeClr w14:val="tx1"/>
                  </w14:solidFill>
                </w14:textFill>
              </w:rPr>
              <w:t>586.81</w:t>
            </w:r>
          </w:p>
        </w:tc>
        <w:tc>
          <w:tcPr>
            <w:tcW w:w="1468"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8</w:t>
            </w:r>
            <w:r>
              <w:rPr>
                <w:rFonts w:hint="eastAsia" w:ascii="Times New Roman" w:hAnsi="Times New Roman" w:eastAsia="仿宋_GB2312"/>
                <w:color w:val="000000" w:themeColor="text1"/>
                <w:sz w:val="24"/>
                <w:szCs w:val="32"/>
                <w:lang w:val="en-US" w:eastAsia="zh-CN"/>
                <w14:textFill>
                  <w14:solidFill>
                    <w14:schemeClr w14:val="tx1"/>
                  </w14:solidFill>
                </w14:textFill>
              </w:rPr>
              <w:t>8</w:t>
            </w:r>
            <w:r>
              <w:rPr>
                <w:rFonts w:hint="eastAsia" w:ascii="Times New Roman" w:hAnsi="Times New Roman" w:eastAsia="仿宋_GB2312"/>
                <w:color w:val="000000" w:themeColor="text1"/>
                <w:sz w:val="24"/>
                <w:szCs w:val="32"/>
                <w14:textFill>
                  <w14:solidFill>
                    <w14:schemeClr w14:val="tx1"/>
                  </w14:solidFill>
                </w14:textFill>
              </w:rPr>
              <w:t>0</w:t>
            </w:r>
            <w:r>
              <w:rPr>
                <w:rFonts w:ascii="Times New Roman" w:hAnsi="Times New Roman" w:eastAsia="仿宋_GB2312"/>
                <w:color w:val="000000" w:themeColor="text1"/>
                <w:sz w:val="24"/>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2</w:t>
            </w:r>
          </w:p>
        </w:tc>
        <w:tc>
          <w:tcPr>
            <w:tcW w:w="382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第三产业增加值占地区生产总值</w:t>
            </w:r>
          </w:p>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比重</w:t>
            </w:r>
          </w:p>
        </w:tc>
        <w:tc>
          <w:tcPr>
            <w:tcW w:w="9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w:t>
            </w:r>
          </w:p>
        </w:tc>
        <w:tc>
          <w:tcPr>
            <w:tcW w:w="14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ascii="Times New Roman" w:hAnsi="Times New Roman" w:eastAsia="仿宋_GB2312"/>
                <w:color w:val="000000" w:themeColor="text1"/>
                <w:sz w:val="24"/>
                <w:szCs w:val="32"/>
                <w14:textFill>
                  <w14:solidFill>
                    <w14:schemeClr w14:val="tx1"/>
                  </w14:solidFill>
                </w14:textFill>
              </w:rPr>
              <w:t>55.22</w:t>
            </w:r>
          </w:p>
        </w:tc>
        <w:tc>
          <w:tcPr>
            <w:tcW w:w="1468"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lang w:val="en-US" w:eastAsia="zh-CN"/>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3</w:t>
            </w:r>
          </w:p>
        </w:tc>
        <w:tc>
          <w:tcPr>
            <w:tcW w:w="382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第三产业固定资产投资额</w:t>
            </w:r>
          </w:p>
        </w:tc>
        <w:tc>
          <w:tcPr>
            <w:tcW w:w="9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亿元</w:t>
            </w:r>
          </w:p>
        </w:tc>
        <w:tc>
          <w:tcPr>
            <w:tcW w:w="14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ascii="Times New Roman" w:hAnsi="Times New Roman" w:eastAsia="仿宋_GB2312"/>
                <w:color w:val="000000" w:themeColor="text1"/>
                <w:sz w:val="24"/>
                <w:szCs w:val="32"/>
                <w14:textFill>
                  <w14:solidFill>
                    <w14:schemeClr w14:val="tx1"/>
                  </w14:solidFill>
                </w14:textFill>
              </w:rPr>
              <w:t>926.71</w:t>
            </w:r>
          </w:p>
        </w:tc>
        <w:tc>
          <w:tcPr>
            <w:tcW w:w="1468"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1</w:t>
            </w:r>
            <w:r>
              <w:rPr>
                <w:rFonts w:hint="eastAsia" w:ascii="Times New Roman" w:hAnsi="Times New Roman" w:eastAsia="仿宋_GB2312"/>
                <w:color w:val="000000" w:themeColor="text1"/>
                <w:sz w:val="24"/>
                <w:szCs w:val="32"/>
                <w:lang w:val="en-US" w:eastAsia="zh-CN"/>
                <w14:textFill>
                  <w14:solidFill>
                    <w14:schemeClr w14:val="tx1"/>
                  </w14:solidFill>
                </w14:textFill>
              </w:rPr>
              <w:t>2</w:t>
            </w:r>
            <w:r>
              <w:rPr>
                <w:rFonts w:hint="eastAsia" w:ascii="Times New Roman" w:hAnsi="Times New Roman" w:eastAsia="仿宋_GB2312"/>
                <w:color w:val="000000" w:themeColor="text1"/>
                <w:sz w:val="24"/>
                <w:szCs w:val="32"/>
                <w14:textFill>
                  <w14:solidFill>
                    <w14:schemeClr w14:val="tx1"/>
                  </w14:solidFill>
                </w14:textFill>
              </w:rPr>
              <w:t>00</w:t>
            </w:r>
            <w:r>
              <w:rPr>
                <w:rFonts w:ascii="Times New Roman" w:hAnsi="Times New Roman" w:eastAsia="仿宋_GB2312"/>
                <w:color w:val="000000" w:themeColor="text1"/>
                <w:sz w:val="24"/>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4</w:t>
            </w:r>
          </w:p>
        </w:tc>
        <w:tc>
          <w:tcPr>
            <w:tcW w:w="382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规上服务业企业数量</w:t>
            </w:r>
          </w:p>
        </w:tc>
        <w:tc>
          <w:tcPr>
            <w:tcW w:w="9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家</w:t>
            </w:r>
          </w:p>
        </w:tc>
        <w:tc>
          <w:tcPr>
            <w:tcW w:w="14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213</w:t>
            </w:r>
          </w:p>
        </w:tc>
        <w:tc>
          <w:tcPr>
            <w:tcW w:w="1468"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lang w:val="en-US" w:eastAsia="zh-CN"/>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5</w:t>
            </w:r>
          </w:p>
        </w:tc>
        <w:tc>
          <w:tcPr>
            <w:tcW w:w="382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规上服务业营业收入</w:t>
            </w:r>
          </w:p>
        </w:tc>
        <w:tc>
          <w:tcPr>
            <w:tcW w:w="9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亿元</w:t>
            </w:r>
          </w:p>
        </w:tc>
        <w:tc>
          <w:tcPr>
            <w:tcW w:w="14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101.69</w:t>
            </w:r>
          </w:p>
        </w:tc>
        <w:tc>
          <w:tcPr>
            <w:tcW w:w="1468"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lang w:val="en-US" w:eastAsia="zh-CN"/>
                <w14:textFill>
                  <w14:solidFill>
                    <w14:schemeClr w14:val="tx1"/>
                  </w14:solidFill>
                </w14:textFill>
              </w:rPr>
              <w:t>200</w:t>
            </w:r>
            <w:r>
              <w:rPr>
                <w:rFonts w:ascii="Times New Roman" w:hAnsi="Times New Roman" w:eastAsia="仿宋_GB2312"/>
                <w:color w:val="000000" w:themeColor="text1"/>
                <w:sz w:val="24"/>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6</w:t>
            </w:r>
          </w:p>
        </w:tc>
        <w:tc>
          <w:tcPr>
            <w:tcW w:w="3827"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规上其他</w:t>
            </w:r>
            <w:r>
              <w:rPr>
                <w:rFonts w:hint="eastAsia" w:ascii="Times New Roman" w:hAnsi="Times New Roman" w:eastAsia="仿宋_GB2312"/>
                <w:color w:val="000000" w:themeColor="text1"/>
                <w:sz w:val="24"/>
                <w:szCs w:val="32"/>
                <w:lang w:eastAsia="zh-CN"/>
                <w14:textFill>
                  <w14:solidFill>
                    <w14:schemeClr w14:val="tx1"/>
                  </w14:solidFill>
                </w14:textFill>
              </w:rPr>
              <w:t>营</w:t>
            </w:r>
            <w:r>
              <w:rPr>
                <w:rFonts w:hint="eastAsia" w:ascii="Times New Roman" w:hAnsi="Times New Roman" w:eastAsia="仿宋_GB2312"/>
                <w:color w:val="000000" w:themeColor="text1"/>
                <w:sz w:val="24"/>
                <w:szCs w:val="32"/>
                <w14:textFill>
                  <w14:solidFill>
                    <w14:schemeClr w14:val="tx1"/>
                  </w14:solidFill>
                </w14:textFill>
              </w:rPr>
              <w:t>利性服务业营业收入</w:t>
            </w:r>
          </w:p>
        </w:tc>
        <w:tc>
          <w:tcPr>
            <w:tcW w:w="9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亿元</w:t>
            </w:r>
          </w:p>
        </w:tc>
        <w:tc>
          <w:tcPr>
            <w:tcW w:w="1455"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50.5</w:t>
            </w:r>
          </w:p>
        </w:tc>
        <w:tc>
          <w:tcPr>
            <w:tcW w:w="1468" w:type="dxa"/>
            <w:vAlign w:val="center"/>
          </w:tcPr>
          <w:p>
            <w:pPr>
              <w:jc w:val="center"/>
              <w:rPr>
                <w:rFonts w:ascii="Times New Roman" w:hAnsi="Times New Roman" w:eastAsia="仿宋_GB2312"/>
                <w:color w:val="000000" w:themeColor="text1"/>
                <w:sz w:val="24"/>
                <w:szCs w:val="32"/>
                <w14:textFill>
                  <w14:solidFill>
                    <w14:schemeClr w14:val="tx1"/>
                  </w14:solidFill>
                </w14:textFill>
              </w:rPr>
            </w:pPr>
            <w:r>
              <w:rPr>
                <w:rFonts w:hint="eastAsia" w:ascii="Times New Roman" w:hAnsi="Times New Roman" w:eastAsia="仿宋_GB2312"/>
                <w:color w:val="000000" w:themeColor="text1"/>
                <w:sz w:val="24"/>
                <w:szCs w:val="32"/>
                <w14:textFill>
                  <w14:solidFill>
                    <w14:schemeClr w14:val="tx1"/>
                  </w14:solidFill>
                </w14:textFill>
              </w:rPr>
              <w:t>100</w:t>
            </w:r>
          </w:p>
        </w:tc>
      </w:tr>
    </w:tbl>
    <w:p>
      <w:pPr>
        <w:numPr>
          <w:ilvl w:val="-1"/>
          <w:numId w:val="0"/>
        </w:numPr>
        <w:spacing w:line="240" w:lineRule="auto"/>
        <w:ind w:firstLine="0" w:firstLineChars="0"/>
        <w:outlineLvl w:val="9"/>
        <w:rPr>
          <w:rFonts w:hint="default" w:ascii="黑体" w:hAnsi="黑体" w:eastAsia="黑体" w:cs="黑体"/>
          <w:color w:val="000000" w:themeColor="text1"/>
          <w:sz w:val="21"/>
          <w:szCs w:val="21"/>
          <w:lang w:val="en-US" w:eastAsia="zh-CN"/>
          <w14:textFill>
            <w14:solidFill>
              <w14:schemeClr w14:val="tx1"/>
            </w14:solidFill>
          </w14:textFill>
        </w:rPr>
      </w:pPr>
      <w:bookmarkStart w:id="35" w:name="_Toc7944"/>
      <w:bookmarkStart w:id="36" w:name="_Toc7564"/>
      <w:bookmarkStart w:id="37" w:name="_Toc10471"/>
      <w:r>
        <w:rPr>
          <w:rFonts w:hint="eastAsia" w:ascii="黑体" w:hAnsi="黑体" w:eastAsia="黑体" w:cs="黑体"/>
          <w:color w:val="000000" w:themeColor="text1"/>
          <w:sz w:val="21"/>
          <w:szCs w:val="21"/>
          <w:lang w:val="en-US" w:eastAsia="zh-CN"/>
          <w14:textFill>
            <w14:solidFill>
              <w14:schemeClr w14:val="tx1"/>
            </w14:solidFill>
          </w14:textFill>
        </w:rPr>
        <w:t>数据来源：2020年基数相关数据源于增城区统计局快报数据</w:t>
      </w:r>
    </w:p>
    <w:p>
      <w:pPr>
        <w:numPr>
          <w:ilvl w:val="-1"/>
          <w:numId w:val="0"/>
        </w:numPr>
        <w:spacing w:line="560" w:lineRule="exact"/>
        <w:ind w:firstLine="640" w:firstLineChars="200"/>
        <w:outlineLvl w:val="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四、</w:t>
      </w:r>
      <w:r>
        <w:rPr>
          <w:rFonts w:hint="eastAsia" w:ascii="Times New Roman" w:hAnsi="Times New Roman" w:eastAsia="黑体" w:cs="黑体"/>
          <w:color w:val="000000" w:themeColor="text1"/>
          <w:sz w:val="32"/>
          <w:szCs w:val="32"/>
          <w14:textFill>
            <w14:solidFill>
              <w14:schemeClr w14:val="tx1"/>
            </w14:solidFill>
          </w14:textFill>
        </w:rPr>
        <w:t>产业发展重点</w:t>
      </w:r>
      <w:bookmarkEnd w:id="35"/>
    </w:p>
    <w:p>
      <w:pPr>
        <w:numPr>
          <w:ilvl w:val="255"/>
          <w:numId w:val="0"/>
        </w:num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抢抓“双区建设、双城联动”战略机遇，围绕国家级增城经济技术开发区和国家城乡融合发展试验区两大国家级平台建设，构建增城现代服务业“1+5+3”产业体系，全面优化现代服务业产业结构，实现产业提质升级发展。</w:t>
      </w:r>
      <w:r>
        <w:rPr>
          <w:rFonts w:hint="eastAsia" w:ascii="Times New Roman" w:hAnsi="Times New Roman" w:eastAsia="仿宋_GB2312" w:cs="仿宋_GB2312"/>
          <w:b/>
          <w:bCs/>
          <w:color w:val="000000" w:themeColor="text1"/>
          <w:sz w:val="32"/>
          <w:szCs w:val="32"/>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是以商贸流通为重点带动产业，扩大牛仔服装、汽车及新能源汽车等优势产业的贸易流通规模，拓展新零售渠道，完善各类商圈经济发展，提升电子商务服务水平，发展现代物流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提升增城商圈的总部经济效应</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b/>
          <w:bCs/>
          <w:color w:val="000000" w:themeColor="text1"/>
          <w:sz w:val="32"/>
          <w:szCs w:val="32"/>
          <w14:textFill>
            <w14:solidFill>
              <w14:schemeClr w14:val="tx1"/>
            </w14:solidFill>
          </w14:textFill>
        </w:rPr>
        <w:t>“5”</w:t>
      </w:r>
      <w:r>
        <w:rPr>
          <w:rFonts w:hint="eastAsia" w:ascii="Times New Roman" w:hAnsi="Times New Roman" w:eastAsia="仿宋_GB2312" w:cs="仿宋_GB2312"/>
          <w:color w:val="000000" w:themeColor="text1"/>
          <w:sz w:val="32"/>
          <w:szCs w:val="32"/>
          <w14:textFill>
            <w14:solidFill>
              <w14:schemeClr w14:val="tx1"/>
            </w14:solidFill>
          </w14:textFill>
        </w:rPr>
        <w:t>是聚焦信息服务、科创服务、专业服务、金融服务、文化创意五大高端专业服务业，着力挖掘增城服务资源价值，推动区块链、大数据、物联网等信息技术研发和应用，加快科技资源、人才要素向增城流动，提升服务业数字化、网络化、智能化水平。</w:t>
      </w:r>
      <w:r>
        <w:rPr>
          <w:rFonts w:hint="eastAsia" w:ascii="Times New Roman" w:hAnsi="Times New Roman" w:eastAsia="仿宋_GB2312" w:cs="仿宋_GB2312"/>
          <w:b/>
          <w:bCs/>
          <w:color w:val="000000" w:themeColor="text1"/>
          <w:sz w:val="32"/>
          <w:szCs w:val="32"/>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是大力完善旅游服务、健康服务和居民和家庭服务三大生活性服务业，以提升生活性服务质量为核心，顺应消费新趋势，满足居民生产生活多样需求。</w:t>
      </w:r>
    </w:p>
    <w:p>
      <w:pPr>
        <w:numPr>
          <w:ilvl w:val="0"/>
          <w:numId w:val="1"/>
        </w:numPr>
        <w:spacing w:line="560" w:lineRule="exact"/>
        <w:ind w:firstLine="643" w:firstLineChars="200"/>
        <w:outlineLvl w:val="1"/>
        <w:rPr>
          <w:rFonts w:ascii="楷体_GB2312" w:hAnsi="楷体_GB2312" w:eastAsia="楷体_GB2312" w:cs="楷体_GB2312"/>
          <w:b/>
          <w:bCs/>
          <w:color w:val="000000" w:themeColor="text1"/>
          <w:sz w:val="32"/>
          <w:szCs w:val="36"/>
          <w14:textFill>
            <w14:solidFill>
              <w14:schemeClr w14:val="tx1"/>
            </w14:solidFill>
          </w14:textFill>
        </w:rPr>
      </w:pPr>
      <w:bookmarkStart w:id="38" w:name="_Toc25760"/>
      <w:bookmarkStart w:id="39" w:name="_Toc22712"/>
      <w:r>
        <w:rPr>
          <w:rFonts w:hint="eastAsia" w:ascii="楷体_GB2312" w:hAnsi="楷体_GB2312" w:eastAsia="楷体_GB2312" w:cs="楷体_GB2312"/>
          <w:b/>
          <w:bCs/>
          <w:color w:val="000000" w:themeColor="text1"/>
          <w:sz w:val="32"/>
          <w:szCs w:val="32"/>
          <w14:textFill>
            <w14:solidFill>
              <w14:schemeClr w14:val="tx1"/>
            </w14:solidFill>
          </w14:textFill>
        </w:rPr>
        <w:t>重点发展</w:t>
      </w:r>
      <w:bookmarkEnd w:id="36"/>
      <w:bookmarkEnd w:id="37"/>
      <w:bookmarkEnd w:id="38"/>
      <w:bookmarkStart w:id="40" w:name="_Toc12649"/>
      <w:bookmarkStart w:id="41" w:name="_Toc14141"/>
      <w:bookmarkStart w:id="42" w:name="_Toc490234158"/>
      <w:r>
        <w:rPr>
          <w:rFonts w:hint="eastAsia" w:ascii="楷体_GB2312" w:hAnsi="楷体_GB2312" w:eastAsia="楷体_GB2312" w:cs="楷体_GB2312"/>
          <w:b/>
          <w:bCs/>
          <w:color w:val="000000" w:themeColor="text1"/>
          <w:sz w:val="32"/>
          <w:szCs w:val="32"/>
          <w14:textFill>
            <w14:solidFill>
              <w14:schemeClr w14:val="tx1"/>
            </w14:solidFill>
          </w14:textFill>
        </w:rPr>
        <w:t>商贸流通业</w:t>
      </w:r>
      <w:bookmarkEnd w:id="39"/>
      <w:bookmarkEnd w:id="40"/>
      <w:bookmarkEnd w:id="41"/>
    </w:p>
    <w:p>
      <w:pPr>
        <w:numPr>
          <w:ilvl w:val="255"/>
          <w:numId w:val="0"/>
        </w:numPr>
        <w:spacing w:line="560" w:lineRule="exact"/>
        <w:ind w:firstLine="643"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6"/>
          <w14:textFill>
            <w14:solidFill>
              <w14:schemeClr w14:val="tx1"/>
            </w14:solidFill>
          </w14:textFill>
        </w:rPr>
        <w:t>一是强化批发零售业优势。</w:t>
      </w:r>
      <w:r>
        <w:rPr>
          <w:rFonts w:hint="eastAsia" w:ascii="Times New Roman" w:hAnsi="Times New Roman" w:eastAsia="仿宋_GB2312" w:cs="仿宋_GB2312"/>
          <w:color w:val="000000" w:themeColor="text1"/>
          <w:sz w:val="32"/>
          <w:szCs w:val="36"/>
          <w14:textFill>
            <w14:solidFill>
              <w14:schemeClr w14:val="tx1"/>
            </w14:solidFill>
          </w14:textFill>
        </w:rPr>
        <w:t>重点扩大增城牛仔服装、广本汽车及新能源汽车、江铜和雪松供应链等优势产品批发零售规模和大宗商品贸易产业链，持续拓展新零售渠道，大力发展生鲜电商、直播电商等新零售新业态，在引进电商主体、支持MCN机构与直播电商发展、给予场所支持、加强人才培育等多个方面进行全方位政策扶持，促进消品质升级。</w:t>
      </w:r>
    </w:p>
    <w:p>
      <w:pPr>
        <w:spacing w:line="560" w:lineRule="exact"/>
        <w:ind w:firstLine="643"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6"/>
          <w14:textFill>
            <w14:solidFill>
              <w14:schemeClr w14:val="tx1"/>
            </w14:solidFill>
          </w14:textFill>
        </w:rPr>
        <w:t>二是优化完善商圈经济。</w:t>
      </w:r>
      <w:r>
        <w:rPr>
          <w:rFonts w:hint="eastAsia" w:ascii="Times New Roman" w:hAnsi="Times New Roman" w:eastAsia="仿宋_GB2312" w:cs="仿宋_GB2312"/>
          <w:b w:val="0"/>
          <w:bCs w:val="0"/>
          <w:color w:val="000000" w:themeColor="text1"/>
          <w:sz w:val="32"/>
          <w:szCs w:val="36"/>
          <w14:textFill>
            <w14:solidFill>
              <w14:schemeClr w14:val="tx1"/>
            </w14:solidFill>
          </w14:textFill>
        </w:rPr>
        <w:t>优化商贸功能布局，健全市区、街镇、社区三级商业体系，建设主题商业街区、夜间经济集聚区等一批特色商业功能区，构建起布局合理、功能健全、高效便民的商贸流通体系，</w:t>
      </w:r>
      <w:r>
        <w:rPr>
          <w:rFonts w:hint="eastAsia" w:ascii="Times New Roman" w:hAnsi="Times New Roman" w:eastAsia="仿宋_GB2312" w:cs="仿宋_GB2312"/>
          <w:color w:val="000000" w:themeColor="text1"/>
          <w:sz w:val="32"/>
          <w:szCs w:val="36"/>
          <w14:textFill>
            <w14:solidFill>
              <w14:schemeClr w14:val="tx1"/>
            </w14:solidFill>
          </w14:textFill>
        </w:rPr>
        <w:t>重点规划提升荔城-荔湖商圈（增城广场-城市中轴线）和新塘商圈（广州东部交通枢纽-开发区核心区），加快建设两大标志性总部经济集聚区，推动广州东部交通枢纽</w:t>
      </w:r>
      <w:r>
        <w:rPr>
          <w:rFonts w:hint="eastAsia" w:ascii="Times New Roman" w:hAnsi="Times New Roman" w:eastAsia="仿宋_GB2312" w:cs="仿宋_GB2312"/>
          <w:color w:val="000000" w:themeColor="text1"/>
          <w:sz w:val="32"/>
          <w:szCs w:val="36"/>
          <w:lang w:val="en-US" w:eastAsia="zh-CN"/>
          <w14:textFill>
            <w14:solidFill>
              <w14:schemeClr w14:val="tx1"/>
            </w14:solidFill>
          </w14:textFill>
        </w:rPr>
        <w:t>中心</w:t>
      </w:r>
      <w:r>
        <w:rPr>
          <w:rFonts w:hint="eastAsia" w:ascii="Times New Roman" w:hAnsi="Times New Roman" w:eastAsia="仿宋_GB2312" w:cs="仿宋_GB2312"/>
          <w:color w:val="000000" w:themeColor="text1"/>
          <w:sz w:val="32"/>
          <w:szCs w:val="36"/>
          <w14:textFill>
            <w14:solidFill>
              <w14:schemeClr w14:val="tx1"/>
            </w14:solidFill>
          </w14:textFill>
        </w:rPr>
        <w:t>商务区、荔湖新城打造为广州东部高品质城市地标，加速总部企业、高端商业综合体集聚，</w:t>
      </w:r>
      <w:r>
        <w:rPr>
          <w:rFonts w:hint="eastAsia" w:ascii="Times New Roman" w:hAnsi="Times New Roman" w:eastAsia="仿宋_GB2312" w:cs="仿宋_GB2312"/>
          <w:color w:val="000000" w:themeColor="text1"/>
          <w:sz w:val="32"/>
          <w:szCs w:val="36"/>
          <w:lang w:val="en-US" w:eastAsia="zh-CN"/>
          <w14:textFill>
            <w14:solidFill>
              <w14:schemeClr w14:val="tx1"/>
            </w14:solidFill>
          </w14:textFill>
        </w:rPr>
        <w:t>进一步提升增城南部总部经济效应，</w:t>
      </w:r>
      <w:r>
        <w:rPr>
          <w:rFonts w:hint="eastAsia" w:ascii="Times New Roman" w:hAnsi="Times New Roman" w:eastAsia="仿宋_GB2312" w:cs="仿宋_GB2312"/>
          <w:color w:val="000000" w:themeColor="text1"/>
          <w:sz w:val="32"/>
          <w:szCs w:val="36"/>
          <w14:textFill>
            <w14:solidFill>
              <w14:schemeClr w14:val="tx1"/>
            </w14:solidFill>
          </w14:textFill>
        </w:rPr>
        <w:t>高水平打造时尚消费圈。支持万达广场、凯达尔等重点商业综合体引进发展多元服务业态。推动北部地区结合旅游、康养等产业优势完善旅游消费商业体，推动形成区域错位发展的商圈经济。</w:t>
      </w:r>
    </w:p>
    <w:p>
      <w:pPr>
        <w:spacing w:line="560" w:lineRule="exact"/>
        <w:ind w:firstLine="643"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6"/>
          <w14:textFill>
            <w14:solidFill>
              <w14:schemeClr w14:val="tx1"/>
            </w14:solidFill>
          </w14:textFill>
        </w:rPr>
        <w:t>三是推动现代商贸服务发展。</w:t>
      </w:r>
      <w:r>
        <w:rPr>
          <w:rFonts w:hint="eastAsia" w:ascii="Times New Roman" w:hAnsi="Times New Roman" w:eastAsia="仿宋_GB2312" w:cs="仿宋_GB2312"/>
          <w:color w:val="000000" w:themeColor="text1"/>
          <w:sz w:val="32"/>
          <w:szCs w:val="36"/>
          <w14:textFill>
            <w14:solidFill>
              <w14:schemeClr w14:val="tx1"/>
            </w14:solidFill>
          </w14:textFill>
        </w:rPr>
        <w:t>加强传统产业与电子商务等新型产业的融合发展，顺应消费新趋势，以服务高端化、商品高端化为方向，深化互联网与家庭服务、商业、健康、旅游、文化、教育等领域的应用，培育新型服务模式和服务业态，构建现代商贸服务体系</w:t>
      </w:r>
      <w:r>
        <w:rPr>
          <w:rFonts w:ascii="Times New Roman" w:hAnsi="Times New Roman" w:eastAsia="仿宋_GB2312" w:cs="仿宋_GB2312"/>
          <w:color w:val="000000" w:themeColor="text1"/>
          <w:sz w:val="32"/>
          <w:szCs w:val="36"/>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加强品牌节庆活动策划建设，以全区各类购物节、美食街、特色旅游节等为载体，发展节庆消费、时尚消费、文化旅游消费等多元消费模式，优化消费结构推动品质升级。</w:t>
      </w:r>
    </w:p>
    <w:p>
      <w:pPr>
        <w:spacing w:line="560" w:lineRule="exact"/>
        <w:ind w:firstLine="643"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四是加快推进现代物流发展。</w:t>
      </w:r>
      <w:r>
        <w:rPr>
          <w:rFonts w:hint="eastAsia" w:ascii="Times New Roman" w:hAnsi="Times New Roman" w:eastAsia="仿宋_GB2312" w:cs="仿宋_GB2312"/>
          <w:color w:val="000000" w:themeColor="text1"/>
          <w:sz w:val="32"/>
          <w:szCs w:val="32"/>
          <w14:textFill>
            <w14:solidFill>
              <w14:schemeClr w14:val="tx1"/>
            </w14:solidFill>
          </w14:textFill>
        </w:rPr>
        <w:t>推动阿里巴巴华南物联网运营中心项目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、南香谷物流园区等项目</w:t>
      </w:r>
      <w:r>
        <w:rPr>
          <w:rFonts w:hint="eastAsia" w:ascii="Times New Roman" w:hAnsi="Times New Roman" w:eastAsia="仿宋_GB2312" w:cs="仿宋_GB2312"/>
          <w:color w:val="000000" w:themeColor="text1"/>
          <w:sz w:val="32"/>
          <w:szCs w:val="32"/>
          <w14:textFill>
            <w14:solidFill>
              <w14:schemeClr w14:val="tx1"/>
            </w14:solidFill>
          </w14:textFill>
        </w:rPr>
        <w:t>的建设完善，搭建电子商务物流的开放运营平台，实现产业园与企业聚集为一体的现代物流生态圈，推动增城成为广深地区重要的物流枢纽支撑。充分发挥广州东部交通枢纽中心、增城火车站客运枢纽、增城货运站货运枢纽三大枢纽的优势，重点支持第三方物流、电商物流、工业物流、城市配送物流等领域集聚发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重点支持广州东部公铁联运等平台项目发展，加快</w:t>
      </w:r>
      <w:r>
        <w:rPr>
          <w:rFonts w:hint="eastAsia" w:ascii="Times New Roman" w:hAnsi="Times New Roman" w:eastAsia="仿宋_GB2312" w:cs="仿宋_GB2312"/>
          <w:color w:val="000000" w:themeColor="text1"/>
          <w:sz w:val="32"/>
          <w:szCs w:val="32"/>
          <w14:textFill>
            <w14:solidFill>
              <w14:schemeClr w14:val="tx1"/>
            </w14:solidFill>
          </w14:textFill>
        </w:rPr>
        <w:t>建设成为广州市东部现代物流中心。探索发展智慧物流，支持智慧物流企业发展，建设智慧物流工厂、智慧物流园区，加快推动智慧物流装备、技术研发和产业化，推进云计算、物联网、北斗导航和地理信息等现代信息技术在物流体系中的应用，布局建设一批物流公共信息平台，</w:t>
      </w:r>
      <w:r>
        <w:rPr>
          <w:rFonts w:hint="eastAsia" w:ascii="Times New Roman" w:hAnsi="Times New Roman" w:eastAsia="仿宋_GB2312" w:cs="仿宋_GB2312"/>
          <w:color w:val="000000" w:themeColor="text1"/>
          <w:sz w:val="32"/>
          <w:szCs w:val="36"/>
          <w14:textFill>
            <w14:solidFill>
              <w14:schemeClr w14:val="tx1"/>
            </w14:solidFill>
          </w14:textFill>
        </w:rPr>
        <w:t>提升物流信息化、标准化、网络化、智慧化水平，建设高效便捷、通达顺畅、绿色安全的现代物流服务体系。</w:t>
      </w:r>
    </w:p>
    <w:p>
      <w:pPr>
        <w:spacing w:line="560" w:lineRule="exact"/>
        <w:ind w:firstLine="643" w:firstLineChars="200"/>
        <w:outlineLvl w:val="1"/>
        <w:rPr>
          <w:rFonts w:ascii="楷体_GB2312" w:hAnsi="楷体_GB2312" w:eastAsia="楷体_GB2312" w:cs="楷体_GB2312"/>
          <w:b/>
          <w:bCs/>
          <w:color w:val="000000" w:themeColor="text1"/>
          <w:sz w:val="32"/>
          <w:szCs w:val="36"/>
          <w14:textFill>
            <w14:solidFill>
              <w14:schemeClr w14:val="tx1"/>
            </w14:solidFill>
          </w14:textFill>
        </w:rPr>
      </w:pPr>
      <w:bookmarkStart w:id="43" w:name="_Toc27105"/>
      <w:r>
        <w:rPr>
          <w:rFonts w:hint="eastAsia" w:ascii="楷体_GB2312" w:hAnsi="楷体_GB2312" w:eastAsia="楷体_GB2312" w:cs="楷体_GB2312"/>
          <w:b/>
          <w:bCs/>
          <w:color w:val="000000" w:themeColor="text1"/>
          <w:sz w:val="32"/>
          <w:szCs w:val="36"/>
          <w14:textFill>
            <w14:solidFill>
              <w14:schemeClr w14:val="tx1"/>
            </w14:solidFill>
          </w14:textFill>
        </w:rPr>
        <w:t>（二）着力发展高端生产性服务业</w:t>
      </w:r>
      <w:bookmarkEnd w:id="43"/>
    </w:p>
    <w:p>
      <w:pPr>
        <w:spacing w:line="560" w:lineRule="exact"/>
        <w:ind w:firstLine="643" w:firstLineChars="200"/>
        <w:outlineLvl w:val="2"/>
        <w:rPr>
          <w:rFonts w:ascii="Times New Roman" w:hAnsi="Times New Roman" w:eastAsia="仿宋_GB2312" w:cs="仿宋_GB2312"/>
          <w:b/>
          <w:bCs/>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6"/>
          <w14:textFill>
            <w14:solidFill>
              <w14:schemeClr w14:val="tx1"/>
            </w14:solidFill>
          </w14:textFill>
        </w:rPr>
        <w:t>1、信息服务</w:t>
      </w:r>
    </w:p>
    <w:p>
      <w:pPr>
        <w:spacing w:line="560" w:lineRule="exact"/>
        <w:ind w:firstLine="640"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color w:val="000000" w:themeColor="text1"/>
          <w:sz w:val="32"/>
          <w:szCs w:val="36"/>
          <w14:textFill>
            <w14:solidFill>
              <w14:schemeClr w14:val="tx1"/>
            </w14:solidFill>
          </w14:textFill>
        </w:rPr>
        <w:t>加快云计算和大数据基础设施建设，重点推进南香谷云数据中心</w:t>
      </w:r>
      <w:r>
        <w:rPr>
          <w:rFonts w:hint="eastAsia" w:ascii="Times New Roman" w:hAnsi="Times New Roman" w:eastAsia="仿宋_GB2312" w:cs="仿宋_GB2312"/>
          <w:color w:val="000000" w:themeColor="text1"/>
          <w:sz w:val="32"/>
          <w:szCs w:val="36"/>
          <w:lang w:val="en-US" w:eastAsia="zh-CN"/>
          <w14:textFill>
            <w14:solidFill>
              <w14:schemeClr w14:val="tx1"/>
            </w14:solidFill>
          </w14:textFill>
        </w:rPr>
        <w:t>三期</w:t>
      </w:r>
      <w:r>
        <w:rPr>
          <w:rFonts w:hint="eastAsia" w:ascii="Times New Roman" w:hAnsi="Times New Roman" w:eastAsia="仿宋_GB2312" w:cs="仿宋_GB2312"/>
          <w:color w:val="000000" w:themeColor="text1"/>
          <w:sz w:val="32"/>
          <w:szCs w:val="36"/>
          <w14:textFill>
            <w14:solidFill>
              <w14:schemeClr w14:val="tx1"/>
            </w14:solidFill>
          </w14:textFill>
        </w:rPr>
        <w:t>等重点载体建设</w:t>
      </w:r>
      <w:r>
        <w:rPr>
          <w:rFonts w:hint="eastAsia" w:ascii="Times New Roman" w:hAnsi="Times New Roman" w:eastAsia="仿宋_GB2312" w:cs="仿宋_GB2312"/>
          <w:color w:val="000000" w:themeColor="text1"/>
          <w:sz w:val="32"/>
          <w:szCs w:val="36"/>
          <w:lang w:val="en-US" w:eastAsia="zh-CN"/>
          <w14:textFill>
            <w14:solidFill>
              <w14:schemeClr w14:val="tx1"/>
            </w14:solidFill>
          </w14:textFill>
        </w:rPr>
        <w:t>步伐</w:t>
      </w:r>
      <w:r>
        <w:rPr>
          <w:rFonts w:hint="eastAsia" w:ascii="Times New Roman" w:hAnsi="Times New Roman" w:eastAsia="仿宋_GB2312" w:cs="仿宋_GB2312"/>
          <w:color w:val="000000" w:themeColor="text1"/>
          <w:sz w:val="32"/>
          <w:szCs w:val="36"/>
          <w14:textFill>
            <w14:solidFill>
              <w14:schemeClr w14:val="tx1"/>
            </w14:solidFill>
          </w14:textFill>
        </w:rPr>
        <w:t>，打造面向5G、云计算、人工智能、物联网联数据等高端信息技术应用的枢纽级数据中心集群。加快实施“互联网+”行动计划，引导互联网在在生活消费终端的应用，重点发展政务、旅游、交通、城管、卫生、环境监测等城市管理、服务智能化应用软件和系统集成服务。提升数字化信息服务能力，结合增城本土产业基础探索发展移动互联服务、数据处理和运营、信息技术咨询、信息安全、VR内容等高端业态，打造大数据和云计算、软件研发和交易等服务中心。创新发展网络文学、网络表演、网络视频、网络音乐等领域数字内容产品，结合增城特色重点突破新兴领域数字内容消费品。</w:t>
      </w:r>
    </w:p>
    <w:p>
      <w:pPr>
        <w:spacing w:line="560" w:lineRule="exact"/>
        <w:ind w:firstLine="643" w:firstLineChars="200"/>
        <w:outlineLvl w:val="2"/>
        <w:rPr>
          <w:rFonts w:ascii="Times New Roman" w:hAnsi="Times New Roman" w:eastAsia="仿宋_GB2312" w:cs="仿宋_GB2312"/>
          <w:b/>
          <w:bCs/>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6"/>
          <w14:textFill>
            <w14:solidFill>
              <w14:schemeClr w14:val="tx1"/>
            </w14:solidFill>
          </w14:textFill>
        </w:rPr>
        <w:t>2、专业服务</w:t>
      </w:r>
    </w:p>
    <w:p>
      <w:pPr>
        <w:spacing w:line="560" w:lineRule="exact"/>
        <w:ind w:firstLine="640"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color w:val="000000" w:themeColor="text1"/>
          <w:sz w:val="32"/>
          <w:szCs w:val="36"/>
          <w14:textFill>
            <w14:solidFill>
              <w14:schemeClr w14:val="tx1"/>
            </w14:solidFill>
          </w14:textFill>
        </w:rPr>
        <w:t>围绕增城在专业服务领域的需求，着力发展法律、资产评估、会计、审计、税务、勘察设计、工程咨询以及战略规划、营销策划、市场调查、管理咨询、信用评估等专业咨询服务，提升政策扶持力度，加快开放合作，引进一批国内外专业服务机构。重点发展工程设计服务，结合原有工程设计服务优势资源，打造工程项目在可行性研究、工程设计、场地测绘、土建施工、机器安装和工程管理等各个流程的服务链条。大力发展售后服务，支持企业开展技术支持服务和远程维保服务，积极建设售后服务质量监测中心。鼓励发展人力资源服务外包服务，规范发展人力资源事务代理、技能鉴定、人力资源培训和劳务派遣等服务。推动本土专业服务企业向综合型、规模化、国际化发展，引导一般性专业服务企业向“专、精、特、新”方向发展。</w:t>
      </w:r>
    </w:p>
    <w:p>
      <w:pPr>
        <w:spacing w:line="560" w:lineRule="exact"/>
        <w:ind w:firstLine="643" w:firstLineChars="200"/>
        <w:outlineLvl w:val="2"/>
        <w:rPr>
          <w:rFonts w:ascii="Times New Roman" w:hAnsi="Times New Roman" w:eastAsia="仿宋_GB2312" w:cs="仿宋_GB2312"/>
          <w:b/>
          <w:bCs/>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6"/>
          <w14:textFill>
            <w14:solidFill>
              <w14:schemeClr w14:val="tx1"/>
            </w14:solidFill>
          </w14:textFill>
        </w:rPr>
        <w:t>3、科创服务</w:t>
      </w:r>
    </w:p>
    <w:p>
      <w:pPr>
        <w:spacing w:line="560" w:lineRule="exact"/>
        <w:ind w:firstLine="640"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color w:val="000000" w:themeColor="text1"/>
          <w:sz w:val="32"/>
          <w:szCs w:val="36"/>
          <w14:textFill>
            <w14:solidFill>
              <w14:schemeClr w14:val="tx1"/>
            </w14:solidFill>
          </w14:textFill>
        </w:rPr>
        <w:t>推动创新链与产业链深度融合，大力推进一批研发实力较强的科技创新平台建设，围绕增城经济技术开发区的科技创新产业优势，切实发挥国家级经济技术开发区示范带动作用，打造谋划粤港澳大湾区青年创新创业基地、广深港澳科技创新走廊重要节点和科技成果转移转化重要基地。加快科创服务重点领域加快发展，以云计算、大数据、物联网、移动互联网等新一代信息技术为着力点，面向产业发展和公共服务领域融合发展各类科创服务业态，完善公共研发、创业孵化、技术转移、知识产权等服务体系建设。鼓励本土有实力的企业自建或与高校、科研院所共建研发机构、行业或区域性技术研发平台，向社会开放其自有科研设施进行合作研究。</w:t>
      </w:r>
    </w:p>
    <w:p>
      <w:pPr>
        <w:spacing w:line="560" w:lineRule="exact"/>
        <w:ind w:firstLine="643" w:firstLineChars="200"/>
        <w:outlineLvl w:val="2"/>
        <w:rPr>
          <w:rFonts w:ascii="Times New Roman" w:hAnsi="Times New Roman" w:eastAsia="仿宋_GB2312" w:cs="仿宋_GB2312"/>
          <w:b/>
          <w:bCs/>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6"/>
          <w14:textFill>
            <w14:solidFill>
              <w14:schemeClr w14:val="tx1"/>
            </w14:solidFill>
          </w14:textFill>
        </w:rPr>
        <w:t>4、金融服务</w:t>
      </w:r>
    </w:p>
    <w:p>
      <w:pPr>
        <w:spacing w:line="560" w:lineRule="exact"/>
        <w:ind w:firstLine="640"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color w:val="000000" w:themeColor="text1"/>
          <w:sz w:val="32"/>
          <w:szCs w:val="36"/>
          <w14:textFill>
            <w14:solidFill>
              <w14:schemeClr w14:val="tx1"/>
            </w14:solidFill>
          </w14:textFill>
        </w:rPr>
        <w:t>加快完善增城银行服务体系，积极引进各类商业银行以及民营银行到增城成立分支行，促进城市商业银行与农村商业银行规范化、专业化发展。提升金融科技服务水平，主动对接广深</w:t>
      </w:r>
      <w:r>
        <w:rPr>
          <w:rFonts w:hint="eastAsia" w:ascii="Times New Roman" w:hAnsi="Times New Roman" w:eastAsia="仿宋_GB2312" w:cs="仿宋_GB2312"/>
          <w:color w:val="000000" w:themeColor="text1"/>
          <w:sz w:val="32"/>
          <w:szCs w:val="36"/>
          <w:lang w:val="en-US" w:eastAsia="zh-CN"/>
          <w14:textFill>
            <w14:solidFill>
              <w14:schemeClr w14:val="tx1"/>
            </w14:solidFill>
          </w14:textFill>
        </w:rPr>
        <w:t>港澳</w:t>
      </w:r>
      <w:r>
        <w:rPr>
          <w:rFonts w:hint="eastAsia" w:ascii="Times New Roman" w:hAnsi="Times New Roman" w:eastAsia="仿宋_GB2312" w:cs="仿宋_GB2312"/>
          <w:color w:val="000000" w:themeColor="text1"/>
          <w:sz w:val="32"/>
          <w:szCs w:val="36"/>
          <w14:textFill>
            <w14:solidFill>
              <w14:schemeClr w14:val="tx1"/>
            </w14:solidFill>
          </w14:textFill>
        </w:rPr>
        <w:t>科技创新走廊规划，聚焦金融科技研发和应用两大重点，重点推进平安（增城）金融硅谷项目建设，围绕平安金融硅谷重点发展科技金融、小微金融、供应链金融、农村金融、惠民金融等领域，建设金融科技园区，引入金融科技公司区域总部分支机构</w:t>
      </w:r>
      <w:r>
        <w:rPr>
          <w:rFonts w:hint="eastAsia" w:ascii="Times New Roman" w:hAnsi="Times New Roman" w:eastAsia="仿宋_GB2312" w:cs="仿宋_GB2312"/>
          <w:color w:val="000000" w:themeColor="text1"/>
          <w:sz w:val="32"/>
          <w:szCs w:val="36"/>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加快构建现代科技金融服务体系</w:t>
      </w:r>
      <w:r>
        <w:rPr>
          <w:rFonts w:hint="eastAsia" w:ascii="Times New Roman" w:hAnsi="Times New Roman" w:eastAsia="仿宋_GB2312" w:cs="仿宋_GB2312"/>
          <w:color w:val="000000" w:themeColor="text1"/>
          <w:sz w:val="32"/>
          <w:szCs w:val="36"/>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提升区域金融总部效应。丰富金融服务业态，大力引进信用评级、资产评估、证券投资咨询机构等一批中介机构，培育引进保险公司、期货公司、证券公司等一批金融交易市场和支付结算、业务运营、资产管理中心，建设金融科技研发中心、开放式创新平台，</w:t>
      </w:r>
      <w:r>
        <w:rPr>
          <w:rFonts w:hint="eastAsia" w:ascii="Times New Roman" w:hAnsi="Times New Roman" w:eastAsia="仿宋_GB2312" w:cs="仿宋_GB2312"/>
          <w:color w:val="000000" w:themeColor="text1"/>
          <w:sz w:val="32"/>
          <w:szCs w:val="36"/>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构建支持金融科技产业发展的生态系统。提升融资服务能力，</w:t>
      </w:r>
      <w:r>
        <w:rPr>
          <w:rFonts w:hint="eastAsia" w:ascii="Times New Roman" w:hAnsi="Times New Roman" w:eastAsia="仿宋_GB2312" w:cs="仿宋_GB2312"/>
          <w:color w:val="000000" w:themeColor="text1"/>
          <w:sz w:val="32"/>
          <w:szCs w:val="36"/>
          <w:lang w:val="en-US" w:eastAsia="zh-CN"/>
          <w14:textFill>
            <w14:solidFill>
              <w14:schemeClr w14:val="tx1"/>
            </w14:solidFill>
          </w14:textFill>
        </w:rPr>
        <w:t>尝试</w:t>
      </w:r>
      <w:r>
        <w:rPr>
          <w:rFonts w:hint="eastAsia" w:ascii="Times New Roman" w:hAnsi="Times New Roman" w:eastAsia="仿宋_GB2312" w:cs="仿宋_GB2312"/>
          <w:color w:val="000000" w:themeColor="text1"/>
          <w:sz w:val="32"/>
          <w:szCs w:val="36"/>
          <w14:textFill>
            <w14:solidFill>
              <w14:schemeClr w14:val="tx1"/>
            </w14:solidFill>
          </w14:textFill>
        </w:rPr>
        <w:t>引进创投机构、天使基金落户增城，鼓励投资者发起设立天使投资、风险投资、产业并购基金等各类股权投资基金。</w:t>
      </w:r>
    </w:p>
    <w:p>
      <w:pPr>
        <w:spacing w:line="560" w:lineRule="exact"/>
        <w:ind w:firstLine="643" w:firstLineChars="200"/>
        <w:outlineLvl w:val="2"/>
        <w:rPr>
          <w:rFonts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5、文化创意</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围绕增城本土文化特色，依托1978数字文创小镇等优势平台，打造增城影视文创品牌，</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培育影视行业“链主”企业，带动全区影视行业产业链配套环节不断完善，</w:t>
      </w:r>
      <w:r>
        <w:rPr>
          <w:rFonts w:hint="eastAsia" w:ascii="Times New Roman" w:hAnsi="Times New Roman" w:eastAsia="仿宋_GB2312" w:cs="仿宋_GB2312"/>
          <w:color w:val="000000" w:themeColor="text1"/>
          <w:sz w:val="32"/>
          <w:szCs w:val="32"/>
          <w14:textFill>
            <w14:solidFill>
              <w14:schemeClr w14:val="tx1"/>
            </w14:solidFill>
          </w14:textFill>
        </w:rPr>
        <w:t>提升影视传媒等领域的技术化水平。加强与湾区优质文创资源的对接，大力引进动漫游戏、电子竞技等文创类项目与企业，着重增强电竞产业场馆资源建设，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推动世嘉乐园加快发展，</w:t>
      </w:r>
      <w:r>
        <w:rPr>
          <w:rFonts w:hint="eastAsia" w:ascii="Times New Roman" w:hAnsi="Times New Roman" w:eastAsia="仿宋_GB2312" w:cs="仿宋_GB2312"/>
          <w:color w:val="000000" w:themeColor="text1"/>
          <w:sz w:val="32"/>
          <w:szCs w:val="32"/>
          <w14:textFill>
            <w14:solidFill>
              <w14:schemeClr w14:val="tx1"/>
            </w14:solidFill>
          </w14:textFill>
        </w:rPr>
        <w:t>助力广州打造“全国电竞产业中心”。积极搭建各类设计师、设计精品的展示和推介平台，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以增城服装产业链位驱动力，加快羊城晚报文化创意产业中心创意空间搭建和创意设计业态的布局，</w:t>
      </w:r>
      <w:r>
        <w:rPr>
          <w:rFonts w:hint="eastAsia" w:ascii="Times New Roman" w:hAnsi="Times New Roman" w:eastAsia="仿宋_GB2312" w:cs="仿宋_GB2312"/>
          <w:color w:val="000000" w:themeColor="text1"/>
          <w:sz w:val="32"/>
          <w:szCs w:val="32"/>
          <w14:textFill>
            <w14:solidFill>
              <w14:schemeClr w14:val="tx1"/>
            </w14:solidFill>
          </w14:textFill>
        </w:rPr>
        <w:t>构建数字文创产业优势集聚区。加快推进本土文化创意产业与制造业、旅游、农业的融合发展，促进文化创意产业与智慧、科技深入融合。鼓励本土文化创意企业对外开展合作，探索打造动漫节、博览会等重点文创平台，提高会展对文创产业的影响力与带动力。</w:t>
      </w:r>
    </w:p>
    <w:p>
      <w:pPr>
        <w:spacing w:line="560" w:lineRule="exact"/>
        <w:ind w:firstLine="643" w:firstLineChars="200"/>
        <w:outlineLvl w:val="1"/>
        <w:rPr>
          <w:rFonts w:ascii="楷体_GB2312" w:hAnsi="楷体_GB2312" w:eastAsia="楷体_GB2312" w:cs="楷体_GB2312"/>
          <w:b/>
          <w:bCs/>
          <w:color w:val="000000" w:themeColor="text1"/>
          <w:sz w:val="32"/>
          <w:szCs w:val="36"/>
          <w14:textFill>
            <w14:solidFill>
              <w14:schemeClr w14:val="tx1"/>
            </w14:solidFill>
          </w14:textFill>
        </w:rPr>
      </w:pPr>
      <w:bookmarkStart w:id="44" w:name="_Toc4063"/>
      <w:bookmarkStart w:id="45" w:name="_Toc19498"/>
      <w:bookmarkStart w:id="46" w:name="_Toc4166"/>
      <w:r>
        <w:rPr>
          <w:rFonts w:hint="eastAsia" w:ascii="楷体_GB2312" w:hAnsi="楷体_GB2312" w:eastAsia="楷体_GB2312" w:cs="楷体_GB2312"/>
          <w:b/>
          <w:bCs/>
          <w:color w:val="000000" w:themeColor="text1"/>
          <w:sz w:val="32"/>
          <w:szCs w:val="32"/>
          <w14:textFill>
            <w14:solidFill>
              <w14:schemeClr w14:val="tx1"/>
            </w14:solidFill>
          </w14:textFill>
        </w:rPr>
        <w:t>（三）提升发展生活性服务业</w:t>
      </w:r>
      <w:bookmarkEnd w:id="44"/>
      <w:bookmarkEnd w:id="45"/>
      <w:bookmarkEnd w:id="46"/>
    </w:p>
    <w:p>
      <w:pPr>
        <w:spacing w:line="560" w:lineRule="exact"/>
        <w:ind w:firstLine="643" w:firstLineChars="200"/>
        <w:outlineLvl w:val="2"/>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1、</w:t>
      </w:r>
      <w:r>
        <w:rPr>
          <w:rFonts w:hint="eastAsia" w:ascii="Times New Roman" w:hAnsi="Times New Roman" w:eastAsia="仿宋_GB2312" w:cs="仿宋_GB2312"/>
          <w:b/>
          <w:bCs/>
          <w:color w:val="000000" w:themeColor="text1"/>
          <w:sz w:val="32"/>
          <w:szCs w:val="36"/>
          <w14:textFill>
            <w14:solidFill>
              <w14:schemeClr w14:val="tx1"/>
            </w14:solidFill>
          </w14:textFill>
        </w:rPr>
        <w:t>旅游服务</w:t>
      </w:r>
    </w:p>
    <w:p>
      <w:pPr>
        <w:spacing w:line="560" w:lineRule="exact"/>
        <w:ind w:firstLine="640"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color w:val="000000" w:themeColor="text1"/>
          <w:sz w:val="32"/>
          <w:szCs w:val="36"/>
          <w14:textFill>
            <w14:solidFill>
              <w14:schemeClr w14:val="tx1"/>
            </w14:solidFill>
          </w14:textFill>
        </w:rPr>
        <w:t>推进旅游消费品质化，创新性策划多元化旅游产品，结合古村古建保护开发、非物质文化遗产保护与传承工作充实乡村旅游业态，推动建设游乐型、休闲型旅游载体，擦亮增城精品民宿、特色美食等旅游服务品牌，拉动休闲消费需求。发挥1978数字文创小镇、珠江钢琴国家文化产业示范基地、仙荔文化创意产业园等特色产业平台的资源优势，将增城特色旅游资源串珠成链，探索发展影视旅游、研学旅游、营地旅游、观光巴士游等新兴旅游业态。深化全域旅游特色化，协调推进文化旅游特色村建设及验收工作，打造增城乡村旅游品牌。赋能乡村旅游智慧化，结合新一代信息技术的应用示范助力乡村旅游的升级，在智慧服务、智慧管理和智慧营销三方面加强旅游资源和产品的开发和整合，全面提升增城精品民宿、星级酒店、高端酒店智能服务水平，以信息化带动传统旅游业向智慧旅游业转变。更新发展理念，从“休闲环境”建设向“休闲氛围”营造转变，从“服务游客”向“服务全民”转变。</w:t>
      </w:r>
    </w:p>
    <w:p>
      <w:pPr>
        <w:spacing w:line="560" w:lineRule="exact"/>
        <w:ind w:firstLine="643" w:firstLineChars="200"/>
        <w:outlineLvl w:val="2"/>
        <w:rPr>
          <w:rFonts w:ascii="Times New Roman" w:hAnsi="Times New Roman" w:eastAsia="仿宋_GB2312" w:cs="仿宋_GB2312"/>
          <w:b/>
          <w:bCs/>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6"/>
          <w14:textFill>
            <w14:solidFill>
              <w14:schemeClr w14:val="tx1"/>
            </w14:solidFill>
          </w14:textFill>
        </w:rPr>
        <w:t>2、健康服务</w:t>
      </w:r>
    </w:p>
    <w:p>
      <w:pPr>
        <w:spacing w:line="560" w:lineRule="exact"/>
        <w:ind w:firstLine="640"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color w:val="000000" w:themeColor="text1"/>
          <w:sz w:val="32"/>
          <w:szCs w:val="36"/>
          <w14:textFill>
            <w14:solidFill>
              <w14:schemeClr w14:val="tx1"/>
            </w14:solidFill>
          </w14:textFill>
        </w:rPr>
        <w:t>加快形成多元化办医格局，持续调动社会力量办医积极性，发展广州地铁21号线（增城段）沿线及荔湖周边健康服务产业带，支持广州市妇女儿童医疗中心等优质专项医疗服务资源向增城转移。支持发展中医药产业，打造增城本土中医药特色文化名片，着力引进特色中医中药的先进管理、技术和服务产品，提升增城区整体中医药服务能力。积极发展康养大健康产业，以派潭生命健康小镇、龙城国际康复医疗健康中心、合景生命健康中心、前海人寿国际医养健康城等重点康养等项目招商和建设为抓手，发挥增城生态环境优势</w:t>
      </w:r>
      <w:r>
        <w:rPr>
          <w:rFonts w:hint="eastAsia" w:ascii="Times New Roman" w:hAnsi="Times New Roman" w:eastAsia="仿宋_GB2312" w:cs="仿宋_GB2312"/>
          <w:color w:val="000000" w:themeColor="text1"/>
          <w:sz w:val="32"/>
          <w:szCs w:val="36"/>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促进旅游业与中医药、体育、康养服务等产业的融合，培育发展支持</w:t>
      </w:r>
      <w:r>
        <w:rPr>
          <w:rFonts w:hint="eastAsia" w:ascii="Times New Roman" w:hAnsi="Times New Roman" w:eastAsia="仿宋_GB2312" w:cs="仿宋_GB2312"/>
          <w:color w:val="000000" w:themeColor="text1"/>
          <w:sz w:val="32"/>
          <w:szCs w:val="36"/>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发展旅游+高端疗养</w:t>
      </w:r>
      <w:r>
        <w:rPr>
          <w:rFonts w:hint="eastAsia" w:ascii="Times New Roman" w:hAnsi="Times New Roman" w:eastAsia="仿宋_GB2312" w:cs="仿宋_GB2312"/>
          <w:color w:val="000000" w:themeColor="text1"/>
          <w:sz w:val="32"/>
          <w:szCs w:val="36"/>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旅游+高端医美</w:t>
      </w:r>
      <w:r>
        <w:rPr>
          <w:rFonts w:hint="eastAsia" w:ascii="Times New Roman" w:hAnsi="Times New Roman" w:eastAsia="仿宋_GB2312" w:cs="仿宋_GB2312"/>
          <w:color w:val="000000" w:themeColor="text1"/>
          <w:sz w:val="32"/>
          <w:szCs w:val="36"/>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 xml:space="preserve"> “医康养护”融合等新模式</w:t>
      </w:r>
      <w:r>
        <w:rPr>
          <w:rFonts w:hint="eastAsia" w:ascii="Times New Roman" w:hAnsi="Times New Roman" w:eastAsia="仿宋_GB2312" w:cs="仿宋_GB2312"/>
          <w:color w:val="000000" w:themeColor="text1"/>
          <w:sz w:val="32"/>
          <w:szCs w:val="36"/>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lang w:val="en-US" w:eastAsia="zh-CN"/>
          <w14:textFill>
            <w14:solidFill>
              <w14:schemeClr w14:val="tx1"/>
            </w14:solidFill>
          </w14:textFill>
        </w:rPr>
        <w:t>新形式</w:t>
      </w:r>
      <w:r>
        <w:rPr>
          <w:rFonts w:hint="eastAsia" w:ascii="Times New Roman" w:hAnsi="Times New Roman" w:eastAsia="仿宋_GB2312" w:cs="仿宋_GB2312"/>
          <w:color w:val="000000" w:themeColor="text1"/>
          <w:sz w:val="32"/>
          <w:szCs w:val="36"/>
          <w14:textFill>
            <w14:solidFill>
              <w14:schemeClr w14:val="tx1"/>
            </w14:solidFill>
          </w14:textFill>
        </w:rPr>
        <w:t>，打造“湾区亚健康调理中心”</w:t>
      </w:r>
      <w:r>
        <w:rPr>
          <w:rFonts w:hint="eastAsia" w:ascii="Times New Roman" w:hAnsi="Times New Roman" w:eastAsia="仿宋_GB2312" w:cs="仿宋_GB2312"/>
          <w:color w:val="000000" w:themeColor="text1"/>
          <w:sz w:val="32"/>
          <w:szCs w:val="36"/>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形成高端医疗、健康管理和养生休闲等康养服务业集聚发展态势。</w:t>
      </w:r>
    </w:p>
    <w:p>
      <w:pPr>
        <w:spacing w:line="560" w:lineRule="exact"/>
        <w:ind w:firstLine="643" w:firstLineChars="200"/>
        <w:outlineLvl w:val="2"/>
        <w:rPr>
          <w:rFonts w:ascii="Times New Roman" w:hAnsi="Times New Roman" w:eastAsia="仿宋_GB2312" w:cs="仿宋_GB2312"/>
          <w:b/>
          <w:bCs/>
          <w:color w:val="000000" w:themeColor="text1"/>
          <w:sz w:val="32"/>
          <w:szCs w:val="36"/>
          <w14:textFill>
            <w14:solidFill>
              <w14:schemeClr w14:val="tx1"/>
            </w14:solidFill>
          </w14:textFill>
        </w:rPr>
      </w:pPr>
      <w:r>
        <w:rPr>
          <w:rFonts w:hint="eastAsia" w:ascii="Times New Roman" w:hAnsi="Times New Roman" w:eastAsia="仿宋_GB2312" w:cs="仿宋_GB2312"/>
          <w:b/>
          <w:bCs/>
          <w:color w:val="000000" w:themeColor="text1"/>
          <w:sz w:val="32"/>
          <w:szCs w:val="36"/>
          <w14:textFill>
            <w14:solidFill>
              <w14:schemeClr w14:val="tx1"/>
            </w14:solidFill>
          </w14:textFill>
        </w:rPr>
        <w:t>3、居民和家庭服务</w:t>
      </w:r>
    </w:p>
    <w:p>
      <w:pPr>
        <w:spacing w:line="560" w:lineRule="exact"/>
        <w:ind w:firstLine="640" w:firstLineChars="200"/>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eastAsia="仿宋_GB2312" w:cs="仿宋_GB2312"/>
          <w:color w:val="000000" w:themeColor="text1"/>
          <w:sz w:val="32"/>
          <w:szCs w:val="36"/>
          <w14:textFill>
            <w14:solidFill>
              <w14:schemeClr w14:val="tx1"/>
            </w14:solidFill>
          </w14:textFill>
        </w:rPr>
        <w:t>围绕“宜业宜居宜养宜游”优质生活圈建设，加快建立供给充分、服务便捷、管理规范、惠及城乡的居民和家庭服务体系，着力提升居民生活便利化、精细化、品质化水平。提高居民家庭服务行业组织化程度，推进规模经营和网络化发展，发展大型连锁家政公司，</w:t>
      </w:r>
      <w:r>
        <w:rPr>
          <w:rFonts w:hint="eastAsia" w:ascii="Times New Roman" w:hAnsi="Times New Roman" w:eastAsia="仿宋_GB2312" w:cs="仿宋_GB2312"/>
          <w:color w:val="000000" w:themeColor="text1"/>
          <w:sz w:val="32"/>
          <w:szCs w:val="36"/>
          <w:lang w:val="en-US" w:eastAsia="zh-CN"/>
          <w14:textFill>
            <w14:solidFill>
              <w14:schemeClr w14:val="tx1"/>
            </w14:solidFill>
          </w14:textFill>
        </w:rPr>
        <w:t>依托招商引资推动居家养老类业态落地</w:t>
      </w:r>
      <w:r>
        <w:rPr>
          <w:rFonts w:hint="eastAsia" w:ascii="Times New Roman" w:hAnsi="Times New Roman" w:eastAsia="仿宋_GB2312" w:cs="仿宋_GB2312"/>
          <w:color w:val="000000" w:themeColor="text1"/>
          <w:sz w:val="32"/>
          <w:szCs w:val="36"/>
          <w14:textFill>
            <w14:solidFill>
              <w14:schemeClr w14:val="tx1"/>
            </w14:solidFill>
          </w14:textFill>
        </w:rPr>
        <w:t>。扶持培育一批员工制龙头企业，创建一批知名家庭服务品牌</w:t>
      </w:r>
      <w:r>
        <w:rPr>
          <w:rFonts w:hint="eastAsia" w:ascii="Times New Roman" w:hAnsi="Times New Roman" w:eastAsia="仿宋_GB2312" w:cs="仿宋_GB2312"/>
          <w:color w:val="000000" w:themeColor="text1"/>
          <w:sz w:val="32"/>
          <w:szCs w:val="36"/>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创新生活性服务业态，多方式提供医疗、保洁、居家养老、婴幼儿看护、护理、美容美发、洗染、家用电器及日用品维修等生活性服务，推进社区物业管理、安保、配送、家用车辆保养维修、搬家服务等生活性服务规范化、标准化发展。</w:t>
      </w:r>
    </w:p>
    <w:p>
      <w:pPr>
        <w:numPr>
          <w:ilvl w:val="0"/>
          <w:numId w:val="2"/>
        </w:numPr>
        <w:spacing w:line="560" w:lineRule="exact"/>
        <w:ind w:firstLine="640" w:firstLineChars="200"/>
        <w:jc w:val="left"/>
        <w:outlineLvl w:val="0"/>
        <w:rPr>
          <w:rFonts w:ascii="Times New Roman" w:hAnsi="Times New Roman" w:eastAsia="黑体" w:cs="黑体"/>
          <w:color w:val="000000" w:themeColor="text1"/>
          <w:kern w:val="0"/>
          <w:sz w:val="32"/>
          <w:szCs w:val="32"/>
          <w14:textFill>
            <w14:solidFill>
              <w14:schemeClr w14:val="tx1"/>
            </w14:solidFill>
          </w14:textFill>
        </w:rPr>
      </w:pPr>
      <w:bookmarkStart w:id="47" w:name="_Toc12979"/>
      <w:bookmarkStart w:id="48" w:name="_Toc9801"/>
      <w:bookmarkStart w:id="49" w:name="_Toc3444"/>
      <w:r>
        <w:rPr>
          <w:rFonts w:hint="eastAsia" w:ascii="Times New Roman" w:hAnsi="Times New Roman" w:eastAsia="黑体" w:cs="黑体"/>
          <w:color w:val="000000" w:themeColor="text1"/>
          <w:kern w:val="0"/>
          <w:sz w:val="32"/>
          <w:szCs w:val="32"/>
          <w14:textFill>
            <w14:solidFill>
              <w14:schemeClr w14:val="tx1"/>
            </w14:solidFill>
          </w14:textFill>
        </w:rPr>
        <w:t>发展布局</w:t>
      </w:r>
      <w:bookmarkEnd w:id="42"/>
      <w:bookmarkEnd w:id="47"/>
      <w:bookmarkEnd w:id="48"/>
      <w:bookmarkEnd w:id="49"/>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根据区域资源禀赋及产业基础，坚持创新发展、协调发展、融合发展的原则，对接广州“一江两岸三带”城市格局，基于增城区主体功能区规划、新型城镇建设与产业发展，着力打造</w:t>
      </w:r>
      <w:r>
        <w:rPr>
          <w:rFonts w:hint="eastAsia"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lang w:val="en-US" w:eastAsia="zh-CN"/>
          <w14:textFill>
            <w14:solidFill>
              <w14:schemeClr w14:val="tx1"/>
            </w14:solidFill>
          </w14:textFill>
        </w:rPr>
        <w:t>双</w:t>
      </w:r>
      <w:r>
        <w:rPr>
          <w:rFonts w:hint="eastAsia" w:ascii="Times New Roman" w:hAnsi="Times New Roman" w:eastAsia="仿宋_GB2312"/>
          <w:b/>
          <w:bCs/>
          <w:color w:val="000000" w:themeColor="text1"/>
          <w:sz w:val="32"/>
          <w:szCs w:val="32"/>
          <w14:textFill>
            <w14:solidFill>
              <w14:schemeClr w14:val="tx1"/>
            </w14:solidFill>
          </w14:textFill>
        </w:rPr>
        <w:t>核三带三组团”</w:t>
      </w:r>
      <w:r>
        <w:rPr>
          <w:rFonts w:hint="eastAsia" w:ascii="Times New Roman" w:hAnsi="Times New Roman" w:eastAsia="仿宋_GB2312"/>
          <w:color w:val="000000" w:themeColor="text1"/>
          <w:sz w:val="32"/>
          <w:szCs w:val="32"/>
          <w14:textFill>
            <w14:solidFill>
              <w14:schemeClr w14:val="tx1"/>
            </w14:solidFill>
          </w14:textFill>
        </w:rPr>
        <w:t>的现代服务业开放型发展格局，加快形成规模适度、布局合理、层次分明、特色鲜明的现代化服务业发展体系。</w:t>
      </w:r>
    </w:p>
    <w:p>
      <w:pPr>
        <w:pStyle w:val="2"/>
        <w:rPr>
          <w:rFonts w:hint="eastAsia" w:ascii="Times New Roman" w:hAnsi="Times New Roman" w:eastAsia="仿宋_GB2312"/>
          <w:color w:val="000000" w:themeColor="text1"/>
          <w:sz w:val="32"/>
          <w:szCs w:val="32"/>
          <w14:textFill>
            <w14:solidFill>
              <w14:schemeClr w14:val="tx1"/>
            </w14:solidFill>
          </w14:textFill>
        </w:rPr>
      </w:pPr>
    </w:p>
    <w:p>
      <w:pPr>
        <w:spacing w:line="560" w:lineRule="exact"/>
        <w:ind w:firstLine="643" w:firstLineChars="200"/>
        <w:outlineLvl w:val="1"/>
        <w:rPr>
          <w:rFonts w:ascii="楷体_GB2312" w:hAnsi="楷体_GB2312" w:eastAsia="楷体_GB2312" w:cs="楷体_GB2312"/>
          <w:b/>
          <w:bCs/>
          <w:color w:val="000000" w:themeColor="text1"/>
          <w:sz w:val="32"/>
          <w:szCs w:val="32"/>
          <w14:textFill>
            <w14:solidFill>
              <w14:schemeClr w14:val="tx1"/>
            </w14:solidFill>
          </w14:textFill>
        </w:rPr>
      </w:pPr>
      <w:bookmarkStart w:id="50" w:name="_Toc10972"/>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双</w:t>
      </w:r>
      <w:r>
        <w:rPr>
          <w:rFonts w:hint="eastAsia" w:ascii="楷体_GB2312" w:hAnsi="楷体_GB2312" w:eastAsia="楷体_GB2312" w:cs="楷体_GB2312"/>
          <w:b/>
          <w:bCs/>
          <w:color w:val="000000" w:themeColor="text1"/>
          <w:sz w:val="32"/>
          <w:szCs w:val="32"/>
          <w14:textFill>
            <w14:solidFill>
              <w14:schemeClr w14:val="tx1"/>
            </w14:solidFill>
          </w14:textFill>
        </w:rPr>
        <w:t>核”驱动</w:t>
      </w:r>
      <w:bookmarkEnd w:id="50"/>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广州东部交通枢纽中心商务区</w:t>
      </w:r>
      <w:r>
        <w:rPr>
          <w:rFonts w:hint="eastAsia" w:ascii="Times New Roman" w:hAnsi="Times New Roman" w:eastAsia="仿宋_GB2312"/>
          <w:b/>
          <w:bCs/>
          <w:color w:val="000000" w:themeColor="text1"/>
          <w:sz w:val="32"/>
          <w:szCs w:val="32"/>
          <w14:textFill>
            <w14:solidFill>
              <w14:schemeClr w14:val="tx1"/>
            </w14:solidFill>
          </w14:textFill>
        </w:rPr>
        <w:t>、荔湖新城</w:t>
      </w:r>
      <w:r>
        <w:rPr>
          <w:rFonts w:hint="eastAsia" w:ascii="Times New Roman" w:hAnsi="Times New Roman" w:eastAsia="仿宋_GB2312"/>
          <w:color w:val="000000" w:themeColor="text1"/>
          <w:sz w:val="32"/>
          <w:szCs w:val="32"/>
          <w14:textFill>
            <w14:solidFill>
              <w14:schemeClr w14:val="tx1"/>
            </w14:solidFill>
          </w14:textFill>
        </w:rPr>
        <w:t>为现代服务业发展</w:t>
      </w:r>
      <w:r>
        <w:rPr>
          <w:rFonts w:hint="eastAsia" w:ascii="Times New Roman" w:hAnsi="Times New Roman" w:eastAsia="仿宋_GB2312"/>
          <w:color w:val="000000" w:themeColor="text1"/>
          <w:sz w:val="32"/>
          <w:szCs w:val="32"/>
          <w:lang w:val="en-US" w:eastAsia="zh-CN"/>
          <w14:textFill>
            <w14:solidFill>
              <w14:schemeClr w14:val="tx1"/>
            </w14:solidFill>
          </w14:textFill>
        </w:rPr>
        <w:t>两</w:t>
      </w:r>
      <w:r>
        <w:rPr>
          <w:rFonts w:hint="eastAsia" w:ascii="Times New Roman" w:hAnsi="Times New Roman" w:eastAsia="仿宋_GB2312"/>
          <w:color w:val="000000" w:themeColor="text1"/>
          <w:sz w:val="32"/>
          <w:szCs w:val="32"/>
          <w14:textFill>
            <w14:solidFill>
              <w14:schemeClr w14:val="tx1"/>
            </w14:solidFill>
          </w14:textFill>
        </w:rPr>
        <w:t>大核心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全面布局现代服务业激发老城市新活力，提升综合城市功能</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推动广州东部交通枢纽中心商务区产业载体建设与业态完善，持续提升商务区交通基础设施体系通达程度，推动凯达尔枢纽国际广场</w:t>
      </w:r>
      <w:r>
        <w:rPr>
          <w:rFonts w:hint="eastAsia" w:ascii="Times New Roman" w:hAnsi="Times New Roman" w:eastAsia="仿宋_GB2312"/>
          <w:color w:val="000000" w:themeColor="text1"/>
          <w:sz w:val="32"/>
          <w:szCs w:val="32"/>
          <w:lang w:val="en-US" w:eastAsia="zh-CN"/>
          <w14:textFill>
            <w14:solidFill>
              <w14:schemeClr w14:val="tx1"/>
            </w14:solidFill>
          </w14:textFill>
        </w:rPr>
        <w:t>全面开展运营服务</w:t>
      </w:r>
      <w:r>
        <w:rPr>
          <w:rFonts w:hint="eastAsia" w:ascii="Times New Roman" w:hAnsi="Times New Roman" w:eastAsia="仿宋_GB2312"/>
          <w:color w:val="000000" w:themeColor="text1"/>
          <w:sz w:val="32"/>
          <w:szCs w:val="32"/>
          <w14:textFill>
            <w14:solidFill>
              <w14:schemeClr w14:val="tx1"/>
            </w14:solidFill>
          </w14:textFill>
        </w:rPr>
        <w:t>，加快形成国内首个TOD(以公共交通为导向的开发模式)高度复合与立体化的交通枢纽综合体，加速总部企业、高端商业综合体集聚，完善餐饮、休闲、娱乐、商务等多种业态，构建增城“轨道高速生活圈”。推进保利、新世界</w:t>
      </w:r>
      <w:r>
        <w:rPr>
          <w:rFonts w:hint="eastAsia" w:ascii="Times New Roman" w:hAnsi="Times New Roman" w:eastAsia="仿宋_GB2312"/>
          <w:color w:val="000000" w:themeColor="text1"/>
          <w:sz w:val="32"/>
          <w:szCs w:val="32"/>
          <w:lang w:eastAsia="zh-CN"/>
          <w14:textFill>
            <w14:solidFill>
              <w14:schemeClr w14:val="tx1"/>
            </w14:solidFill>
          </w14:textFill>
        </w:rPr>
        <w:t>、城投雪松</w:t>
      </w:r>
      <w:r>
        <w:rPr>
          <w:rFonts w:hint="eastAsia" w:ascii="Times New Roman" w:hAnsi="Times New Roman" w:eastAsia="仿宋_GB2312"/>
          <w:color w:val="000000" w:themeColor="text1"/>
          <w:sz w:val="32"/>
          <w:szCs w:val="32"/>
          <w14:textFill>
            <w14:solidFill>
              <w14:schemeClr w14:val="tx1"/>
            </w14:solidFill>
          </w14:textFill>
        </w:rPr>
        <w:t>等</w:t>
      </w:r>
      <w:r>
        <w:rPr>
          <w:rFonts w:hint="eastAsia" w:ascii="Times New Roman" w:hAnsi="Times New Roman" w:eastAsia="仿宋_GB2312"/>
          <w:color w:val="000000" w:themeColor="text1"/>
          <w:sz w:val="32"/>
          <w:szCs w:val="32"/>
          <w:lang w:val="en-US" w:eastAsia="zh-CN"/>
          <w14:textFill>
            <w14:solidFill>
              <w14:schemeClr w14:val="tx1"/>
            </w14:solidFill>
          </w14:textFill>
        </w:rPr>
        <w:t>重点企业</w:t>
      </w:r>
      <w:r>
        <w:rPr>
          <w:rFonts w:hint="eastAsia" w:ascii="Times New Roman" w:hAnsi="Times New Roman" w:eastAsia="仿宋_GB2312"/>
          <w:color w:val="000000" w:themeColor="text1"/>
          <w:sz w:val="32"/>
          <w:szCs w:val="32"/>
          <w14:textFill>
            <w14:solidFill>
              <w14:schemeClr w14:val="tx1"/>
            </w14:solidFill>
          </w14:textFill>
        </w:rPr>
        <w:t>总部经济综合体项目建设，打造集五星级酒店、超甲级写字楼、高端居住、大型时尚购物中心、金融服务、娱乐休闲和餐饮等多功能业态于一体的大型城市综合体</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进一步构建总部经济优势</w:t>
      </w:r>
      <w:r>
        <w:rPr>
          <w:rFonts w:hint="eastAsia" w:ascii="Times New Roman" w:hAnsi="Times New Roman" w:eastAsia="仿宋_GB2312"/>
          <w:color w:val="000000" w:themeColor="text1"/>
          <w:sz w:val="32"/>
          <w:szCs w:val="32"/>
          <w14:textFill>
            <w14:solidFill>
              <w14:schemeClr w14:val="tx1"/>
            </w14:solidFill>
          </w14:textFill>
        </w:rPr>
        <w:t>。培育和发展商务商贸、酒店会展、现代物流、电子商务、信息服务、科技服务等现代服务业产业集</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联动侨梦苑</w:t>
      </w:r>
      <w:r>
        <w:rPr>
          <w:rFonts w:hint="eastAsia" w:ascii="Times New Roman" w:hAnsi="Times New Roman" w:eastAsia="仿宋_GB2312"/>
          <w:color w:val="000000" w:themeColor="text1"/>
          <w:sz w:val="32"/>
          <w:szCs w:val="32"/>
          <w14:textFill>
            <w14:solidFill>
              <w14:schemeClr w14:val="tx1"/>
            </w14:solidFill>
          </w14:textFill>
        </w:rPr>
        <w:t>搭建增城片区集聚高精尖人才的“硅谷”，打造高端专业服务业集聚区，形成广州东部新兴的中央商务区。</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全力推进</w:t>
      </w:r>
      <w:r>
        <w:rPr>
          <w:rFonts w:hint="eastAsia" w:ascii="Times New Roman" w:hAnsi="Times New Roman" w:eastAsia="仿宋_GB2312"/>
          <w:color w:val="000000" w:themeColor="text1"/>
          <w:sz w:val="32"/>
          <w:szCs w:val="32"/>
          <w14:textFill>
            <w14:solidFill>
              <w14:schemeClr w14:val="tx1"/>
            </w14:solidFill>
          </w14:textFill>
        </w:rPr>
        <w:t>荔湖新城城乡融合示范片区建设，提升</w:t>
      </w:r>
      <w:r>
        <w:rPr>
          <w:rFonts w:hint="eastAsia" w:ascii="Times New Roman" w:hAnsi="Times New Roman" w:eastAsia="仿宋_GB2312"/>
          <w:color w:val="000000" w:themeColor="text1"/>
          <w:sz w:val="32"/>
          <w:szCs w:val="32"/>
          <w:lang w:eastAsia="zh-CN"/>
          <w14:textFill>
            <w14:solidFill>
              <w14:schemeClr w14:val="tx1"/>
            </w14:solidFill>
          </w14:textFill>
        </w:rPr>
        <w:t>增城</w:t>
      </w:r>
      <w:r>
        <w:rPr>
          <w:rFonts w:hint="eastAsia" w:ascii="Times New Roman" w:hAnsi="Times New Roman" w:eastAsia="仿宋_GB2312"/>
          <w:color w:val="000000" w:themeColor="text1"/>
          <w:sz w:val="32"/>
          <w:szCs w:val="32"/>
          <w14:textFill>
            <w14:solidFill>
              <w14:schemeClr w14:val="tx1"/>
            </w14:solidFill>
          </w14:textFill>
        </w:rPr>
        <w:t>万达广场、东汇城等商圈综合体服务水平，高水平打造时尚消费圈，加快1978数字文创小镇三期</w:t>
      </w:r>
      <w:r>
        <w:rPr>
          <w:rFonts w:hint="eastAsia" w:ascii="Times New Roman" w:hAnsi="Times New Roman" w:eastAsia="仿宋_GB2312"/>
          <w:color w:val="000000" w:themeColor="text1"/>
          <w:sz w:val="32"/>
          <w:szCs w:val="32"/>
          <w:lang w:eastAsia="zh-CN"/>
          <w14:textFill>
            <w14:solidFill>
              <w14:schemeClr w14:val="tx1"/>
            </w14:solidFill>
          </w14:textFill>
        </w:rPr>
        <w:t>、碧桂园华南设计总部、</w:t>
      </w:r>
      <w:r>
        <w:rPr>
          <w:rFonts w:hint="eastAsia" w:ascii="Times New Roman" w:hAnsi="Times New Roman" w:eastAsia="仿宋_GB2312"/>
          <w:color w:val="000000" w:themeColor="text1"/>
          <w:sz w:val="32"/>
          <w:szCs w:val="32"/>
          <w14:textFill>
            <w14:solidFill>
              <w14:schemeClr w14:val="tx1"/>
            </w14:solidFill>
          </w14:textFill>
        </w:rPr>
        <w:t>市政集团智能建造研发总部</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1978国际人才港湾项目</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6"/>
          <w14:textFill>
            <w14:solidFill>
              <w14:schemeClr w14:val="tx1"/>
            </w14:solidFill>
          </w14:textFill>
        </w:rPr>
        <w:t>合景生命健康中心</w:t>
      </w:r>
      <w:r>
        <w:rPr>
          <w:rFonts w:hint="eastAsia" w:ascii="Times New Roman" w:hAnsi="Times New Roman" w:eastAsia="仿宋_GB2312" w:cs="仿宋_GB2312"/>
          <w:color w:val="000000" w:themeColor="text1"/>
          <w:sz w:val="32"/>
          <w:szCs w:val="36"/>
          <w:lang w:eastAsia="zh-CN"/>
          <w14:textFill>
            <w14:solidFill>
              <w14:schemeClr w14:val="tx1"/>
            </w14:solidFill>
          </w14:textFill>
        </w:rPr>
        <w:t>等项目</w:t>
      </w:r>
      <w:r>
        <w:rPr>
          <w:rFonts w:hint="eastAsia" w:ascii="Times New Roman" w:hAnsi="Times New Roman" w:eastAsia="仿宋_GB2312"/>
          <w:color w:val="000000" w:themeColor="text1"/>
          <w:sz w:val="32"/>
          <w:szCs w:val="32"/>
          <w14:textFill>
            <w14:solidFill>
              <w14:schemeClr w14:val="tx1"/>
            </w14:solidFill>
          </w14:textFill>
        </w:rPr>
        <w:t>建设，持续发挥低碳总部园辐射效应，完善总部经济、商贸商务、文化旅游等现代服务业，提升“一江两岸”城市风貌，</w:t>
      </w:r>
      <w:r>
        <w:rPr>
          <w:rFonts w:hint="eastAsia" w:ascii="Times New Roman" w:hAnsi="Times New Roman" w:eastAsia="仿宋_GB2312"/>
          <w:color w:val="000000" w:themeColor="text1"/>
          <w:sz w:val="32"/>
          <w:szCs w:val="32"/>
          <w:lang w:eastAsia="zh-CN"/>
          <w14:textFill>
            <w14:solidFill>
              <w14:schemeClr w14:val="tx1"/>
            </w14:solidFill>
          </w14:textFill>
        </w:rPr>
        <w:t>联动增城火车站</w:t>
      </w:r>
      <w:r>
        <w:rPr>
          <w:rFonts w:hint="eastAsia" w:ascii="Times New Roman" w:hAnsi="Times New Roman" w:eastAsia="仿宋_GB2312"/>
          <w:color w:val="000000" w:themeColor="text1"/>
          <w:sz w:val="32"/>
          <w:szCs w:val="32"/>
          <w:lang w:val="en-US" w:eastAsia="zh-CN"/>
          <w14:textFill>
            <w14:solidFill>
              <w14:schemeClr w14:val="tx1"/>
            </w14:solidFill>
          </w14:textFill>
        </w:rPr>
        <w:t>TOD项目，</w:t>
      </w:r>
      <w:r>
        <w:rPr>
          <w:rFonts w:hint="eastAsia" w:ascii="Times New Roman" w:hAnsi="Times New Roman" w:eastAsia="仿宋_GB2312"/>
          <w:color w:val="000000" w:themeColor="text1"/>
          <w:sz w:val="32"/>
          <w:szCs w:val="32"/>
          <w:lang w:eastAsia="zh-CN"/>
          <w14:textFill>
            <w14:solidFill>
              <w14:schemeClr w14:val="tx1"/>
            </w14:solidFill>
          </w14:textFill>
        </w:rPr>
        <w:t>建设具有国际化水平的城市</w:t>
      </w:r>
      <w:r>
        <w:rPr>
          <w:rFonts w:hint="eastAsia" w:ascii="Times New Roman" w:hAnsi="Times New Roman" w:eastAsia="仿宋_GB2312"/>
          <w:color w:val="000000" w:themeColor="text1"/>
          <w:sz w:val="32"/>
          <w:szCs w:val="32"/>
          <w:lang w:val="en-US" w:eastAsia="zh-CN"/>
          <w14:textFill>
            <w14:solidFill>
              <w14:schemeClr w14:val="tx1"/>
            </w14:solidFill>
          </w14:textFill>
        </w:rPr>
        <w:t>CBD，</w:t>
      </w:r>
      <w:r>
        <w:rPr>
          <w:rFonts w:hint="eastAsia" w:ascii="Times New Roman" w:hAnsi="Times New Roman" w:eastAsia="仿宋_GB2312"/>
          <w:color w:val="000000" w:themeColor="text1"/>
          <w:sz w:val="32"/>
          <w:szCs w:val="32"/>
          <w14:textFill>
            <w14:solidFill>
              <w14:schemeClr w14:val="tx1"/>
            </w14:solidFill>
          </w14:textFill>
        </w:rPr>
        <w:t>打造集行政文化、公共服务、总部商务、金融办公、科技创新、品质居住于一体的现代生态新城。</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Times New Roman" w:hAnsi="Times New Roman" w:eastAsia="黑体" w:cs="黑体"/>
                <w:color w:val="000000" w:themeColor="text1"/>
                <w:sz w:val="28"/>
                <w:szCs w:val="28"/>
                <w14:textFill>
                  <w14:solidFill>
                    <w14:schemeClr w14:val="tx1"/>
                  </w14:solidFill>
                </w14:textFill>
              </w:rPr>
            </w:pPr>
            <w:r>
              <w:rPr>
                <w:rFonts w:hint="eastAsia" w:ascii="Times New Roman" w:hAnsi="Times New Roman" w:eastAsia="黑体" w:cs="黑体"/>
                <w:color w:val="000000" w:themeColor="text1"/>
                <w:sz w:val="28"/>
                <w:szCs w:val="28"/>
                <w14:textFill>
                  <w14:solidFill>
                    <w14:schemeClr w14:val="tx1"/>
                  </w14:solidFill>
                </w14:textFill>
              </w:rPr>
              <w:t>专栏</w:t>
            </w:r>
            <w:r>
              <w:rPr>
                <w:rFonts w:ascii="Times New Roman" w:hAnsi="Times New Roman" w:eastAsia="黑体" w:cs="黑体"/>
                <w:color w:val="000000" w:themeColor="text1"/>
                <w:sz w:val="28"/>
                <w:szCs w:val="28"/>
                <w:highlight w:val="none"/>
                <w14:textFill>
                  <w14:solidFill>
                    <w14:schemeClr w14:val="tx1"/>
                  </w14:solidFill>
                </w14:textFill>
              </w:rPr>
              <w:t>1</w:t>
            </w:r>
            <w:r>
              <w:rPr>
                <w:rFonts w:ascii="Times New Roman" w:hAnsi="Times New Roman" w:eastAsia="黑体" w:cs="黑体"/>
                <w:color w:val="000000" w:themeColor="text1"/>
                <w:sz w:val="28"/>
                <w:szCs w:val="28"/>
                <w14:textFill>
                  <w14:solidFill>
                    <w14:schemeClr w14:val="tx1"/>
                  </w14:solidFill>
                </w14:textFill>
              </w:rPr>
              <w:t xml:space="preserve"> </w:t>
            </w:r>
            <w:r>
              <w:rPr>
                <w:rFonts w:hint="eastAsia" w:ascii="Times New Roman" w:hAnsi="Times New Roman" w:eastAsia="黑体" w:cs="黑体"/>
                <w:color w:val="000000" w:themeColor="text1"/>
                <w:sz w:val="28"/>
                <w:szCs w:val="28"/>
                <w14:textFill>
                  <w14:solidFill>
                    <w14:schemeClr w14:val="tx1"/>
                  </w14:solidFill>
                </w14:textFill>
              </w:rPr>
              <w:t>广州东部交通枢纽中心商务区现代服务业重点产业载体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522" w:type="dxa"/>
          </w:tcPr>
          <w:p>
            <w:pPr>
              <w:spacing w:line="560" w:lineRule="exact"/>
              <w:ind w:firstLine="482" w:firstLineChars="200"/>
              <w:rPr>
                <w:rFonts w:hint="eastAsia" w:ascii="楷体_GB2312" w:hAnsi="楷体_GB2312" w:eastAsia="楷体_GB2312" w:cs="楷体_GB2312"/>
                <w:b/>
                <w:bCs/>
                <w:color w:val="000000" w:themeColor="text1"/>
                <w:sz w:val="24"/>
                <w:lang w:val="en-US" w:eastAsia="zh-CN"/>
                <w14:textFill>
                  <w14:solidFill>
                    <w14:schemeClr w14:val="tx1"/>
                  </w14:solidFill>
                </w14:textFill>
              </w:rPr>
            </w:pPr>
            <w:r>
              <w:rPr>
                <w:rFonts w:hint="eastAsia" w:ascii="楷体_GB2312" w:hAnsi="楷体_GB2312" w:eastAsia="楷体_GB2312" w:cs="楷体_GB2312"/>
                <w:b/>
                <w:bCs/>
                <w:color w:val="000000" w:themeColor="text1"/>
                <w:sz w:val="24"/>
                <w:lang w:eastAsia="zh-CN"/>
                <w14:textFill>
                  <w14:solidFill>
                    <w14:schemeClr w14:val="tx1"/>
                  </w14:solidFill>
                </w14:textFill>
              </w:rPr>
              <w:t>——</w:t>
            </w:r>
            <w:r>
              <w:rPr>
                <w:rFonts w:hint="eastAsia" w:ascii="楷体_GB2312" w:hAnsi="楷体_GB2312" w:eastAsia="楷体_GB2312" w:cs="楷体_GB2312"/>
                <w:b/>
                <w:bCs/>
                <w:color w:val="000000" w:themeColor="text1"/>
                <w:sz w:val="24"/>
                <w:lang w:val="en-US" w:eastAsia="zh-CN"/>
                <w14:textFill>
                  <w14:solidFill>
                    <w14:schemeClr w14:val="tx1"/>
                  </w14:solidFill>
                </w14:textFill>
              </w:rPr>
              <w:t>凯达尔枢纽国际广场</w:t>
            </w:r>
          </w:p>
          <w:p>
            <w:pPr>
              <w:spacing w:line="560" w:lineRule="exact"/>
              <w:ind w:firstLine="480" w:firstLineChars="200"/>
              <w:rPr>
                <w:rFonts w:hint="eastAsia" w:ascii="楷体_GB2312" w:hAnsi="楷体_GB2312" w:eastAsia="楷体_GB2312" w:cs="楷体_GB2312"/>
                <w:color w:val="000000" w:themeColor="text1"/>
                <w:sz w:val="24"/>
                <w:lang w:val="en-US" w:eastAsia="zh-CN"/>
                <w14:textFill>
                  <w14:solidFill>
                    <w14:schemeClr w14:val="tx1"/>
                  </w14:solidFill>
                </w14:textFill>
              </w:rPr>
            </w:pPr>
            <w:r>
              <w:rPr>
                <w:rFonts w:hint="eastAsia" w:ascii="楷体_GB2312" w:hAnsi="楷体_GB2312" w:eastAsia="楷体_GB2312" w:cs="楷体_GB2312"/>
                <w:color w:val="000000" w:themeColor="text1"/>
                <w:sz w:val="24"/>
                <w:lang w:val="en-US" w:eastAsia="zh-CN"/>
                <w14:textFill>
                  <w14:solidFill>
                    <w14:schemeClr w14:val="tx1"/>
                  </w14:solidFill>
                </w14:textFill>
              </w:rPr>
              <w:t>推动凯达尔广场开启全面运营和招商，持续提升SOHO空间、写字楼、高端酒店等商务服务和高端服务业态水平，吸引总部经济、会展经济、创意经济载体落户集聚，联动周边保利、碧桂园、金地、合生等高端楼盘发展，充分发挥交通枢纽的核心效应，带动周边城市群客流，形成广州东部高端服务业发展“引擎”。</w:t>
            </w:r>
          </w:p>
          <w:p>
            <w:pPr>
              <w:spacing w:line="560" w:lineRule="exact"/>
              <w:ind w:firstLine="482" w:firstLineChars="200"/>
              <w:rPr>
                <w:rFonts w:hint="eastAsia" w:ascii="Times New Roman" w:hAnsi="Times New Roman" w:eastAsia="楷体_GB2312" w:cs="楷体_GB2312"/>
                <w:b/>
                <w:bCs/>
                <w:color w:val="000000" w:themeColor="text1"/>
                <w:sz w:val="24"/>
                <w:szCs w:val="24"/>
                <w:lang w:val="en-US" w:eastAsia="zh-CN"/>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——侨梦苑</w:t>
            </w:r>
          </w:p>
          <w:p>
            <w:pPr>
              <w:spacing w:line="560" w:lineRule="exact"/>
              <w:ind w:firstLine="480" w:firstLineChars="200"/>
              <w:rPr>
                <w:rFonts w:hint="default" w:ascii="楷体_GB2312" w:hAnsi="楷体_GB2312" w:eastAsia="楷体_GB2312" w:cs="楷体_GB2312"/>
                <w:sz w:val="24"/>
                <w:lang w:val="en-US" w:eastAsia="zh-CN"/>
              </w:rPr>
            </w:pPr>
            <w:r>
              <w:rPr>
                <w:rFonts w:hint="eastAsia" w:ascii="Times New Roman" w:hAnsi="Times New Roman" w:eastAsia="楷体_GB2312" w:cs="楷体_GB2312"/>
                <w:color w:val="000000" w:themeColor="text1"/>
                <w:sz w:val="24"/>
                <w:szCs w:val="24"/>
                <w14:textFill>
                  <w14:solidFill>
                    <w14:schemeClr w14:val="tx1"/>
                  </w14:solidFill>
                </w14:textFill>
              </w:rPr>
              <w:t>进一步推进侨梦苑招商引资工作，强化园区“粤港澳大湾区创新产业集聚区”的平台效应宣传，吸引湾区优质青年创业人才，加快侨梦苑“一苑多区”建设发展步伐。</w:t>
            </w:r>
            <w:r>
              <w:rPr>
                <w:rFonts w:hint="eastAsia" w:ascii="Times New Roman" w:hAnsi="Times New Roman" w:eastAsia="楷体_GB2312" w:cs="楷体_GB2312"/>
                <w:color w:val="000000" w:themeColor="text1"/>
                <w:sz w:val="24"/>
                <w14:textFill>
                  <w14:solidFill>
                    <w14:schemeClr w14:val="tx1"/>
                  </w14:solidFill>
                </w14:textFill>
              </w:rPr>
              <w:t>推动符合条件的创新平台申报认定为增城侨梦苑分园区，进一步完善“众创空间-孵化器-加速器-科技园”等创新创业载体建设。</w:t>
            </w:r>
          </w:p>
        </w:tc>
      </w:tr>
    </w:tbl>
    <w:p>
      <w:pPr>
        <w:pStyle w:val="2"/>
        <w:rPr>
          <w:rFonts w:ascii="Times New Roman" w:hAnsi="Times New Roman" w:eastAsia="仿宋_GB2312"/>
          <w:color w:val="000000" w:themeColor="text1"/>
          <w:sz w:val="32"/>
          <w:szCs w:val="32"/>
          <w14:textFill>
            <w14:solidFill>
              <w14:schemeClr w14:val="tx1"/>
            </w14:solidFill>
          </w14:textFill>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Times New Roman" w:hAnsi="Times New Roman" w:eastAsia="黑体" w:cs="黑体"/>
                <w:color w:val="000000" w:themeColor="text1"/>
                <w:sz w:val="28"/>
                <w:szCs w:val="28"/>
                <w14:textFill>
                  <w14:solidFill>
                    <w14:schemeClr w14:val="tx1"/>
                  </w14:solidFill>
                </w14:textFill>
              </w:rPr>
            </w:pPr>
            <w:r>
              <w:rPr>
                <w:rFonts w:hint="eastAsia" w:ascii="Times New Roman" w:hAnsi="Times New Roman" w:eastAsia="黑体" w:cs="黑体"/>
                <w:color w:val="000000" w:themeColor="text1"/>
                <w:sz w:val="28"/>
                <w:szCs w:val="28"/>
                <w14:textFill>
                  <w14:solidFill>
                    <w14:schemeClr w14:val="tx1"/>
                  </w14:solidFill>
                </w14:textFill>
              </w:rPr>
              <w:t>专栏2 荔湖新城现代服务业重点产业载体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line="560" w:lineRule="exact"/>
              <w:ind w:firstLine="482" w:firstLineChars="200"/>
              <w:rPr>
                <w:rFonts w:ascii="楷体_GB2312" w:hAnsi="楷体_GB2312" w:eastAsia="楷体_GB2312" w:cs="楷体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——低碳总部园</w:t>
            </w:r>
          </w:p>
          <w:p>
            <w:pPr>
              <w:pStyle w:val="2"/>
              <w:spacing w:line="560" w:lineRule="exact"/>
              <w:ind w:firstLine="480" w:firstLineChars="200"/>
              <w:rPr>
                <w:rFonts w:ascii="楷体_GB2312" w:hAnsi="楷体_GB2312" w:eastAsia="楷体_GB2312" w:cs="楷体_GB2312"/>
                <w:b w:val="0"/>
                <w:bCs w:val="0"/>
                <w:color w:val="000000" w:themeColor="text1"/>
                <w:sz w:val="24"/>
                <w14:textFill>
                  <w14:solidFill>
                    <w14:schemeClr w14:val="tx1"/>
                  </w14:solidFill>
                </w14:textFill>
              </w:rPr>
            </w:pPr>
            <w:r>
              <w:rPr>
                <w:rFonts w:hint="eastAsia" w:ascii="楷体_GB2312" w:hAnsi="楷体_GB2312" w:eastAsia="楷体_GB2312" w:cs="楷体_GB2312"/>
                <w:b w:val="0"/>
                <w:bCs w:val="0"/>
                <w:color w:val="000000" w:themeColor="text1"/>
                <w:sz w:val="24"/>
                <w14:textFill>
                  <w14:solidFill>
                    <w14:schemeClr w14:val="tx1"/>
                  </w14:solidFill>
                </w14:textFill>
              </w:rPr>
              <w:t>完善低碳总部园二期、三期组团建设，加快</w:t>
            </w:r>
            <w:r>
              <w:rPr>
                <w:rFonts w:hint="eastAsia" w:ascii="楷体_GB2312" w:hAnsi="楷体_GB2312" w:eastAsia="楷体_GB2312" w:cs="楷体_GB2312"/>
                <w:color w:val="000000" w:themeColor="text1"/>
                <w:sz w:val="24"/>
                <w14:textFill>
                  <w14:solidFill>
                    <w14:schemeClr w14:val="tx1"/>
                  </w14:solidFill>
                </w14:textFill>
              </w:rPr>
              <w:t>国内外新型高科技节能环保、新能源、新一代信息技术类型企业、科技金融服务类企业</w:t>
            </w:r>
            <w:r>
              <w:rPr>
                <w:rFonts w:hint="eastAsia" w:ascii="楷体_GB2312" w:hAnsi="楷体_GB2312" w:eastAsia="楷体_GB2312" w:cs="楷体_GB2312"/>
                <w:b w:val="0"/>
                <w:bCs w:val="0"/>
                <w:color w:val="000000" w:themeColor="text1"/>
                <w:sz w:val="24"/>
                <w14:textFill>
                  <w14:solidFill>
                    <w14:schemeClr w14:val="tx1"/>
                  </w14:solidFill>
                </w14:textFill>
              </w:rPr>
              <w:t>及上下游相关配套服务企业引进，持续提升平台创新效应和服务能力。</w:t>
            </w:r>
          </w:p>
          <w:p>
            <w:pPr>
              <w:pStyle w:val="2"/>
              <w:spacing w:line="560" w:lineRule="exact"/>
              <w:ind w:firstLine="482" w:firstLineChars="200"/>
              <w:rPr>
                <w:rFonts w:ascii="楷体_GB2312" w:hAnsi="楷体_GB2312" w:eastAsia="楷体_GB2312" w:cs="楷体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——1978数字文创小镇</w:t>
            </w:r>
          </w:p>
          <w:p>
            <w:pPr>
              <w:pStyle w:val="2"/>
              <w:spacing w:line="560" w:lineRule="exact"/>
              <w:ind w:firstLine="480" w:firstLineChars="200"/>
              <w:rPr>
                <w:rFonts w:ascii="楷体_GB2312" w:hAnsi="楷体_GB2312" w:eastAsia="楷体_GB2312" w:cs="楷体_GB2312"/>
                <w:b w:val="0"/>
                <w:bCs w:val="0"/>
                <w:color w:val="000000" w:themeColor="text1"/>
                <w:sz w:val="24"/>
                <w14:textFill>
                  <w14:solidFill>
                    <w14:schemeClr w14:val="tx1"/>
                  </w14:solidFill>
                </w14:textFill>
              </w:rPr>
            </w:pPr>
            <w:r>
              <w:rPr>
                <w:rFonts w:hint="eastAsia" w:ascii="楷体_GB2312" w:hAnsi="楷体_GB2312" w:eastAsia="楷体_GB2312" w:cs="楷体_GB2312"/>
                <w:b w:val="0"/>
                <w:bCs w:val="0"/>
                <w:color w:val="000000" w:themeColor="text1"/>
                <w:sz w:val="24"/>
                <w14:textFill>
                  <w14:solidFill>
                    <w14:schemeClr w14:val="tx1"/>
                  </w14:solidFill>
                </w14:textFill>
              </w:rPr>
              <w:t>持续推动二期项目业态的引进与完善，积极引进影视行业龙头及优质项目，</w:t>
            </w:r>
            <w:r>
              <w:rPr>
                <w:rFonts w:hint="eastAsia" w:ascii="楷体_GB2312" w:hAnsi="楷体_GB2312" w:eastAsia="楷体_GB2312" w:cs="楷体_GB2312"/>
                <w:color w:val="000000" w:themeColor="text1"/>
                <w:sz w:val="24"/>
                <w14:textFill>
                  <w14:solidFill>
                    <w14:schemeClr w14:val="tx1"/>
                  </w14:solidFill>
                </w14:textFill>
              </w:rPr>
              <w:t>加强</w:t>
            </w:r>
            <w:r>
              <w:rPr>
                <w:rFonts w:hint="eastAsia" w:ascii="楷体_GB2312" w:hAnsi="楷体_GB2312" w:eastAsia="楷体_GB2312" w:cs="楷体_GB2312"/>
                <w:b w:val="0"/>
                <w:bCs w:val="0"/>
                <w:color w:val="000000" w:themeColor="text1"/>
                <w:sz w:val="24"/>
                <w14:textFill>
                  <w14:solidFill>
                    <w14:schemeClr w14:val="tx1"/>
                  </w14:solidFill>
                </w14:textFill>
              </w:rPr>
              <w:t>园区影视拍摄的配套设施建设，</w:t>
            </w:r>
            <w:r>
              <w:rPr>
                <w:rFonts w:hint="eastAsia" w:ascii="楷体_GB2312" w:hAnsi="楷体_GB2312" w:eastAsia="楷体_GB2312" w:cs="楷体_GB2312"/>
                <w:color w:val="000000" w:themeColor="text1"/>
                <w:sz w:val="24"/>
                <w14:textFill>
                  <w14:solidFill>
                    <w14:schemeClr w14:val="tx1"/>
                  </w14:solidFill>
                </w14:textFill>
              </w:rPr>
              <w:t>优化影视摄制环境及条件，全面强化园区影视产业拍摄制作功能，推动影视全产业链企业聚集，打造华南电影、演艺产业中心。</w:t>
            </w:r>
          </w:p>
          <w:p>
            <w:pPr>
              <w:pStyle w:val="2"/>
              <w:spacing w:line="560" w:lineRule="exact"/>
              <w:ind w:firstLine="482" w:firstLineChars="200"/>
              <w:rPr>
                <w:rFonts w:ascii="楷体_GB2312" w:hAnsi="楷体_GB2312" w:eastAsia="楷体_GB2312" w:cs="楷体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——碧桂园华南设计总部</w:t>
            </w:r>
          </w:p>
          <w:p>
            <w:pPr>
              <w:pStyle w:val="2"/>
              <w:spacing w:line="560" w:lineRule="exact"/>
              <w:ind w:firstLine="480" w:firstLineChars="200"/>
              <w:rPr>
                <w:rFonts w:ascii="楷体_GB2312" w:hAnsi="楷体_GB2312" w:eastAsia="楷体_GB2312" w:cs="楷体_GB2312"/>
                <w:b w:val="0"/>
                <w:bCs w:val="0"/>
                <w:color w:val="000000" w:themeColor="text1"/>
                <w:sz w:val="24"/>
                <w14:textFill>
                  <w14:solidFill>
                    <w14:schemeClr w14:val="tx1"/>
                  </w14:solidFill>
                </w14:textFill>
              </w:rPr>
            </w:pPr>
            <w:r>
              <w:rPr>
                <w:rFonts w:hint="eastAsia" w:ascii="楷体_GB2312" w:hAnsi="楷体_GB2312" w:eastAsia="楷体_GB2312" w:cs="楷体_GB2312"/>
                <w:b w:val="0"/>
                <w:bCs w:val="0"/>
                <w:color w:val="000000" w:themeColor="text1"/>
                <w:sz w:val="24"/>
                <w14:textFill>
                  <w14:solidFill>
                    <w14:schemeClr w14:val="tx1"/>
                  </w14:solidFill>
                </w14:textFill>
              </w:rPr>
              <w:t>全面引进湾区</w:t>
            </w:r>
            <w:r>
              <w:rPr>
                <w:rFonts w:hint="eastAsia" w:ascii="楷体_GB2312" w:hAnsi="楷体_GB2312" w:eastAsia="楷体_GB2312" w:cs="楷体_GB2312"/>
                <w:color w:val="000000" w:themeColor="text1"/>
                <w:sz w:val="24"/>
                <w14:textFill>
                  <w14:solidFill>
                    <w14:schemeClr w14:val="tx1"/>
                  </w14:solidFill>
                </w14:textFill>
              </w:rPr>
              <w:t>各类城市、建筑、室内、平面、服装等大型设计公司、规划院所入驻</w:t>
            </w:r>
            <w:r>
              <w:rPr>
                <w:rFonts w:hint="eastAsia" w:ascii="楷体_GB2312" w:hAnsi="楷体_GB2312" w:eastAsia="楷体_GB2312" w:cs="楷体_GB2312"/>
                <w:b w:val="0"/>
                <w:bCs w:val="0"/>
                <w:color w:val="000000" w:themeColor="text1"/>
                <w:sz w:val="24"/>
                <w14:textFill>
                  <w14:solidFill>
                    <w14:schemeClr w14:val="tx1"/>
                  </w14:solidFill>
                </w14:textFill>
              </w:rPr>
              <w:t>，</w:t>
            </w:r>
            <w:r>
              <w:rPr>
                <w:rFonts w:hint="eastAsia" w:ascii="楷体_GB2312" w:hAnsi="楷体_GB2312" w:eastAsia="楷体_GB2312" w:cs="楷体_GB2312"/>
                <w:color w:val="000000" w:themeColor="text1"/>
                <w:sz w:val="24"/>
                <w14:textFill>
                  <w14:solidFill>
                    <w14:schemeClr w14:val="tx1"/>
                  </w14:solidFill>
                </w14:textFill>
              </w:rPr>
              <w:t>发展</w:t>
            </w:r>
            <w:r>
              <w:rPr>
                <w:rFonts w:hint="eastAsia" w:ascii="楷体_GB2312" w:hAnsi="楷体_GB2312" w:eastAsia="楷体_GB2312" w:cs="楷体_GB2312"/>
                <w:b w:val="0"/>
                <w:bCs w:val="0"/>
                <w:color w:val="000000" w:themeColor="text1"/>
                <w:sz w:val="24"/>
                <w14:textFill>
                  <w14:solidFill>
                    <w14:schemeClr w14:val="tx1"/>
                  </w14:solidFill>
                </w14:textFill>
              </w:rPr>
              <w:t>和完善</w:t>
            </w:r>
            <w:r>
              <w:rPr>
                <w:rFonts w:hint="eastAsia" w:ascii="楷体_GB2312" w:hAnsi="楷体_GB2312" w:eastAsia="楷体_GB2312" w:cs="楷体_GB2312"/>
                <w:color w:val="000000" w:themeColor="text1"/>
                <w:sz w:val="24"/>
                <w14:textFill>
                  <w14:solidFill>
                    <w14:schemeClr w14:val="tx1"/>
                  </w14:solidFill>
                </w14:textFill>
              </w:rPr>
              <w:t>集办公、商业、酒店、配套住宅及休闲配套为一体的产业园区，打造增城现代化智能生态城市办公综合体。</w:t>
            </w:r>
          </w:p>
          <w:p>
            <w:pPr>
              <w:pStyle w:val="2"/>
              <w:spacing w:line="560" w:lineRule="exact"/>
              <w:ind w:firstLine="482" w:firstLineChars="200"/>
              <w:rPr>
                <w:rFonts w:ascii="楷体_GB2312" w:hAnsi="楷体_GB2312" w:eastAsia="楷体_GB2312" w:cs="楷体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w:t>
            </w:r>
            <w:r>
              <w:rPr>
                <w:rFonts w:hint="eastAsia" w:ascii="楷体_GB2312" w:hAnsi="楷体_GB2312" w:eastAsia="楷体_GB2312" w:cs="楷体_GB2312"/>
                <w:b/>
                <w:bCs/>
                <w:color w:val="000000" w:themeColor="text1"/>
                <w:sz w:val="24"/>
                <w:lang w:eastAsia="zh-CN"/>
                <w14:textFill>
                  <w14:solidFill>
                    <w14:schemeClr w14:val="tx1"/>
                  </w14:solidFill>
                </w14:textFill>
              </w:rPr>
              <w:t>增城</w:t>
            </w:r>
            <w:r>
              <w:rPr>
                <w:rFonts w:hint="eastAsia" w:ascii="楷体_GB2312" w:hAnsi="楷体_GB2312" w:eastAsia="楷体_GB2312" w:cs="楷体_GB2312"/>
                <w:b/>
                <w:bCs/>
                <w:color w:val="000000" w:themeColor="text1"/>
                <w:sz w:val="24"/>
                <w14:textFill>
                  <w14:solidFill>
                    <w14:schemeClr w14:val="tx1"/>
                  </w14:solidFill>
                </w14:textFill>
              </w:rPr>
              <w:t>万达广场</w:t>
            </w:r>
          </w:p>
          <w:p>
            <w:pPr>
              <w:pStyle w:val="2"/>
              <w:spacing w:line="560" w:lineRule="exact"/>
              <w:ind w:firstLine="480" w:firstLineChars="200"/>
              <w:rPr>
                <w:rFonts w:ascii="楷体_GB2312" w:hAnsi="楷体_GB2312" w:eastAsia="楷体_GB2312" w:cs="楷体_GB2312"/>
                <w:b w:val="0"/>
                <w:bCs w:val="0"/>
                <w:color w:val="000000" w:themeColor="text1"/>
                <w:sz w:val="24"/>
                <w14:textFill>
                  <w14:solidFill>
                    <w14:schemeClr w14:val="tx1"/>
                  </w14:solidFill>
                </w14:textFill>
              </w:rPr>
            </w:pPr>
            <w:r>
              <w:rPr>
                <w:rFonts w:hint="eastAsia" w:ascii="楷体_GB2312" w:hAnsi="楷体_GB2312" w:eastAsia="楷体_GB2312" w:cs="楷体_GB2312"/>
                <w:b w:val="0"/>
                <w:bCs w:val="0"/>
                <w:color w:val="000000" w:themeColor="text1"/>
                <w:sz w:val="24"/>
                <w14:textFill>
                  <w14:solidFill>
                    <w14:schemeClr w14:val="tx1"/>
                  </w14:solidFill>
                </w14:textFill>
              </w:rPr>
              <w:t>提升周边商圈配套服务，优化商圈结构及生活性服务业的水平，培育影视、文创、艺术、会展等服务业</w:t>
            </w:r>
            <w:r>
              <w:rPr>
                <w:rFonts w:hint="eastAsia" w:ascii="楷体_GB2312" w:hAnsi="楷体_GB2312" w:eastAsia="楷体_GB2312" w:cs="楷体_GB2312"/>
                <w:color w:val="000000" w:themeColor="text1"/>
                <w:sz w:val="24"/>
                <w14:textFill>
                  <w14:solidFill>
                    <w14:schemeClr w14:val="tx1"/>
                  </w14:solidFill>
                </w14:textFill>
              </w:rPr>
              <w:t>态</w:t>
            </w:r>
            <w:r>
              <w:rPr>
                <w:rFonts w:hint="eastAsia" w:ascii="楷体_GB2312" w:hAnsi="楷体_GB2312" w:eastAsia="楷体_GB2312" w:cs="楷体_GB2312"/>
                <w:b w:val="0"/>
                <w:bCs w:val="0"/>
                <w:color w:val="000000" w:themeColor="text1"/>
                <w:sz w:val="24"/>
                <w14:textFill>
                  <w14:solidFill>
                    <w14:schemeClr w14:val="tx1"/>
                  </w14:solidFill>
                </w14:textFill>
              </w:rPr>
              <w:t>，提升公共空间的利用与服务效能。</w:t>
            </w:r>
          </w:p>
          <w:p>
            <w:pPr>
              <w:pStyle w:val="2"/>
              <w:spacing w:line="560" w:lineRule="exact"/>
              <w:ind w:firstLine="482" w:firstLineChars="200"/>
              <w:rPr>
                <w:rFonts w:ascii="楷体_GB2312" w:hAnsi="楷体_GB2312" w:eastAsia="楷体_GB2312" w:cs="楷体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——东汇城、合汇广场</w:t>
            </w:r>
          </w:p>
          <w:p>
            <w:pPr>
              <w:pStyle w:val="2"/>
              <w:spacing w:line="560" w:lineRule="exact"/>
              <w:ind w:firstLine="480" w:firstLineChars="200"/>
              <w:rPr>
                <w:rFonts w:asciiTheme="minorHAnsi" w:hAnsiTheme="minorHAnsi" w:eastAsiaTheme="minorEastAsia"/>
                <w:color w:val="000000" w:themeColor="text1"/>
                <w14:textFill>
                  <w14:solidFill>
                    <w14:schemeClr w14:val="tx1"/>
                  </w14:solidFill>
                </w14:textFill>
              </w:rPr>
            </w:pPr>
            <w:r>
              <w:rPr>
                <w:rFonts w:hint="eastAsia" w:ascii="楷体_GB2312" w:hAnsi="楷体_GB2312" w:eastAsia="楷体_GB2312" w:cs="楷体_GB2312"/>
                <w:b w:val="0"/>
                <w:bCs w:val="0"/>
                <w:color w:val="000000" w:themeColor="text1"/>
                <w:sz w:val="24"/>
                <w14:textFill>
                  <w14:solidFill>
                    <w14:schemeClr w14:val="tx1"/>
                  </w14:solidFill>
                </w14:textFill>
              </w:rPr>
              <w:t>完善东汇城、合汇广场周边文化业态，优化商圈经济布局，依托增城区图书馆、</w:t>
            </w:r>
            <w:r>
              <w:rPr>
                <w:rFonts w:hint="eastAsia" w:ascii="楷体_GB2312" w:hAnsi="楷体_GB2312" w:eastAsia="楷体_GB2312" w:cs="楷体_GB2312"/>
                <w:color w:val="000000" w:themeColor="text1"/>
                <w:sz w:val="24"/>
                <w14:textFill>
                  <w14:solidFill>
                    <w14:schemeClr w14:val="tx1"/>
                  </w14:solidFill>
                </w14:textFill>
              </w:rPr>
              <w:t>增城区城市馆、</w:t>
            </w:r>
            <w:r>
              <w:rPr>
                <w:rFonts w:hint="eastAsia" w:ascii="楷体_GB2312" w:hAnsi="楷体_GB2312" w:eastAsia="楷体_GB2312" w:cs="楷体_GB2312"/>
                <w:b w:val="0"/>
                <w:bCs w:val="0"/>
                <w:color w:val="000000" w:themeColor="text1"/>
                <w:sz w:val="24"/>
                <w14:textFill>
                  <w14:solidFill>
                    <w14:schemeClr w14:val="tx1"/>
                  </w14:solidFill>
                </w14:textFill>
              </w:rPr>
              <w:t>增城广场等公共文化体育服务设施，配套引进文化、体育产业链企业，</w:t>
            </w:r>
            <w:r>
              <w:rPr>
                <w:rFonts w:hint="eastAsia" w:ascii="楷体_GB2312" w:hAnsi="楷体_GB2312" w:eastAsia="楷体_GB2312" w:cs="楷体_GB2312"/>
                <w:color w:val="000000" w:themeColor="text1"/>
                <w:sz w:val="24"/>
                <w14:textFill>
                  <w14:solidFill>
                    <w14:schemeClr w14:val="tx1"/>
                  </w14:solidFill>
                </w14:textFill>
              </w:rPr>
              <w:t>构建文化、体育消费空间，</w:t>
            </w:r>
            <w:r>
              <w:rPr>
                <w:rFonts w:hint="eastAsia" w:ascii="楷体_GB2312" w:hAnsi="楷体_GB2312" w:eastAsia="楷体_GB2312" w:cs="楷体_GB2312"/>
                <w:b w:val="0"/>
                <w:bCs w:val="0"/>
                <w:color w:val="000000" w:themeColor="text1"/>
                <w:sz w:val="24"/>
                <w14:textFill>
                  <w14:solidFill>
                    <w14:schemeClr w14:val="tx1"/>
                  </w14:solidFill>
                </w14:textFill>
              </w:rPr>
              <w:t>提升商圈整体的服务水平及质量。</w:t>
            </w:r>
          </w:p>
        </w:tc>
      </w:tr>
    </w:tbl>
    <w:p>
      <w:pPr>
        <w:spacing w:line="560" w:lineRule="exact"/>
        <w:ind w:firstLine="643" w:firstLineChars="200"/>
        <w:outlineLvl w:val="1"/>
        <w:rPr>
          <w:rFonts w:ascii="楷体_GB2312" w:hAnsi="楷体_GB2312" w:eastAsia="楷体_GB2312" w:cs="楷体_GB2312"/>
          <w:b/>
          <w:bCs/>
          <w:color w:val="000000" w:themeColor="text1"/>
          <w:sz w:val="32"/>
          <w:szCs w:val="32"/>
          <w14:textFill>
            <w14:solidFill>
              <w14:schemeClr w14:val="tx1"/>
            </w14:solidFill>
          </w14:textFill>
        </w:rPr>
      </w:pPr>
      <w:bookmarkStart w:id="51" w:name="_Toc838"/>
      <w:r>
        <w:rPr>
          <w:rFonts w:hint="eastAsia" w:ascii="楷体_GB2312" w:hAnsi="楷体_GB2312" w:eastAsia="楷体_GB2312" w:cs="楷体_GB2312"/>
          <w:b/>
          <w:bCs/>
          <w:color w:val="000000" w:themeColor="text1"/>
          <w:sz w:val="32"/>
          <w:szCs w:val="32"/>
          <w14:textFill>
            <w14:solidFill>
              <w14:schemeClr w14:val="tx1"/>
            </w14:solidFill>
          </w14:textFill>
        </w:rPr>
        <w:t>（二）“三带”联动</w:t>
      </w:r>
      <w:bookmarkEnd w:id="51"/>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沿江服务提升带。</w:t>
      </w:r>
      <w:r>
        <w:rPr>
          <w:rFonts w:hint="eastAsia" w:ascii="Times New Roman" w:hAnsi="Times New Roman" w:eastAsia="仿宋_GB2312"/>
          <w:color w:val="000000" w:themeColor="text1"/>
          <w:sz w:val="32"/>
          <w:szCs w:val="32"/>
          <w14:textFill>
            <w14:solidFill>
              <w14:schemeClr w14:val="tx1"/>
            </w14:solidFill>
          </w14:textFill>
        </w:rPr>
        <w:t>以增江为带动，连接北部生态区、中部城乡融合发展示范片区区以及南部综合经济发展区，依托增江画廊、增江碧道建设推动沿江文旅休闲服务产业水平与“一江两岸”城市风貌的提升。</w:t>
      </w:r>
    </w:p>
    <w:p>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地铁沿线服务带。</w:t>
      </w:r>
      <w:r>
        <w:rPr>
          <w:rFonts w:hint="eastAsia" w:ascii="Times New Roman" w:hAnsi="Times New Roman" w:eastAsia="仿宋_GB2312"/>
          <w:color w:val="000000" w:themeColor="text1"/>
          <w:sz w:val="32"/>
          <w:szCs w:val="32"/>
          <w14:textFill>
            <w14:solidFill>
              <w14:schemeClr w14:val="tx1"/>
            </w14:solidFill>
          </w14:textFill>
        </w:rPr>
        <w:t>全面发挥地铁21号线的经济带动作用，推动沿线中新、朱村、荔城等地服务业态的完善，重点建设一批国际化、高水平、有规格、上档次的医疗健康服务产业；充分对接广深港澳科技走廊建设，联动科教新城建设推动科创服务企业聚集，形成科技优势凸显的服务产业带</w:t>
      </w:r>
      <w:r>
        <w:rPr>
          <w:rFonts w:hint="eastAsia" w:ascii="Times New Roman" w:hAnsi="Times New Roman" w:eastAsia="仿宋_GB2312"/>
          <w:b/>
          <w:bCs/>
          <w:color w:val="000000" w:themeColor="text1"/>
          <w:sz w:val="32"/>
          <w:szCs w:val="32"/>
          <w14:textFill>
            <w14:solidFill>
              <w14:schemeClr w14:val="tx1"/>
            </w14:solidFill>
          </w14:textFill>
        </w:rPr>
        <w:t>。</w:t>
      </w:r>
    </w:p>
    <w:p>
      <w:pPr>
        <w:spacing w:line="560" w:lineRule="exact"/>
        <w:ind w:firstLine="643"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荔新公路衔接带</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以广园快速-荔新公路为轴，加强荔湖城乡融合发展示范片区与增城国家经济开发区之间的产业互动与互补，强化“双区驱动”效应，提升沿线及周边生产、生活性服务业水平，依托珠江钢琴国家文化产业示范基地、仙荔文化创意产业园</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先进奉农业产业园等</w:t>
      </w:r>
      <w:r>
        <w:rPr>
          <w:rFonts w:hint="eastAsia" w:ascii="Times New Roman" w:hAnsi="Times New Roman" w:eastAsia="仿宋_GB2312"/>
          <w:color w:val="000000" w:themeColor="text1"/>
          <w:sz w:val="32"/>
          <w:szCs w:val="32"/>
          <w14:textFill>
            <w14:solidFill>
              <w14:schemeClr w14:val="tx1"/>
            </w14:solidFill>
          </w14:textFill>
        </w:rPr>
        <w:t>建设打造特色工商</w:t>
      </w:r>
      <w:r>
        <w:rPr>
          <w:rFonts w:hint="eastAsia" w:ascii="Times New Roman" w:hAnsi="Times New Roman" w:eastAsia="仿宋_GB2312"/>
          <w:color w:val="000000" w:themeColor="text1"/>
          <w:sz w:val="32"/>
          <w:szCs w:val="32"/>
          <w:lang w:val="en-US" w:eastAsia="zh-CN"/>
          <w14:textFill>
            <w14:solidFill>
              <w14:schemeClr w14:val="tx1"/>
            </w14:solidFill>
          </w14:textFill>
        </w:rPr>
        <w:t>农</w:t>
      </w:r>
      <w:r>
        <w:rPr>
          <w:rFonts w:hint="eastAsia" w:ascii="Times New Roman" w:hAnsi="Times New Roman" w:eastAsia="仿宋_GB2312"/>
          <w:color w:val="000000" w:themeColor="text1"/>
          <w:sz w:val="32"/>
          <w:szCs w:val="32"/>
          <w14:textFill>
            <w14:solidFill>
              <w14:schemeClr w14:val="tx1"/>
            </w14:solidFill>
          </w14:textFill>
        </w:rPr>
        <w:t>旅融合产业带</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依托增城南站的建设，布局</w:t>
      </w:r>
      <w:r>
        <w:rPr>
          <w:rFonts w:hint="eastAsia" w:ascii="Times New Roman" w:hAnsi="Times New Roman" w:eastAsia="仿宋_GB2312"/>
          <w:color w:val="000000" w:themeColor="text1"/>
          <w:sz w:val="32"/>
          <w:szCs w:val="32"/>
          <w14:textFill>
            <w14:solidFill>
              <w14:schemeClr w14:val="tx1"/>
            </w14:solidFill>
          </w14:textFill>
        </w:rPr>
        <w:t>培育发展商务商贸、酒店会展、现代物流、电子商务、信息服务、科技服务等现代服务业产业集群</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推动先进制造业与现代服务业加速融合。</w:t>
      </w:r>
    </w:p>
    <w:p>
      <w:pPr>
        <w:spacing w:line="560" w:lineRule="exact"/>
        <w:ind w:firstLine="643" w:firstLineChars="200"/>
        <w:outlineLvl w:val="1"/>
        <w:rPr>
          <w:rFonts w:ascii="楷体_GB2312" w:hAnsi="楷体_GB2312" w:eastAsia="楷体_GB2312" w:cs="楷体_GB2312"/>
          <w:b/>
          <w:bCs/>
          <w:color w:val="000000" w:themeColor="text1"/>
          <w:sz w:val="32"/>
          <w:szCs w:val="32"/>
          <w14:textFill>
            <w14:solidFill>
              <w14:schemeClr w14:val="tx1"/>
            </w14:solidFill>
          </w14:textFill>
        </w:rPr>
      </w:pPr>
      <w:bookmarkStart w:id="52" w:name="_Toc10950"/>
      <w:r>
        <w:rPr>
          <w:rFonts w:hint="eastAsia" w:ascii="楷体_GB2312" w:hAnsi="楷体_GB2312" w:eastAsia="楷体_GB2312" w:cs="楷体_GB2312"/>
          <w:b/>
          <w:bCs/>
          <w:color w:val="000000" w:themeColor="text1"/>
          <w:sz w:val="32"/>
          <w:szCs w:val="32"/>
          <w14:textFill>
            <w14:solidFill>
              <w14:schemeClr w14:val="tx1"/>
            </w14:solidFill>
          </w14:textFill>
        </w:rPr>
        <w:t>（三）“三组团”支撑发展</w:t>
      </w:r>
      <w:bookmarkEnd w:id="52"/>
    </w:p>
    <w:p>
      <w:pPr>
        <w:spacing w:line="560" w:lineRule="exact"/>
        <w:ind w:firstLine="643"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北部生态旅游组团。</w:t>
      </w:r>
      <w:r>
        <w:rPr>
          <w:rFonts w:hint="eastAsia" w:ascii="Times New Roman" w:hAnsi="Times New Roman" w:eastAsia="仿宋_GB2312"/>
          <w:color w:val="000000" w:themeColor="text1"/>
          <w:sz w:val="32"/>
          <w:szCs w:val="32"/>
          <w14:textFill>
            <w14:solidFill>
              <w14:schemeClr w14:val="tx1"/>
            </w14:solidFill>
          </w14:textFill>
        </w:rPr>
        <w:t>充分发挥利用北部山水人文资源优势，以温泉酒店、精品民宿、美丽乡村等重点项目为载体支撑，全面提升白水寨片区旅游品质，推动派潭、正果、小楼等地区引进特色旅游项目，凸显特色文化资源价值，深化全域旅游建设水平。依托优质生态资源，发展“旅游+高端疗养”、“旅游+高端医美”等“医康养护”融合的新模式，推动康养旅游的发展，为大湾区城市群提供以康养休闲为重点的高品质生态产品、生态服务，高标准建设北部生态旅游示范区。</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Times New Roman" w:hAnsi="Times New Roman" w:eastAsia="黑体" w:cs="黑体"/>
                <w:color w:val="000000" w:themeColor="text1"/>
                <w:sz w:val="28"/>
                <w:szCs w:val="28"/>
                <w14:textFill>
                  <w14:solidFill>
                    <w14:schemeClr w14:val="tx1"/>
                  </w14:solidFill>
                </w14:textFill>
              </w:rPr>
            </w:pPr>
            <w:r>
              <w:rPr>
                <w:rFonts w:hint="eastAsia" w:ascii="Times New Roman" w:hAnsi="Times New Roman" w:eastAsia="黑体" w:cs="黑体"/>
                <w:color w:val="000000" w:themeColor="text1"/>
                <w:sz w:val="28"/>
                <w:szCs w:val="28"/>
                <w14:textFill>
                  <w14:solidFill>
                    <w14:schemeClr w14:val="tx1"/>
                  </w14:solidFill>
                </w14:textFill>
              </w:rPr>
              <w:t>专栏</w:t>
            </w:r>
            <w:r>
              <w:rPr>
                <w:rFonts w:hint="eastAsia" w:ascii="Times New Roman" w:hAnsi="Times New Roman" w:eastAsia="黑体" w:cs="黑体"/>
                <w:color w:val="000000" w:themeColor="text1"/>
                <w:sz w:val="28"/>
                <w:szCs w:val="28"/>
                <w:lang w:val="en-US" w:eastAsia="zh-CN"/>
                <w14:textFill>
                  <w14:solidFill>
                    <w14:schemeClr w14:val="tx1"/>
                  </w14:solidFill>
                </w14:textFill>
              </w:rPr>
              <w:t>3</w:t>
            </w:r>
            <w:r>
              <w:rPr>
                <w:rFonts w:hint="eastAsia" w:ascii="Times New Roman" w:hAnsi="Times New Roman" w:eastAsia="黑体" w:cs="黑体"/>
                <w:color w:val="000000" w:themeColor="text1"/>
                <w:sz w:val="28"/>
                <w:szCs w:val="28"/>
                <w14:textFill>
                  <w14:solidFill>
                    <w14:schemeClr w14:val="tx1"/>
                  </w14:solidFill>
                </w14:textFill>
              </w:rPr>
              <w:t>北部生态旅游组团产业载体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line="560" w:lineRule="exact"/>
              <w:ind w:firstLine="482" w:firstLineChars="200"/>
              <w:rPr>
                <w:rFonts w:ascii="楷体_GB2312" w:hAnsi="楷体_GB2312" w:eastAsia="楷体_GB2312" w:cs="楷体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——华侨城中国（广州）白水寨创意山水文旅小镇</w:t>
            </w:r>
          </w:p>
          <w:p>
            <w:pPr>
              <w:pStyle w:val="2"/>
              <w:spacing w:line="560" w:lineRule="exact"/>
              <w:ind w:firstLine="480" w:firstLineChars="200"/>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依托广州华侨城文旅小镇有限公司，对白水寨景区进行升级改造，全力将白水仙瀑景区成功创建为国家5A级景区或国家级旅游度假区。</w:t>
            </w:r>
          </w:p>
          <w:p>
            <w:pPr>
              <w:pStyle w:val="2"/>
              <w:spacing w:line="560" w:lineRule="exact"/>
              <w:ind w:firstLine="482" w:firstLineChars="200"/>
              <w:rPr>
                <w:rFonts w:ascii="楷体_GB2312" w:hAnsi="楷体_GB2312" w:eastAsia="楷体_GB2312" w:cs="楷体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——白水寨森林海旅游度假区</w:t>
            </w:r>
          </w:p>
          <w:p>
            <w:pPr>
              <w:pStyle w:val="2"/>
              <w:spacing w:line="560" w:lineRule="exact"/>
              <w:ind w:firstLine="480" w:firstLineChars="200"/>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加快项目主题乐园、房车营地的建设，提供游客度假、休闲、游乐、文旅、户外拓展、健康运动等多元化体验与服务，打造户外运动与生态度假胜地。</w:t>
            </w:r>
          </w:p>
          <w:p>
            <w:pPr>
              <w:pStyle w:val="2"/>
              <w:spacing w:line="560" w:lineRule="exact"/>
              <w:ind w:firstLine="482" w:firstLineChars="200"/>
              <w:rPr>
                <w:rFonts w:ascii="楷体_GB2312" w:hAnsi="楷体_GB2312" w:eastAsia="楷体_GB2312" w:cs="楷体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——派潭生命健康小镇</w:t>
            </w:r>
          </w:p>
          <w:p>
            <w:pPr>
              <w:pStyle w:val="2"/>
              <w:spacing w:line="560" w:lineRule="exact"/>
              <w:ind w:firstLine="480" w:firstLineChars="200"/>
              <w:rPr>
                <w:rFonts w:asciiTheme="minorHAnsi" w:hAnsiTheme="minorHAnsi" w:eastAsiaTheme="minorEastAsia"/>
                <w:color w:val="000000" w:themeColor="text1"/>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推动森林海水上乐园项目、森林海旅游休闲项目完善配套旅游内容建设，推进锦绣香江温泉酒店三期、南昆山金福酒店、合汇巴塞罗酒店、广州金叶子酒店三期等养生项目的持续建设，提升五星级温泉疗养酒店群旅游服务水平，以4A级白水仙瀑景区升级改造为带动全力打造生态健康疗养产业体系。</w:t>
            </w:r>
          </w:p>
        </w:tc>
      </w:tr>
    </w:tbl>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中部科创健康组团。</w:t>
      </w:r>
      <w:r>
        <w:rPr>
          <w:rFonts w:hint="eastAsia" w:ascii="Times New Roman" w:hAnsi="Times New Roman" w:eastAsia="仿宋_GB2312"/>
          <w:b w:val="0"/>
          <w:bCs w:val="0"/>
          <w:color w:val="000000" w:themeColor="text1"/>
          <w:sz w:val="32"/>
          <w:szCs w:val="32"/>
          <w14:textFill>
            <w14:solidFill>
              <w14:schemeClr w14:val="tx1"/>
            </w14:solidFill>
          </w14:textFill>
        </w:rPr>
        <w:t>紧密对接中新知识城国家战略，</w:t>
      </w:r>
      <w:r>
        <w:rPr>
          <w:rFonts w:hint="eastAsia" w:ascii="Times New Roman" w:hAnsi="Times New Roman" w:eastAsia="仿宋_GB2312"/>
          <w:color w:val="000000" w:themeColor="text1"/>
          <w:sz w:val="32"/>
          <w:szCs w:val="32"/>
          <w14:textFill>
            <w14:solidFill>
              <w14:schemeClr w14:val="tx1"/>
            </w14:solidFill>
          </w14:textFill>
        </w:rPr>
        <w:t>以</w:t>
      </w:r>
      <w:r>
        <w:rPr>
          <w:rFonts w:hint="eastAsia" w:ascii="Times New Roman" w:hAnsi="Times New Roman" w:eastAsia="仿宋_GB2312"/>
          <w:color w:val="000000" w:themeColor="text1"/>
          <w:sz w:val="32"/>
          <w:szCs w:val="32"/>
          <w:lang w:val="en-US" w:eastAsia="zh-CN"/>
          <w14:textFill>
            <w14:solidFill>
              <w14:schemeClr w14:val="tx1"/>
            </w14:solidFill>
          </w14:textFill>
        </w:rPr>
        <w:t>粤港澳大</w:t>
      </w:r>
      <w:r>
        <w:rPr>
          <w:rFonts w:hint="eastAsia" w:ascii="Times New Roman" w:hAnsi="Times New Roman" w:eastAsia="仿宋_GB2312"/>
          <w:color w:val="000000" w:themeColor="text1"/>
          <w:sz w:val="32"/>
          <w:szCs w:val="32"/>
          <w14:textFill>
            <w14:solidFill>
              <w14:schemeClr w14:val="tx1"/>
            </w14:solidFill>
          </w14:textFill>
        </w:rPr>
        <w:t>湾区科教新区建设为</w:t>
      </w:r>
      <w:r>
        <w:rPr>
          <w:rFonts w:hint="eastAsia" w:ascii="Times New Roman" w:hAnsi="Times New Roman" w:eastAsia="仿宋_GB2312"/>
          <w:color w:val="000000" w:themeColor="text1"/>
          <w:sz w:val="32"/>
          <w:szCs w:val="32"/>
          <w:lang w:val="en-US" w:eastAsia="zh-CN"/>
          <w14:textFill>
            <w14:solidFill>
              <w14:schemeClr w14:val="tx1"/>
            </w14:solidFill>
          </w14:textFill>
        </w:rPr>
        <w:t>关键</w:t>
      </w:r>
      <w:r>
        <w:rPr>
          <w:rFonts w:hint="eastAsia" w:ascii="Times New Roman" w:hAnsi="Times New Roman" w:eastAsia="仿宋_GB2312"/>
          <w:color w:val="000000" w:themeColor="text1"/>
          <w:sz w:val="32"/>
          <w:szCs w:val="32"/>
          <w14:textFill>
            <w14:solidFill>
              <w14:schemeClr w14:val="tx1"/>
            </w14:solidFill>
          </w14:textFill>
        </w:rPr>
        <w:t>支点，整合中新科技园、广州东部公铁联运枢纽等组团，重点发展教育培训、科技研发、信创产业，推动科学技术与产业融合发展，推动工信部电子五所、</w:t>
      </w:r>
      <w:r>
        <w:rPr>
          <w:rFonts w:hint="eastAsia" w:ascii="Times New Roman" w:hAnsi="Times New Roman" w:eastAsia="仿宋_GB2312"/>
          <w:color w:val="000000" w:themeColor="text1"/>
          <w:sz w:val="32"/>
          <w:szCs w:val="32"/>
          <w:lang w:eastAsia="zh-CN"/>
          <w14:textFill>
            <w14:solidFill>
              <w14:schemeClr w14:val="tx1"/>
            </w14:solidFill>
          </w14:textFill>
        </w:rPr>
        <w:t>富士康科技产业园</w:t>
      </w:r>
      <w:r>
        <w:rPr>
          <w:rFonts w:hint="eastAsia" w:ascii="Times New Roman" w:hAnsi="Times New Roman" w:eastAsia="仿宋_GB2312"/>
          <w:color w:val="000000" w:themeColor="text1"/>
          <w:sz w:val="32"/>
          <w:szCs w:val="32"/>
          <w14:textFill>
            <w14:solidFill>
              <w14:schemeClr w14:val="tx1"/>
            </w14:solidFill>
          </w14:textFill>
        </w:rPr>
        <w:t>发展知识密集型服务业，建设大湾区创新型产教融合新城；积极吸引高端医疗资源向21号线沿线健康服务产业带集聚，加快和完善龙城国际康复医疗中心、广州妇女儿童医疗中心（增城院区）等高端医疗载体建设。引进国际国内优质专科医疗资源，加快培育中医诊疗、特定专科医疗、精准医疗、专业康复等领域优势，支持办医多元化，引进社会各类优质医疗资源项目，扩大医疗服务半径，打造生产生活生态示范区</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推动形成</w:t>
      </w:r>
      <w:r>
        <w:rPr>
          <w:rFonts w:hint="eastAsia" w:ascii="Times New Roman" w:hAnsi="Times New Roman" w:eastAsia="仿宋_GB2312"/>
          <w:color w:val="000000" w:themeColor="text1"/>
          <w:sz w:val="32"/>
          <w:szCs w:val="32"/>
          <w14:textFill>
            <w14:solidFill>
              <w14:schemeClr w14:val="tx1"/>
            </w14:solidFill>
          </w14:textFill>
        </w:rPr>
        <w:t>大湾区创新型产教融合新城</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打造增城中西部崛起增长极。</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
              <w:spacing w:line="560" w:lineRule="exact"/>
              <w:jc w:val="center"/>
              <w:rPr>
                <w:rFonts w:ascii="Times New Roman" w:hAnsi="Times New Roman" w:eastAsia="仿宋_GB2312" w:cs="仿宋_GB2312"/>
                <w:color w:val="000000" w:themeColor="text1"/>
                <w:sz w:val="32"/>
                <w:szCs w:val="36"/>
                <w14:textFill>
                  <w14:solidFill>
                    <w14:schemeClr w14:val="tx1"/>
                  </w14:solidFill>
                </w14:textFill>
              </w:rPr>
            </w:pPr>
            <w:r>
              <w:rPr>
                <w:rFonts w:hint="eastAsia" w:ascii="Times New Roman" w:hAnsi="Times New Roman" w:cs="黑体"/>
                <w:color w:val="000000" w:themeColor="text1"/>
                <w:sz w:val="28"/>
                <w:szCs w:val="28"/>
                <w14:textFill>
                  <w14:solidFill>
                    <w14:schemeClr w14:val="tx1"/>
                  </w14:solidFill>
                </w14:textFill>
              </w:rPr>
              <w:t>专栏</w:t>
            </w:r>
            <w:r>
              <w:rPr>
                <w:rFonts w:hint="eastAsia" w:ascii="Times New Roman" w:hAnsi="Times New Roman" w:cs="黑体"/>
                <w:color w:val="000000" w:themeColor="text1"/>
                <w:sz w:val="28"/>
                <w:szCs w:val="28"/>
                <w:lang w:val="en-US" w:eastAsia="zh-CN"/>
                <w14:textFill>
                  <w14:solidFill>
                    <w14:schemeClr w14:val="tx1"/>
                  </w14:solidFill>
                </w14:textFill>
              </w:rPr>
              <w:t>4</w:t>
            </w:r>
            <w:r>
              <w:rPr>
                <w:rFonts w:hint="eastAsia" w:ascii="Times New Roman" w:hAnsi="Times New Roman" w:cs="黑体"/>
                <w:color w:val="000000" w:themeColor="text1"/>
                <w:sz w:val="28"/>
                <w:szCs w:val="28"/>
                <w14:textFill>
                  <w14:solidFill>
                    <w14:schemeClr w14:val="tx1"/>
                  </w14:solidFill>
                </w14:textFill>
              </w:rPr>
              <w:t xml:space="preserve"> </w:t>
            </w:r>
            <w:r>
              <w:rPr>
                <w:rFonts w:hint="eastAsia" w:ascii="Times New Roman" w:hAnsi="Times New Roman" w:cs="黑体"/>
                <w:b/>
                <w:bCs/>
                <w:color w:val="000000" w:themeColor="text1"/>
                <w:sz w:val="28"/>
                <w:szCs w:val="28"/>
                <w14:textFill>
                  <w14:solidFill>
                    <w14:schemeClr w14:val="tx1"/>
                  </w14:solidFill>
                </w14:textFill>
              </w:rPr>
              <w:t>中部科创健康组团产业载体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482"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w:t>
            </w:r>
            <w:r>
              <w:rPr>
                <w:rFonts w:hint="eastAsia" w:ascii="Times New Roman" w:hAnsi="Times New Roman" w:eastAsia="楷体_GB2312" w:cs="楷体_GB2312"/>
                <w:b/>
                <w:bCs/>
                <w:color w:val="000000" w:themeColor="text1"/>
                <w:sz w:val="24"/>
                <w14:textFill>
                  <w14:solidFill>
                    <w14:schemeClr w14:val="tx1"/>
                  </w14:solidFill>
                </w14:textFill>
              </w:rPr>
              <w:t>中新</w:t>
            </w:r>
            <w:r>
              <w:rPr>
                <w:rFonts w:hint="eastAsia" w:ascii="Times New Roman" w:hAnsi="Times New Roman" w:eastAsia="楷体_GB2312" w:cs="楷体_GB2312"/>
                <w:b/>
                <w:bCs/>
                <w:color w:val="000000" w:themeColor="text1"/>
                <w:sz w:val="24"/>
                <w:szCs w:val="24"/>
                <w14:textFill>
                  <w14:solidFill>
                    <w14:schemeClr w14:val="tx1"/>
                  </w14:solidFill>
                </w14:textFill>
              </w:rPr>
              <w:t>科技园</w:t>
            </w:r>
          </w:p>
          <w:p>
            <w:pPr>
              <w:spacing w:line="560" w:lineRule="exact"/>
              <w:ind w:firstLine="480" w:firstLineChars="200"/>
              <w:rPr>
                <w:rFonts w:ascii="Times New Roman" w:hAnsi="Times New Roman" w:eastAsia="楷体_GB2312" w:cs="楷体_GB2312"/>
                <w:color w:val="000000" w:themeColor="text1"/>
                <w:sz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推进科教新城科技园板块加速创建，布局信创等高技术价值产业，充分发挥科教新城周边高校及人才资源价值，推动产学研实现创新发展。</w:t>
            </w:r>
          </w:p>
          <w:p>
            <w:pPr>
              <w:pStyle w:val="2"/>
              <w:spacing w:line="560" w:lineRule="exact"/>
              <w:ind w:firstLine="482" w:firstLineChars="200"/>
              <w:rPr>
                <w:rFonts w:ascii="Times New Roman" w:hAnsi="Times New Roman" w:eastAsia="楷体_GB2312" w:cs="楷体_GB2312"/>
                <w:b/>
                <w:bCs/>
                <w:color w:val="000000" w:themeColor="text1"/>
                <w:sz w:val="24"/>
                <w14:textFill>
                  <w14:solidFill>
                    <w14:schemeClr w14:val="tx1"/>
                  </w14:solidFill>
                </w14:textFill>
              </w:rPr>
            </w:pPr>
            <w:r>
              <w:rPr>
                <w:rFonts w:hint="eastAsia" w:ascii="Times New Roman" w:hAnsi="Times New Roman" w:eastAsia="楷体_GB2312" w:cs="楷体_GB2312"/>
                <w:b/>
                <w:bCs/>
                <w:color w:val="000000" w:themeColor="text1"/>
                <w:sz w:val="24"/>
                <w14:textFill>
                  <w14:solidFill>
                    <w14:schemeClr w14:val="tx1"/>
                  </w14:solidFill>
                </w14:textFill>
              </w:rPr>
              <w:t>——广州国际物流产业枢纽（广州东部公铁联运枢纽）</w:t>
            </w:r>
          </w:p>
          <w:p>
            <w:pPr>
              <w:pStyle w:val="2"/>
              <w:spacing w:line="560" w:lineRule="exact"/>
              <w:ind w:firstLine="480" w:firstLineChars="200"/>
              <w:rPr>
                <w:rFonts w:ascii="Times New Roman" w:hAnsi="Times New Roman" w:eastAsia="楷体_GB2312" w:cs="楷体_GB2312"/>
                <w:color w:val="000000" w:themeColor="text1"/>
                <w:sz w:val="24"/>
                <w14:textFill>
                  <w14:solidFill>
                    <w14:schemeClr w14:val="tx1"/>
                  </w14:solidFill>
                </w14:textFill>
              </w:rPr>
            </w:pPr>
            <w:r>
              <w:rPr>
                <w:rFonts w:hint="eastAsia" w:ascii="Times New Roman" w:hAnsi="Times New Roman" w:eastAsia="楷体_GB2312" w:cs="楷体_GB2312"/>
                <w:color w:val="000000" w:themeColor="text1"/>
                <w:sz w:val="24"/>
                <w14:textFill>
                  <w14:solidFill>
                    <w14:schemeClr w14:val="tx1"/>
                  </w14:solidFill>
                </w14:textFill>
              </w:rPr>
              <w:t>依托增城西站，大力引进智能制造、生物医药、生鲜食品和物流产业，打造“通道</w:t>
            </w:r>
            <w:r>
              <w:rPr>
                <w:rFonts w:ascii="Times New Roman" w:hAnsi="Times New Roman" w:eastAsia="楷体_GB2312" w:cs="楷体_GB2312"/>
                <w:color w:val="000000" w:themeColor="text1"/>
                <w:sz w:val="24"/>
                <w14:textFill>
                  <w14:solidFill>
                    <w14:schemeClr w14:val="tx1"/>
                  </w14:solidFill>
                </w14:textFill>
              </w:rPr>
              <w:t>+</w:t>
            </w:r>
            <w:r>
              <w:rPr>
                <w:rFonts w:hint="eastAsia" w:ascii="Times New Roman" w:hAnsi="Times New Roman" w:eastAsia="楷体_GB2312" w:cs="楷体_GB2312"/>
                <w:color w:val="000000" w:themeColor="text1"/>
                <w:sz w:val="24"/>
                <w14:textFill>
                  <w14:solidFill>
                    <w14:schemeClr w14:val="tx1"/>
                  </w14:solidFill>
                </w14:textFill>
              </w:rPr>
              <w:t>枢纽</w:t>
            </w:r>
            <w:r>
              <w:rPr>
                <w:rFonts w:ascii="Times New Roman" w:hAnsi="Times New Roman" w:eastAsia="楷体_GB2312" w:cs="楷体_GB2312"/>
                <w:color w:val="000000" w:themeColor="text1"/>
                <w:sz w:val="24"/>
                <w14:textFill>
                  <w14:solidFill>
                    <w14:schemeClr w14:val="tx1"/>
                  </w14:solidFill>
                </w14:textFill>
              </w:rPr>
              <w:t>+</w:t>
            </w:r>
            <w:r>
              <w:rPr>
                <w:rFonts w:hint="eastAsia" w:ascii="Times New Roman" w:hAnsi="Times New Roman" w:eastAsia="楷体_GB2312" w:cs="楷体_GB2312"/>
                <w:color w:val="000000" w:themeColor="text1"/>
                <w:sz w:val="24"/>
                <w14:textFill>
                  <w14:solidFill>
                    <w14:schemeClr w14:val="tx1"/>
                  </w14:solidFill>
                </w14:textFill>
              </w:rPr>
              <w:t>产业”的国家级生产服务型物流产业枢纽示范区、粤港澳大湾区战略性核心物流支点、枢纽经济培育引领区、科技创新和先进生产制造业供应链组织中心，面向珠三角、服务粤港澳、辐射大华南。</w:t>
            </w:r>
          </w:p>
          <w:p>
            <w:pPr>
              <w:spacing w:line="560" w:lineRule="exact"/>
              <w:ind w:firstLine="482" w:firstLineChars="200"/>
              <w:rPr>
                <w:rFonts w:ascii="Times New Roman" w:hAnsi="Times New Roman" w:eastAsia="楷体_GB2312" w:cs="楷体_GB2312"/>
                <w:b/>
                <w:bCs/>
                <w:color w:val="000000" w:themeColor="text1"/>
                <w:sz w:val="24"/>
                <w14:textFill>
                  <w14:solidFill>
                    <w14:schemeClr w14:val="tx1"/>
                  </w14:solidFill>
                </w14:textFill>
              </w:rPr>
            </w:pPr>
            <w:r>
              <w:rPr>
                <w:rFonts w:hint="eastAsia" w:ascii="Times New Roman" w:hAnsi="Times New Roman" w:eastAsia="楷体_GB2312" w:cs="楷体_GB2312"/>
                <w:b/>
                <w:bCs/>
                <w:color w:val="000000" w:themeColor="text1"/>
                <w:sz w:val="24"/>
                <w14:textFill>
                  <w14:solidFill>
                    <w14:schemeClr w14:val="tx1"/>
                  </w14:solidFill>
                </w14:textFill>
              </w:rPr>
              <w:t>——工信部电子第五研究所</w:t>
            </w:r>
          </w:p>
          <w:p>
            <w:pPr>
              <w:spacing w:line="560" w:lineRule="exact"/>
              <w:ind w:firstLine="480" w:firstLineChars="200"/>
              <w:rPr>
                <w:rFonts w:ascii="Times New Roman" w:hAnsi="Times New Roman" w:eastAsia="楷体_GB2312" w:cs="楷体_GB2312"/>
                <w:color w:val="000000" w:themeColor="text1"/>
                <w:sz w:val="24"/>
                <w14:textFill>
                  <w14:solidFill>
                    <w14:schemeClr w14:val="tx1"/>
                  </w14:solidFill>
                </w14:textFill>
              </w:rPr>
            </w:pPr>
            <w:r>
              <w:rPr>
                <w:rFonts w:hint="eastAsia" w:ascii="Times New Roman" w:hAnsi="Times New Roman" w:eastAsia="楷体_GB2312" w:cs="楷体_GB2312"/>
                <w:color w:val="000000" w:themeColor="text1"/>
                <w:sz w:val="24"/>
                <w14:textFill>
                  <w14:solidFill>
                    <w14:schemeClr w14:val="tx1"/>
                  </w14:solidFill>
                </w14:textFill>
              </w:rPr>
              <w:t>持续推动二期工程建设完善，营造良好人才环境承接粤港澳大湾区总部人才，推动产品检测试验、分析评价、认证计量、信息服务、技术培训等技术服务水平全面提升。</w:t>
            </w:r>
          </w:p>
          <w:p>
            <w:pPr>
              <w:spacing w:line="560" w:lineRule="exact"/>
              <w:ind w:firstLine="482" w:firstLineChars="200"/>
              <w:rPr>
                <w:rFonts w:hint="eastAsia" w:ascii="Times New Roman" w:hAnsi="Times New Roman" w:eastAsia="楷体_GB2312" w:cs="楷体_GB2312"/>
                <w:b/>
                <w:bCs/>
                <w:color w:val="000000" w:themeColor="text1"/>
                <w:sz w:val="24"/>
                <w:lang w:eastAsia="zh-CN"/>
                <w14:textFill>
                  <w14:solidFill>
                    <w14:schemeClr w14:val="tx1"/>
                  </w14:solidFill>
                </w14:textFill>
              </w:rPr>
            </w:pPr>
            <w:r>
              <w:rPr>
                <w:rFonts w:hint="eastAsia" w:ascii="Times New Roman" w:hAnsi="Times New Roman" w:eastAsia="楷体_GB2312" w:cs="楷体_GB2312"/>
                <w:b/>
                <w:bCs/>
                <w:color w:val="000000" w:themeColor="text1"/>
                <w:sz w:val="24"/>
                <w14:textFill>
                  <w14:solidFill>
                    <w14:schemeClr w14:val="tx1"/>
                  </w14:solidFill>
                </w14:textFill>
              </w:rPr>
              <w:t>——</w:t>
            </w:r>
            <w:r>
              <w:rPr>
                <w:rFonts w:hint="eastAsia" w:ascii="Times New Roman" w:hAnsi="Times New Roman" w:eastAsia="楷体_GB2312" w:cs="楷体_GB2312"/>
                <w:b/>
                <w:bCs/>
                <w:color w:val="000000" w:themeColor="text1"/>
                <w:sz w:val="24"/>
                <w:lang w:eastAsia="zh-CN"/>
                <w14:textFill>
                  <w14:solidFill>
                    <w14:schemeClr w14:val="tx1"/>
                  </w14:solidFill>
                </w14:textFill>
              </w:rPr>
              <w:t>富士康科技产业园</w:t>
            </w:r>
          </w:p>
          <w:p>
            <w:pPr>
              <w:spacing w:line="560" w:lineRule="exact"/>
              <w:ind w:firstLine="480" w:firstLineChars="200"/>
              <w:rPr>
                <w:rFonts w:ascii="Times New Roman" w:hAnsi="Times New Roman" w:eastAsia="楷体_GB2312" w:cs="楷体_GB2312"/>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14:textFill>
                  <w14:solidFill>
                    <w14:schemeClr w14:val="tx1"/>
                  </w14:solidFill>
                </w14:textFill>
              </w:rPr>
              <w:t>全力支持</w:t>
            </w:r>
            <w:r>
              <w:rPr>
                <w:rFonts w:hint="eastAsia" w:ascii="Times New Roman" w:hAnsi="Times New Roman" w:eastAsia="楷体_GB2312" w:cs="楷体_GB2312"/>
                <w:color w:val="000000" w:themeColor="text1"/>
                <w:sz w:val="24"/>
                <w:lang w:eastAsia="zh-CN"/>
                <w14:textFill>
                  <w14:solidFill>
                    <w14:schemeClr w14:val="tx1"/>
                  </w14:solidFill>
                </w14:textFill>
              </w:rPr>
              <w:t>富士康科技产业园</w:t>
            </w:r>
            <w:r>
              <w:rPr>
                <w:rFonts w:hint="eastAsia" w:ascii="Times New Roman" w:hAnsi="Times New Roman" w:eastAsia="楷体_GB2312" w:cs="楷体_GB2312"/>
                <w:color w:val="000000" w:themeColor="text1"/>
                <w:sz w:val="24"/>
                <w14:textFill>
                  <w14:solidFill>
                    <w14:schemeClr w14:val="tx1"/>
                  </w14:solidFill>
                </w14:textFill>
              </w:rPr>
              <w:t>落地企业的科技研发与孵化成果，持续引进集聚各类高端科技研发人员与要素资源，打造高标准的科技研发和产业发展中心，建设国际一流的双创空间、孵化器、加速器，逐步布局显示器、人工智能、</w:t>
            </w:r>
            <w:r>
              <w:rPr>
                <w:rFonts w:ascii="Times New Roman" w:hAnsi="Times New Roman" w:eastAsia="楷体_GB2312" w:cs="楷体_GB2312"/>
                <w:color w:val="000000" w:themeColor="text1"/>
                <w:sz w:val="24"/>
                <w14:textFill>
                  <w14:solidFill>
                    <w14:schemeClr w14:val="tx1"/>
                  </w14:solidFill>
                </w14:textFill>
              </w:rPr>
              <w:t>IT</w:t>
            </w:r>
            <w:r>
              <w:rPr>
                <w:rFonts w:hint="eastAsia" w:ascii="Times New Roman" w:hAnsi="Times New Roman" w:eastAsia="楷体_GB2312" w:cs="楷体_GB2312"/>
                <w:color w:val="000000" w:themeColor="text1"/>
                <w:sz w:val="24"/>
                <w14:textFill>
                  <w14:solidFill>
                    <w14:schemeClr w14:val="tx1"/>
                  </w14:solidFill>
                </w14:textFill>
              </w:rPr>
              <w:t>、生命科技、新能源汽车等产业。</w:t>
            </w:r>
          </w:p>
          <w:p>
            <w:pPr>
              <w:pStyle w:val="2"/>
              <w:spacing w:line="560" w:lineRule="exact"/>
              <w:ind w:firstLine="482"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w:t>
            </w:r>
            <w:r>
              <w:rPr>
                <w:rFonts w:hint="eastAsia" w:ascii="Times New Roman" w:hAnsi="Times New Roman" w:eastAsia="楷体_GB2312" w:cs="楷体_GB2312"/>
                <w:b/>
                <w:bCs/>
                <w:color w:val="000000" w:themeColor="text1"/>
                <w:sz w:val="24"/>
                <w14:textFill>
                  <w14:solidFill>
                    <w14:schemeClr w14:val="tx1"/>
                  </w14:solidFill>
                </w14:textFill>
              </w:rPr>
              <w:t>砺剑华南融谷总部</w:t>
            </w:r>
          </w:p>
          <w:p>
            <w:pPr>
              <w:pStyle w:val="2"/>
              <w:spacing w:line="560" w:lineRule="exact"/>
              <w:ind w:firstLine="480" w:firstLineChars="200"/>
              <w:rPr>
                <w:rFonts w:ascii="Times New Roman" w:hAnsi="Times New Roman" w:eastAsia="楷体_GB2312" w:cs="楷体_GB2312"/>
                <w:color w:val="000000" w:themeColor="text1"/>
                <w:sz w:val="24"/>
                <w14:textFill>
                  <w14:solidFill>
                    <w14:schemeClr w14:val="tx1"/>
                  </w14:solidFill>
                </w14:textFill>
              </w:rPr>
            </w:pPr>
            <w:r>
              <w:rPr>
                <w:rFonts w:hint="eastAsia" w:ascii="Times New Roman" w:hAnsi="Times New Roman" w:eastAsia="楷体_GB2312" w:cs="楷体_GB2312"/>
                <w:b w:val="0"/>
                <w:bCs w:val="0"/>
                <w:color w:val="000000" w:themeColor="text1"/>
                <w:sz w:val="24"/>
                <w:szCs w:val="24"/>
                <w14:textFill>
                  <w14:solidFill>
                    <w14:schemeClr w14:val="tx1"/>
                  </w14:solidFill>
                </w14:textFill>
              </w:rPr>
              <w:t>稳步推进项目前期基础设施建设，</w:t>
            </w:r>
            <w:r>
              <w:rPr>
                <w:rFonts w:hint="eastAsia" w:ascii="Times New Roman" w:hAnsi="Times New Roman" w:eastAsia="楷体_GB2312" w:cs="楷体_GB2312"/>
                <w:color w:val="000000" w:themeColor="text1"/>
                <w:sz w:val="24"/>
                <w:szCs w:val="24"/>
                <w14:textFill>
                  <w14:solidFill>
                    <w14:schemeClr w14:val="tx1"/>
                  </w14:solidFill>
                </w14:textFill>
              </w:rPr>
              <w:t>加强</w:t>
            </w:r>
            <w:r>
              <w:rPr>
                <w:rFonts w:hint="eastAsia" w:ascii="Times New Roman" w:hAnsi="Times New Roman" w:eastAsia="楷体_GB2312" w:cs="楷体_GB2312"/>
                <w:color w:val="000000" w:themeColor="text1"/>
                <w:sz w:val="24"/>
                <w14:textFill>
                  <w14:solidFill>
                    <w14:schemeClr w14:val="tx1"/>
                  </w14:solidFill>
                </w14:textFill>
              </w:rPr>
              <w:t>央企</w:t>
            </w:r>
            <w:r>
              <w:rPr>
                <w:rFonts w:hint="eastAsia" w:ascii="Times New Roman" w:hAnsi="Times New Roman" w:eastAsia="楷体_GB2312" w:cs="楷体_GB2312"/>
                <w:color w:val="000000" w:themeColor="text1"/>
                <w:sz w:val="24"/>
                <w:szCs w:val="24"/>
                <w14:textFill>
                  <w14:solidFill>
                    <w14:schemeClr w14:val="tx1"/>
                  </w14:solidFill>
                </w14:textFill>
              </w:rPr>
              <w:t>资源对接</w:t>
            </w:r>
            <w:r>
              <w:rPr>
                <w:rFonts w:hint="eastAsia" w:ascii="Times New Roman" w:hAnsi="Times New Roman" w:eastAsia="楷体_GB2312" w:cs="楷体_GB2312"/>
                <w:color w:val="000000" w:themeColor="text1"/>
                <w:sz w:val="24"/>
                <w14:textFill>
                  <w14:solidFill>
                    <w14:schemeClr w14:val="tx1"/>
                  </w14:solidFill>
                </w14:textFill>
              </w:rPr>
              <w:t>合作，建设砺剑华南研发总部大厦、珠江协同创新研究院、孵化平台、配套商业中心等，集企业总部、军民融合产业研究、高精尖技术研发创新、成果转化等为一体</w:t>
            </w:r>
            <w:r>
              <w:rPr>
                <w:rFonts w:hint="eastAsia" w:ascii="Times New Roman" w:hAnsi="Times New Roman" w:eastAsia="楷体_GB2312" w:cs="楷体_GB2312"/>
                <w:color w:val="000000" w:themeColor="text1"/>
                <w:sz w:val="24"/>
                <w:szCs w:val="24"/>
                <w14:textFill>
                  <w14:solidFill>
                    <w14:schemeClr w14:val="tx1"/>
                  </w14:solidFill>
                </w14:textFill>
              </w:rPr>
              <w:t>，</w:t>
            </w:r>
            <w:r>
              <w:rPr>
                <w:rFonts w:hint="eastAsia" w:ascii="Times New Roman" w:hAnsi="Times New Roman" w:eastAsia="楷体_GB2312" w:cs="楷体_GB2312"/>
                <w:color w:val="000000" w:themeColor="text1"/>
                <w:sz w:val="24"/>
                <w14:textFill>
                  <w14:solidFill>
                    <w14:schemeClr w14:val="tx1"/>
                  </w14:solidFill>
                </w14:textFill>
              </w:rPr>
              <w:t>打造具有强劲生命力的生态型融合创新产业园。</w:t>
            </w:r>
          </w:p>
          <w:p>
            <w:pPr>
              <w:spacing w:line="560" w:lineRule="exact"/>
              <w:ind w:firstLine="482" w:firstLineChars="200"/>
              <w:rPr>
                <w:rFonts w:ascii="Times New Roman" w:hAnsi="Times New Roman" w:eastAsia="楷体_GB2312" w:cs="楷体_GB2312"/>
                <w:color w:val="000000" w:themeColor="text1"/>
                <w:sz w:val="24"/>
                <w14:textFill>
                  <w14:solidFill>
                    <w14:schemeClr w14:val="tx1"/>
                  </w14:solidFill>
                </w14:textFill>
              </w:rPr>
            </w:pPr>
            <w:r>
              <w:rPr>
                <w:rFonts w:hint="eastAsia" w:ascii="Times New Roman" w:hAnsi="Times New Roman" w:eastAsia="楷体_GB2312" w:cs="楷体_GB2312"/>
                <w:b/>
                <w:bCs/>
                <w:color w:val="000000" w:themeColor="text1"/>
                <w:sz w:val="24"/>
                <w14:textFill>
                  <w14:solidFill>
                    <w14:schemeClr w14:val="tx1"/>
                  </w14:solidFill>
                </w14:textFill>
              </w:rPr>
              <w:t>——龙城国际康复医疗中</w:t>
            </w:r>
            <w:r>
              <w:rPr>
                <w:rFonts w:hint="eastAsia" w:ascii="Times New Roman" w:hAnsi="Times New Roman" w:eastAsia="楷体_GB2312" w:cs="楷体_GB2312"/>
                <w:color w:val="000000" w:themeColor="text1"/>
                <w:sz w:val="24"/>
                <w14:textFill>
                  <w14:solidFill>
                    <w14:schemeClr w14:val="tx1"/>
                  </w14:solidFill>
                </w14:textFill>
              </w:rPr>
              <w:t>心</w:t>
            </w:r>
          </w:p>
          <w:p>
            <w:pPr>
              <w:spacing w:line="560" w:lineRule="exact"/>
              <w:ind w:firstLine="480" w:firstLineChars="200"/>
              <w:rPr>
                <w:rFonts w:ascii="Times New Roman" w:hAnsi="Times New Roman" w:eastAsia="楷体_GB2312" w:cs="楷体_GB2312"/>
                <w:color w:val="000000" w:themeColor="text1"/>
                <w:sz w:val="24"/>
                <w14:textFill>
                  <w14:solidFill>
                    <w14:schemeClr w14:val="tx1"/>
                  </w14:solidFill>
                </w14:textFill>
              </w:rPr>
            </w:pPr>
            <w:r>
              <w:rPr>
                <w:rFonts w:hint="eastAsia" w:ascii="Times New Roman" w:hAnsi="Times New Roman" w:eastAsia="楷体_GB2312" w:cs="楷体_GB2312"/>
                <w:color w:val="000000" w:themeColor="text1"/>
                <w:sz w:val="24"/>
                <w14:textFill>
                  <w14:solidFill>
                    <w14:schemeClr w14:val="tx1"/>
                  </w14:solidFill>
                </w14:textFill>
              </w:rPr>
              <w:t>加快医疗中心资源引进及配置，着力开展大健康、医药、医疗设备，康养设备等研发，医疗电子商务、健康大数据、人工智能等研发服务，培育高端医疗、健康管理、养生休闲等康养优势。</w:t>
            </w:r>
          </w:p>
          <w:p>
            <w:pPr>
              <w:spacing w:line="560" w:lineRule="exact"/>
              <w:ind w:firstLine="482" w:firstLineChars="200"/>
              <w:rPr>
                <w:rFonts w:ascii="Times New Roman" w:hAnsi="Times New Roman" w:eastAsia="楷体_GB2312" w:cs="楷体_GB2312"/>
                <w:color w:val="000000" w:themeColor="text1"/>
                <w:sz w:val="24"/>
                <w14:textFill>
                  <w14:solidFill>
                    <w14:schemeClr w14:val="tx1"/>
                  </w14:solidFill>
                </w14:textFill>
              </w:rPr>
            </w:pPr>
            <w:r>
              <w:rPr>
                <w:rFonts w:hint="eastAsia" w:ascii="Times New Roman" w:hAnsi="Times New Roman" w:eastAsia="楷体_GB2312" w:cs="楷体_GB2312"/>
                <w:b/>
                <w:bCs/>
                <w:color w:val="000000" w:themeColor="text1"/>
                <w:sz w:val="24"/>
                <w14:textFill>
                  <w14:solidFill>
                    <w14:schemeClr w14:val="tx1"/>
                  </w14:solidFill>
                </w14:textFill>
              </w:rPr>
              <w:t>——广州妇女儿童医疗中心（增城院区</w:t>
            </w:r>
            <w:r>
              <w:rPr>
                <w:rFonts w:hint="eastAsia" w:ascii="Times New Roman" w:hAnsi="Times New Roman" w:eastAsia="楷体_GB2312" w:cs="楷体_GB2312"/>
                <w:color w:val="000000" w:themeColor="text1"/>
                <w:sz w:val="24"/>
                <w14:textFill>
                  <w14:solidFill>
                    <w14:schemeClr w14:val="tx1"/>
                  </w14:solidFill>
                </w14:textFill>
              </w:rPr>
              <w:t>）</w:t>
            </w:r>
          </w:p>
          <w:p>
            <w:pPr>
              <w:spacing w:line="560" w:lineRule="exact"/>
              <w:ind w:firstLine="480" w:firstLineChars="200"/>
              <w:rPr>
                <w:rFonts w:ascii="Times New Roman" w:hAnsi="Times New Roman" w:eastAsia="楷体_GB2312" w:cs="楷体_GB2312"/>
                <w:color w:val="000000" w:themeColor="text1"/>
                <w:sz w:val="24"/>
                <w14:textFill>
                  <w14:solidFill>
                    <w14:schemeClr w14:val="tx1"/>
                  </w14:solidFill>
                </w14:textFill>
              </w:rPr>
            </w:pPr>
            <w:r>
              <w:rPr>
                <w:rFonts w:hint="eastAsia" w:ascii="Times New Roman" w:hAnsi="Times New Roman" w:eastAsia="楷体_GB2312" w:cs="楷体_GB2312"/>
                <w:color w:val="000000" w:themeColor="text1"/>
                <w:sz w:val="24"/>
                <w14:textFill>
                  <w14:solidFill>
                    <w14:schemeClr w14:val="tx1"/>
                  </w14:solidFill>
                </w14:textFill>
              </w:rPr>
              <w:t>保障项目整体工程完成建设，促进广州中心城区的优质医疗服务落地增城，依托国家儿童区域医疗中心平台，引入大数据、人工智能等技术，提升医疗服务的数字化、智能化水平，打造成为粤港澳大湾区妇女儿童专科核心医院。</w:t>
            </w:r>
          </w:p>
          <w:p>
            <w:pPr>
              <w:widowControl/>
              <w:spacing w:line="560" w:lineRule="exact"/>
              <w:ind w:firstLine="482" w:firstLineChars="200"/>
              <w:jc w:val="left"/>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——前海人寿广州总医院</w:t>
            </w:r>
            <w:r>
              <w:rPr>
                <w:rFonts w:ascii="Times New Roman" w:hAnsi="Times New Roman" w:eastAsia="楷体_GB2312" w:cs="楷体_GB2312"/>
                <w:b/>
                <w:bCs/>
                <w:color w:val="000000" w:themeColor="text1"/>
                <w:sz w:val="24"/>
                <w:szCs w:val="24"/>
                <w14:textFill>
                  <w14:solidFill>
                    <w14:schemeClr w14:val="tx1"/>
                  </w14:solidFill>
                </w14:textFill>
              </w:rPr>
              <w:t>/</w:t>
            </w:r>
            <w:r>
              <w:rPr>
                <w:rFonts w:hint="eastAsia" w:ascii="Times New Roman" w:hAnsi="Times New Roman" w:eastAsia="楷体_GB2312" w:cs="楷体_GB2312"/>
                <w:b/>
                <w:bCs/>
                <w:color w:val="000000" w:themeColor="text1"/>
                <w:sz w:val="24"/>
                <w:szCs w:val="24"/>
                <w14:textFill>
                  <w14:solidFill>
                    <w14:schemeClr w14:val="tx1"/>
                  </w14:solidFill>
                </w14:textFill>
              </w:rPr>
              <w:t>国际医养健康城</w:t>
            </w:r>
          </w:p>
          <w:p>
            <w:pPr>
              <w:spacing w:line="560" w:lineRule="exact"/>
              <w:ind w:firstLine="480" w:firstLineChars="200"/>
              <w:rPr>
                <w:sz w:val="24"/>
              </w:rPr>
            </w:pPr>
            <w:r>
              <w:rPr>
                <w:rFonts w:hint="eastAsia" w:ascii="Times New Roman" w:hAnsi="Times New Roman" w:eastAsia="楷体_GB2312" w:cs="楷体_GB2312"/>
                <w:color w:val="000000" w:themeColor="text1"/>
                <w:sz w:val="24"/>
                <w:szCs w:val="28"/>
                <w14:textFill>
                  <w14:solidFill>
                    <w14:schemeClr w14:val="tx1"/>
                  </w14:solidFill>
                </w14:textFill>
              </w:rPr>
              <w:t>推进国际医养健康城建设，着力打造以高端综合性医疗服务为依托的多层次高水平的康养服务综合体，将广州前海人寿医养健康城打造为粤港澳大湾区高端国际化康养保障中心。</w:t>
            </w:r>
          </w:p>
        </w:tc>
      </w:tr>
    </w:tbl>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南部高端服务组团，</w:t>
      </w:r>
      <w:r>
        <w:rPr>
          <w:rFonts w:hint="eastAsia" w:ascii="Times New Roman" w:hAnsi="Times New Roman" w:eastAsia="仿宋_GB2312"/>
          <w:color w:val="000000" w:themeColor="text1"/>
          <w:sz w:val="32"/>
          <w:szCs w:val="32"/>
          <w14:textFill>
            <w14:solidFill>
              <w14:schemeClr w14:val="tx1"/>
            </w14:solidFill>
          </w14:textFill>
        </w:rPr>
        <w:t>以广州东部交通枢纽中心商务区建设</w:t>
      </w:r>
      <w:r>
        <w:rPr>
          <w:rFonts w:hint="eastAsia" w:ascii="Times New Roman" w:hAnsi="Times New Roman" w:eastAsia="仿宋_GB2312"/>
          <w:color w:val="000000" w:themeColor="text1"/>
          <w:sz w:val="32"/>
          <w:szCs w:val="32"/>
          <w:lang w:val="en-US" w:eastAsia="zh-CN"/>
          <w14:textFill>
            <w14:solidFill>
              <w14:schemeClr w14:val="tx1"/>
            </w14:solidFill>
          </w14:textFill>
        </w:rPr>
        <w:t>方向引领</w:t>
      </w:r>
      <w:r>
        <w:rPr>
          <w:rFonts w:hint="eastAsia" w:ascii="Times New Roman" w:hAnsi="Times New Roman" w:eastAsia="仿宋_GB2312"/>
          <w:color w:val="000000" w:themeColor="text1"/>
          <w:sz w:val="32"/>
          <w:szCs w:val="32"/>
          <w14:textFill>
            <w14:solidFill>
              <w14:schemeClr w14:val="tx1"/>
            </w14:solidFill>
          </w14:textFill>
        </w:rPr>
        <w:t>，以增城区经济技术开发区建设为</w:t>
      </w:r>
      <w:r>
        <w:rPr>
          <w:rFonts w:hint="eastAsia" w:ascii="Times New Roman" w:hAnsi="Times New Roman" w:eastAsia="仿宋_GB2312"/>
          <w:color w:val="000000" w:themeColor="text1"/>
          <w:sz w:val="32"/>
          <w:szCs w:val="32"/>
          <w:lang w:val="en-US" w:eastAsia="zh-CN"/>
          <w14:textFill>
            <w14:solidFill>
              <w14:schemeClr w14:val="tx1"/>
            </w14:solidFill>
          </w14:textFill>
        </w:rPr>
        <w:t>动力支撑，</w:t>
      </w:r>
      <w:r>
        <w:rPr>
          <w:rFonts w:hint="eastAsia" w:ascii="Times New Roman" w:hAnsi="Times New Roman" w:eastAsia="仿宋_GB2312"/>
          <w:color w:val="000000" w:themeColor="text1"/>
          <w:sz w:val="32"/>
          <w:szCs w:val="32"/>
          <w14:textFill>
            <w14:solidFill>
              <w14:schemeClr w14:val="tx1"/>
            </w14:solidFill>
          </w14:textFill>
        </w:rPr>
        <w:t>全面开启高端专业服务业业态布局与发展，推动平安(增城)科技硅谷、珠江国际创业中心、宝盛国际价值创新园、新世界金融中心，保利增城金融总部等总部经济、科技创新类载体完善业态布局，</w:t>
      </w:r>
      <w:r>
        <w:rPr>
          <w:rFonts w:hint="eastAsia" w:ascii="Times New Roman" w:hAnsi="Times New Roman" w:eastAsia="仿宋_GB2312"/>
          <w:color w:val="000000" w:themeColor="text1"/>
          <w:sz w:val="32"/>
          <w:szCs w:val="32"/>
          <w:lang w:val="en-US" w:eastAsia="zh-CN"/>
          <w14:textFill>
            <w14:solidFill>
              <w14:schemeClr w14:val="tx1"/>
            </w14:solidFill>
          </w14:textFill>
        </w:rPr>
        <w:t>全面</w:t>
      </w:r>
      <w:r>
        <w:rPr>
          <w:rFonts w:hint="eastAsia" w:ascii="Times New Roman" w:hAnsi="Times New Roman" w:eastAsia="仿宋_GB2312"/>
          <w:color w:val="000000" w:themeColor="text1"/>
          <w:sz w:val="32"/>
          <w:szCs w:val="32"/>
          <w14:textFill>
            <w14:solidFill>
              <w14:schemeClr w14:val="tx1"/>
            </w14:solidFill>
          </w14:textFill>
        </w:rPr>
        <w:t>提升广州东部交通枢纽中心商务区建设水平，加速形成楼宇经济</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集群效应、品牌效益。推动融创南山未来城、广州·钧明欢乐世界、珠江钢琴文化产业示范基地</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羊城晚报文化创意产业中心</w:t>
      </w:r>
      <w:r>
        <w:rPr>
          <w:rFonts w:hint="eastAsia" w:ascii="Times New Roman" w:hAnsi="Times New Roman" w:eastAsia="仿宋_GB2312"/>
          <w:color w:val="000000" w:themeColor="text1"/>
          <w:sz w:val="32"/>
          <w:szCs w:val="32"/>
          <w14:textFill>
            <w14:solidFill>
              <w14:schemeClr w14:val="tx1"/>
            </w14:solidFill>
          </w14:textFill>
        </w:rPr>
        <w:t>等文旅体创意载体完善建设，形成数字文创、数字体育等高质量业态集聚。完善新塘万达广场、永旺梦乐城等综合性商贸载体服务质量，与东江新城形成联动组团发展效应，推动南部金融、科创、数字创意等专业服务业实现集聚与高水平发展</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实现</w:t>
      </w:r>
      <w:r>
        <w:rPr>
          <w:rFonts w:hint="eastAsia" w:ascii="Times New Roman" w:hAnsi="Times New Roman" w:eastAsia="仿宋_GB2312"/>
          <w:color w:val="000000" w:themeColor="text1"/>
          <w:sz w:val="32"/>
          <w:szCs w:val="32"/>
          <w14:textFill>
            <w14:solidFill>
              <w14:schemeClr w14:val="tx1"/>
            </w14:solidFill>
          </w14:textFill>
        </w:rPr>
        <w:t>产业和城市“双提升”</w:t>
      </w:r>
      <w:r>
        <w:rPr>
          <w:rFonts w:hint="eastAsia" w:ascii="Times New Roman" w:hAnsi="Times New Roman" w:eastAsia="仿宋_GB2312"/>
          <w:color w:val="000000" w:themeColor="text1"/>
          <w:sz w:val="32"/>
          <w:szCs w:val="32"/>
          <w:lang w:eastAsia="zh-CN"/>
          <w14:textFill>
            <w14:solidFill>
              <w14:schemeClr w14:val="tx1"/>
            </w14:solidFill>
          </w14:textFill>
        </w:rPr>
        <w:t>。</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
              <w:jc w:val="center"/>
              <w:rPr>
                <w:rFonts w:ascii="Times New Roman" w:hAnsi="Times New Roman" w:cs="黑体"/>
                <w:color w:val="000000" w:themeColor="text1"/>
                <w:sz w:val="28"/>
                <w:szCs w:val="28"/>
                <w14:textFill>
                  <w14:solidFill>
                    <w14:schemeClr w14:val="tx1"/>
                  </w14:solidFill>
                </w14:textFill>
              </w:rPr>
            </w:pPr>
            <w:r>
              <w:rPr>
                <w:rFonts w:hint="eastAsia" w:ascii="Times New Roman" w:hAnsi="Times New Roman" w:cs="黑体"/>
                <w:color w:val="000000" w:themeColor="text1"/>
                <w:sz w:val="28"/>
                <w:szCs w:val="28"/>
                <w14:textFill>
                  <w14:solidFill>
                    <w14:schemeClr w14:val="tx1"/>
                  </w14:solidFill>
                </w14:textFill>
              </w:rPr>
              <w:t>专栏</w:t>
            </w:r>
            <w:r>
              <w:rPr>
                <w:rFonts w:hint="eastAsia" w:ascii="Times New Roman" w:hAnsi="Times New Roman" w:cs="黑体"/>
                <w:color w:val="000000" w:themeColor="text1"/>
                <w:sz w:val="28"/>
                <w:szCs w:val="28"/>
                <w:lang w:val="en-US" w:eastAsia="zh-CN"/>
                <w14:textFill>
                  <w14:solidFill>
                    <w14:schemeClr w14:val="tx1"/>
                  </w14:solidFill>
                </w14:textFill>
              </w:rPr>
              <w:t>5</w:t>
            </w:r>
            <w:r>
              <w:rPr>
                <w:rFonts w:hint="eastAsia" w:ascii="Times New Roman" w:hAnsi="Times New Roman" w:cs="黑体"/>
                <w:color w:val="000000" w:themeColor="text1"/>
                <w:sz w:val="28"/>
                <w:szCs w:val="28"/>
                <w14:textFill>
                  <w14:solidFill>
                    <w14:schemeClr w14:val="tx1"/>
                  </w14:solidFill>
                </w14:textFill>
              </w:rPr>
              <w:t xml:space="preserve"> 南部高端服务组团产业载体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482"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——南香谷产业园</w:t>
            </w:r>
          </w:p>
          <w:p>
            <w:pPr>
              <w:spacing w:line="560" w:lineRule="exact"/>
              <w:ind w:firstLine="480" w:firstLineChars="200"/>
              <w:rPr>
                <w:rFonts w:ascii="Times New Roman" w:hAnsi="Times New Roman" w:eastAsia="楷体_GB2312" w:cs="楷体_GB2312"/>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稳步推进三期项目</w:t>
            </w:r>
            <w:r>
              <w:rPr>
                <w:rFonts w:hint="eastAsia" w:ascii="Times New Roman" w:hAnsi="Times New Roman" w:eastAsia="楷体_GB2312" w:cs="楷体_GB2312"/>
                <w:color w:val="000000" w:themeColor="text1"/>
                <w:sz w:val="24"/>
                <w:szCs w:val="24"/>
                <w:lang w:val="en-US" w:eastAsia="zh-CN"/>
                <w14:textFill>
                  <w14:solidFill>
                    <w14:schemeClr w14:val="tx1"/>
                  </w14:solidFill>
                </w14:textFill>
              </w:rPr>
              <w:t>完成</w:t>
            </w:r>
            <w:r>
              <w:rPr>
                <w:rFonts w:hint="eastAsia" w:ascii="Times New Roman" w:hAnsi="Times New Roman" w:eastAsia="楷体_GB2312" w:cs="楷体_GB2312"/>
                <w:color w:val="000000" w:themeColor="text1"/>
                <w:sz w:val="24"/>
                <w:szCs w:val="24"/>
                <w14:textFill>
                  <w14:solidFill>
                    <w14:schemeClr w14:val="tx1"/>
                  </w14:solidFill>
                </w14:textFill>
              </w:rPr>
              <w:t>建设，推动以“大数据、互联网</w:t>
            </w:r>
            <w:r>
              <w:rPr>
                <w:rFonts w:ascii="Times New Roman" w:hAnsi="Times New Roman" w:eastAsia="楷体_GB2312" w:cs="楷体_GB2312"/>
                <w:color w:val="000000" w:themeColor="text1"/>
                <w:sz w:val="24"/>
                <w:szCs w:val="24"/>
                <w14:textFill>
                  <w14:solidFill>
                    <w14:schemeClr w14:val="tx1"/>
                  </w14:solidFill>
                </w14:textFill>
              </w:rPr>
              <w:t>+</w:t>
            </w:r>
            <w:r>
              <w:rPr>
                <w:rFonts w:hint="eastAsia" w:ascii="Times New Roman" w:hAnsi="Times New Roman" w:eastAsia="楷体_GB2312" w:cs="楷体_GB2312"/>
                <w:color w:val="000000" w:themeColor="text1"/>
                <w:sz w:val="24"/>
                <w:szCs w:val="24"/>
                <w14:textFill>
                  <w14:solidFill>
                    <w14:schemeClr w14:val="tx1"/>
                  </w14:solidFill>
                </w14:textFill>
              </w:rPr>
              <w:t>电子商务、现代物流”为核心的</w:t>
            </w:r>
            <w:r>
              <w:rPr>
                <w:rFonts w:ascii="Times New Roman" w:hAnsi="Times New Roman" w:eastAsia="楷体_GB2312" w:cs="楷体_GB2312"/>
                <w:color w:val="000000" w:themeColor="text1"/>
                <w:sz w:val="24"/>
                <w:szCs w:val="24"/>
                <w14:textFill>
                  <w14:solidFill>
                    <w14:schemeClr w14:val="tx1"/>
                  </w14:solidFill>
                </w14:textFill>
              </w:rPr>
              <w:t>IDC(</w:t>
            </w:r>
            <w:r>
              <w:rPr>
                <w:rFonts w:hint="eastAsia" w:ascii="Times New Roman" w:hAnsi="Times New Roman" w:eastAsia="楷体_GB2312" w:cs="楷体_GB2312"/>
                <w:color w:val="000000" w:themeColor="text1"/>
                <w:sz w:val="24"/>
                <w:szCs w:val="24"/>
                <w14:textFill>
                  <w14:solidFill>
                    <w14:schemeClr w14:val="tx1"/>
                  </w14:solidFill>
                </w14:textFill>
              </w:rPr>
              <w:t>即“互联网数据中心”</w:t>
            </w:r>
            <w:r>
              <w:rPr>
                <w:rFonts w:ascii="Times New Roman" w:hAnsi="Times New Roman" w:eastAsia="楷体_GB2312" w:cs="楷体_GB2312"/>
                <w:color w:val="000000" w:themeColor="text1"/>
                <w:sz w:val="24"/>
                <w:szCs w:val="24"/>
                <w14:textFill>
                  <w14:solidFill>
                    <w14:schemeClr w14:val="tx1"/>
                  </w14:solidFill>
                </w14:textFill>
              </w:rPr>
              <w:t>)</w:t>
            </w:r>
            <w:r>
              <w:rPr>
                <w:rFonts w:hint="eastAsia" w:ascii="Times New Roman" w:hAnsi="Times New Roman" w:eastAsia="楷体_GB2312" w:cs="楷体_GB2312"/>
                <w:color w:val="000000" w:themeColor="text1"/>
                <w:sz w:val="24"/>
                <w:szCs w:val="24"/>
                <w14:textFill>
                  <w14:solidFill>
                    <w14:schemeClr w14:val="tx1"/>
                  </w14:solidFill>
                </w14:textFill>
              </w:rPr>
              <w:t>产业集群建设，实现与新零售存货端、物流端的深度融合，为粤港澳大湾区的党政、金融、教育、医疗等用户提供数据存储、计算、分析等服务。</w:t>
            </w:r>
          </w:p>
          <w:p>
            <w:pPr>
              <w:spacing w:line="560" w:lineRule="exact"/>
              <w:ind w:firstLine="482"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——阿里巴巴华南物联网运营中心</w:t>
            </w:r>
          </w:p>
          <w:p>
            <w:pPr>
              <w:spacing w:line="560" w:lineRule="exact"/>
              <w:ind w:firstLine="480" w:firstLineChars="200"/>
              <w:rPr>
                <w:rFonts w:ascii="Times New Roman" w:hAnsi="Times New Roman" w:eastAsia="楷体_GB2312" w:cs="楷体_GB2312"/>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发展成为物联网订单履约中心、云计算的电子商务数据处理中心、电子商务金融服务中心、区域电子商务企业总部、电子商务交易中心、区域内电子商务企业的高端客户体验中心、电子商务企业展览、展示基地和资讯发布中心，同时构建软件外包、策划设计、摄影、包装材料等一系列衍生行业配套聚集区。</w:t>
            </w:r>
          </w:p>
          <w:p>
            <w:pPr>
              <w:spacing w:line="560" w:lineRule="exact"/>
              <w:ind w:firstLine="482"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——永旺梦乐城</w:t>
            </w:r>
          </w:p>
          <w:p>
            <w:pPr>
              <w:spacing w:line="560" w:lineRule="exact"/>
              <w:ind w:firstLine="480" w:firstLineChars="200"/>
              <w:rPr>
                <w:rFonts w:ascii="Times New Roman" w:hAnsi="Times New Roman" w:eastAsia="楷体_GB2312" w:cs="楷体_GB2312"/>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以大型综合百货超市永旺为主力店，引进餐饮、大型影院、娱乐中心等多元业态，打造融合文化、娱乐、休闲、展览、购物、餐饮的国际大型体验商业集群。</w:t>
            </w:r>
          </w:p>
          <w:p>
            <w:pPr>
              <w:spacing w:line="560" w:lineRule="exact"/>
              <w:ind w:firstLine="480"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w:t>
            </w:r>
            <w:r>
              <w:rPr>
                <w:rFonts w:hint="eastAsia" w:ascii="Times New Roman" w:hAnsi="Times New Roman" w:eastAsia="楷体_GB2312" w:cs="楷体_GB2312"/>
                <w:b/>
                <w:bCs/>
                <w:color w:val="000000" w:themeColor="text1"/>
                <w:sz w:val="24"/>
                <w:szCs w:val="24"/>
                <w14:textFill>
                  <w14:solidFill>
                    <w14:schemeClr w14:val="tx1"/>
                  </w14:solidFill>
                </w14:textFill>
              </w:rPr>
              <w:t>新塘万达广场</w:t>
            </w:r>
          </w:p>
          <w:p>
            <w:pPr>
              <w:pStyle w:val="2"/>
              <w:spacing w:line="560" w:lineRule="exact"/>
              <w:ind w:firstLine="480" w:firstLineChars="200"/>
              <w:rPr>
                <w:rFonts w:ascii="Times New Roman" w:hAnsi="Times New Roman" w:eastAsia="楷体_GB2312" w:cs="楷体_GB2312"/>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持续发挥集</w:t>
            </w:r>
            <w:r>
              <w:rPr>
                <w:rFonts w:hint="eastAsia" w:ascii="Times New Roman" w:hAnsi="Times New Roman" w:eastAsia="楷体_GB2312" w:cs="楷体_GB2312"/>
                <w:color w:val="000000" w:themeColor="text1"/>
                <w:sz w:val="24"/>
                <w14:textFill>
                  <w14:solidFill>
                    <w14:schemeClr w14:val="tx1"/>
                  </w14:solidFill>
                </w14:textFill>
              </w:rPr>
              <w:t>购物、休闲、娱乐等功能为一体的大型商业综合体</w:t>
            </w:r>
            <w:r>
              <w:rPr>
                <w:rFonts w:hint="eastAsia" w:ascii="Times New Roman" w:hAnsi="Times New Roman" w:eastAsia="楷体_GB2312" w:cs="楷体_GB2312"/>
                <w:color w:val="000000" w:themeColor="text1"/>
                <w:sz w:val="24"/>
                <w:szCs w:val="24"/>
                <w14:textFill>
                  <w14:solidFill>
                    <w14:schemeClr w14:val="tx1"/>
                  </w14:solidFill>
                </w14:textFill>
              </w:rPr>
              <w:t>服务效能</w:t>
            </w:r>
            <w:r>
              <w:rPr>
                <w:rFonts w:hint="eastAsia" w:ascii="Times New Roman" w:hAnsi="Times New Roman" w:eastAsia="楷体_GB2312" w:cs="楷体_GB2312"/>
                <w:color w:val="000000" w:themeColor="text1"/>
                <w:sz w:val="24"/>
                <w14:textFill>
                  <w14:solidFill>
                    <w14:schemeClr w14:val="tx1"/>
                  </w14:solidFill>
                </w14:textFill>
              </w:rPr>
              <w:t>，</w:t>
            </w:r>
            <w:r>
              <w:rPr>
                <w:rFonts w:hint="eastAsia" w:ascii="Times New Roman" w:hAnsi="Times New Roman" w:eastAsia="楷体_GB2312" w:cs="楷体_GB2312"/>
                <w:color w:val="000000" w:themeColor="text1"/>
                <w:sz w:val="24"/>
                <w:szCs w:val="24"/>
                <w14:textFill>
                  <w14:solidFill>
                    <w14:schemeClr w14:val="tx1"/>
                  </w14:solidFill>
                </w14:textFill>
              </w:rPr>
              <w:t>同时拓展科创、设计、文创等高端服务业态，助力提升新塘片区现代服务业集聚程度。</w:t>
            </w:r>
          </w:p>
          <w:p>
            <w:pPr>
              <w:spacing w:line="560" w:lineRule="exact"/>
              <w:ind w:firstLine="482"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——平安</w:t>
            </w:r>
            <w:r>
              <w:rPr>
                <w:rFonts w:ascii="Times New Roman" w:hAnsi="Times New Roman" w:eastAsia="楷体_GB2312" w:cs="楷体_GB2312"/>
                <w:b/>
                <w:bCs/>
                <w:color w:val="000000" w:themeColor="text1"/>
                <w:sz w:val="24"/>
                <w:szCs w:val="24"/>
                <w14:textFill>
                  <w14:solidFill>
                    <w14:schemeClr w14:val="tx1"/>
                  </w14:solidFill>
                </w14:textFill>
              </w:rPr>
              <w:t>(</w:t>
            </w:r>
            <w:r>
              <w:rPr>
                <w:rFonts w:hint="eastAsia" w:ascii="Times New Roman" w:hAnsi="Times New Roman" w:eastAsia="楷体_GB2312" w:cs="楷体_GB2312"/>
                <w:b/>
                <w:bCs/>
                <w:color w:val="000000" w:themeColor="text1"/>
                <w:sz w:val="24"/>
                <w:szCs w:val="24"/>
                <w14:textFill>
                  <w14:solidFill>
                    <w14:schemeClr w14:val="tx1"/>
                  </w14:solidFill>
                </w14:textFill>
              </w:rPr>
              <w:t>增城</w:t>
            </w:r>
            <w:r>
              <w:rPr>
                <w:rFonts w:ascii="Times New Roman" w:hAnsi="Times New Roman" w:eastAsia="楷体_GB2312" w:cs="楷体_GB2312"/>
                <w:b/>
                <w:bCs/>
                <w:color w:val="000000" w:themeColor="text1"/>
                <w:sz w:val="24"/>
                <w:szCs w:val="24"/>
                <w14:textFill>
                  <w14:solidFill>
                    <w14:schemeClr w14:val="tx1"/>
                  </w14:solidFill>
                </w14:textFill>
              </w:rPr>
              <w:t>)</w:t>
            </w:r>
            <w:r>
              <w:rPr>
                <w:rFonts w:hint="eastAsia" w:ascii="Times New Roman" w:hAnsi="Times New Roman" w:eastAsia="楷体_GB2312" w:cs="楷体_GB2312"/>
                <w:b/>
                <w:bCs/>
                <w:color w:val="000000" w:themeColor="text1"/>
                <w:sz w:val="24"/>
                <w:szCs w:val="24"/>
                <w14:textFill>
                  <w14:solidFill>
                    <w14:schemeClr w14:val="tx1"/>
                  </w14:solidFill>
                </w14:textFill>
              </w:rPr>
              <w:t>科技硅谷</w:t>
            </w:r>
          </w:p>
          <w:p>
            <w:pPr>
              <w:spacing w:line="560" w:lineRule="exact"/>
              <w:ind w:firstLine="480" w:firstLineChars="200"/>
              <w:rPr>
                <w:rFonts w:ascii="Times New Roman" w:hAnsi="Times New Roman" w:eastAsia="楷体_GB2312" w:cs="楷体_GB2312"/>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加强与平安集团的资源、产业合作，聚焦金融科技研发及创新企业孵化，加快构建千亿级金融科技产业集群。</w:t>
            </w:r>
          </w:p>
          <w:p>
            <w:pPr>
              <w:spacing w:line="560" w:lineRule="exact"/>
              <w:ind w:firstLine="482"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——珠江国际创业中心</w:t>
            </w:r>
            <w:r>
              <w:rPr>
                <w:rFonts w:ascii="Times New Roman" w:hAnsi="Times New Roman" w:eastAsia="楷体_GB2312" w:cs="楷体_GB2312"/>
                <w:b/>
                <w:bCs/>
                <w:color w:val="000000" w:themeColor="text1"/>
                <w:sz w:val="24"/>
                <w:szCs w:val="24"/>
                <w14:textFill>
                  <w14:solidFill>
                    <w14:schemeClr w14:val="tx1"/>
                  </w14:solidFill>
                </w14:textFill>
              </w:rPr>
              <w:t xml:space="preserve"> </w:t>
            </w:r>
          </w:p>
          <w:p>
            <w:pPr>
              <w:spacing w:line="560" w:lineRule="exact"/>
              <w:ind w:firstLine="480" w:firstLineChars="200"/>
              <w:rPr>
                <w:rFonts w:ascii="Times New Roman" w:hAnsi="Times New Roman" w:eastAsia="楷体_GB2312" w:cs="楷体_GB2312"/>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推进项目开启运营，加快创业孵化器及众创空间、科技型企业及研发机构入驻，建设科技创新、科技孵化、金融、工业研发、生命健康、品牌服装研发等产业为一体的综合性高科技产业园区。</w:t>
            </w:r>
          </w:p>
          <w:p>
            <w:pPr>
              <w:spacing w:line="560" w:lineRule="exact"/>
              <w:ind w:firstLine="482"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——宝盛国际创新中心</w:t>
            </w:r>
          </w:p>
          <w:p>
            <w:pPr>
              <w:spacing w:line="560" w:lineRule="exact"/>
              <w:ind w:firstLine="480" w:firstLineChars="200"/>
              <w:rPr>
                <w:rFonts w:ascii="Times New Roman" w:hAnsi="Times New Roman" w:eastAsia="楷体_GB2312" w:cs="楷体_GB2312"/>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加快推动建设国际总部中心、双创中心、科技创新区、华侨创新中心等产业组团，搭建中外科技创新平台，全力打造广州东部最具示范和代表效益的价值创新园区。</w:t>
            </w:r>
          </w:p>
          <w:p>
            <w:pPr>
              <w:spacing w:line="560" w:lineRule="exact"/>
              <w:ind w:firstLine="482" w:firstLineChars="200"/>
              <w:rPr>
                <w:rFonts w:ascii="Times New Roman" w:hAnsi="Times New Roman" w:eastAsia="楷体_GB2312" w:cs="楷体_GB2312"/>
                <w:b/>
                <w:bCs/>
                <w:color w:val="000000" w:themeColor="text1"/>
                <w:sz w:val="24"/>
                <w:highlight w:val="none"/>
                <w14:textFill>
                  <w14:solidFill>
                    <w14:schemeClr w14:val="tx1"/>
                  </w14:solidFill>
                </w14:textFill>
              </w:rPr>
            </w:pPr>
            <w:r>
              <w:rPr>
                <w:rFonts w:hint="eastAsia" w:ascii="Times New Roman" w:hAnsi="Times New Roman" w:eastAsia="楷体_GB2312" w:cs="楷体_GB2312"/>
                <w:b/>
                <w:bCs/>
                <w:color w:val="000000" w:themeColor="text1"/>
                <w:sz w:val="24"/>
                <w:highlight w:val="none"/>
                <w14:textFill>
                  <w14:solidFill>
                    <w14:schemeClr w14:val="tx1"/>
                  </w14:solidFill>
                </w14:textFill>
              </w:rPr>
              <w:t>——南方医院增城分院</w:t>
            </w:r>
          </w:p>
          <w:p>
            <w:pPr>
              <w:pStyle w:val="2"/>
              <w:spacing w:line="560" w:lineRule="exact"/>
              <w:ind w:firstLine="480" w:firstLineChars="200"/>
              <w:rPr>
                <w:rFonts w:ascii="Times New Roman" w:hAnsi="Times New Roman" w:eastAsia="楷体_GB2312" w:cs="楷体_GB2312"/>
                <w:color w:val="000000" w:themeColor="text1"/>
                <w:sz w:val="24"/>
                <w14:textFill>
                  <w14:solidFill>
                    <w14:schemeClr w14:val="tx1"/>
                  </w14:solidFill>
                </w14:textFill>
              </w:rPr>
            </w:pPr>
            <w:r>
              <w:rPr>
                <w:rFonts w:hint="eastAsia" w:ascii="Times New Roman" w:hAnsi="Times New Roman" w:eastAsia="楷体_GB2312" w:cs="楷体_GB2312"/>
                <w:color w:val="000000" w:themeColor="text1"/>
                <w:sz w:val="24"/>
                <w14:textFill>
                  <w14:solidFill>
                    <w14:schemeClr w14:val="tx1"/>
                  </w14:solidFill>
                </w14:textFill>
              </w:rPr>
              <w:t>推进项目二期建设，完善医疗基础配套设施建设，结合医疗需求优化一期项目功能，联动社区医疗服务网点，完善双向转诊长效机制。</w:t>
            </w:r>
          </w:p>
          <w:p>
            <w:pPr>
              <w:pStyle w:val="2"/>
              <w:spacing w:line="560" w:lineRule="exact"/>
              <w:ind w:firstLine="482" w:firstLineChars="200"/>
              <w:rPr>
                <w:rFonts w:ascii="Times New Roman" w:hAnsi="Times New Roman" w:eastAsia="楷体_GB2312" w:cs="楷体_GB2312"/>
                <w:b/>
                <w:bCs/>
                <w:color w:val="000000" w:themeColor="text1"/>
                <w:sz w:val="24"/>
                <w:szCs w:val="24"/>
                <w14:textFill>
                  <w14:solidFill>
                    <w14:schemeClr w14:val="tx1"/>
                  </w14:solidFill>
                </w14:textFill>
              </w:rPr>
            </w:pPr>
            <w:r>
              <w:rPr>
                <w:rFonts w:hint="eastAsia" w:ascii="Times New Roman" w:hAnsi="Times New Roman" w:eastAsia="楷体_GB2312" w:cs="楷体_GB2312"/>
                <w:b/>
                <w:bCs/>
                <w:color w:val="000000" w:themeColor="text1"/>
                <w:sz w:val="24"/>
                <w:szCs w:val="24"/>
                <w14:textFill>
                  <w14:solidFill>
                    <w14:schemeClr w14:val="tx1"/>
                  </w14:solidFill>
                </w14:textFill>
              </w:rPr>
              <w:t>——广州·钧明欢乐世界项目</w:t>
            </w:r>
          </w:p>
          <w:p>
            <w:pPr>
              <w:pStyle w:val="2"/>
              <w:spacing w:line="560" w:lineRule="exact"/>
              <w:ind w:firstLine="480" w:firstLineChars="200"/>
              <w:rPr>
                <w:rFonts w:ascii="Times New Roman" w:hAnsi="Times New Roman" w:eastAsia="楷体_GB2312" w:cs="楷体_GB2312"/>
                <w:color w:val="000000" w:themeColor="text1"/>
                <w:sz w:val="24"/>
                <w:szCs w:val="24"/>
                <w14:textFill>
                  <w14:solidFill>
                    <w14:schemeClr w14:val="tx1"/>
                  </w14:solidFill>
                </w14:textFill>
              </w:rPr>
            </w:pPr>
            <w:r>
              <w:rPr>
                <w:rFonts w:hint="eastAsia" w:ascii="Times New Roman" w:hAnsi="Times New Roman" w:eastAsia="楷体_GB2312" w:cs="楷体_GB2312"/>
                <w:color w:val="000000" w:themeColor="text1"/>
                <w:sz w:val="24"/>
                <w:szCs w:val="24"/>
                <w14:textFill>
                  <w14:solidFill>
                    <w14:schemeClr w14:val="tx1"/>
                  </w14:solidFill>
                </w14:textFill>
              </w:rPr>
              <w:t>依托广东钧明投资控股有限公司与东凌控股集团有限公司合作，加快进日本世嘉乐园的资源引进，打造集国际</w:t>
            </w:r>
            <w:r>
              <w:rPr>
                <w:rFonts w:ascii="Times New Roman" w:hAnsi="Times New Roman" w:eastAsia="楷体_GB2312" w:cs="楷体_GB2312"/>
                <w:color w:val="000000" w:themeColor="text1"/>
                <w:sz w:val="24"/>
                <w:szCs w:val="24"/>
                <w14:textFill>
                  <w14:solidFill>
                    <w14:schemeClr w14:val="tx1"/>
                  </w14:solidFill>
                </w14:textFill>
              </w:rPr>
              <w:t>IP</w:t>
            </w:r>
            <w:r>
              <w:rPr>
                <w:rFonts w:hint="eastAsia" w:ascii="Times New Roman" w:hAnsi="Times New Roman" w:eastAsia="楷体_GB2312" w:cs="楷体_GB2312"/>
                <w:color w:val="000000" w:themeColor="text1"/>
                <w:sz w:val="24"/>
                <w:szCs w:val="24"/>
                <w14:textFill>
                  <w14:solidFill>
                    <w14:schemeClr w14:val="tx1"/>
                  </w14:solidFill>
                </w14:textFill>
              </w:rPr>
              <w:t>都市主题乐园群、国家级电竞场馆、空中体育公园、特色酒店群、动漫情景街等优质业态于一体的大湾区高端都市文旅综合体，推动增城体育、电竞、动漫等产业发展。</w:t>
            </w:r>
          </w:p>
          <w:p>
            <w:pPr>
              <w:pStyle w:val="2"/>
              <w:spacing w:line="560" w:lineRule="exact"/>
              <w:ind w:firstLine="504" w:firstLineChars="200"/>
              <w:rPr>
                <w:rFonts w:ascii="宋体" w:hAnsi="宋体" w:cs="仿宋_GB2312"/>
                <w:spacing w:val="6"/>
                <w:sz w:val="24"/>
                <w:szCs w:val="24"/>
              </w:rPr>
            </w:pPr>
            <w:r>
              <w:rPr>
                <w:rFonts w:hint="eastAsia" w:ascii="宋体" w:hAnsi="宋体" w:cs="仿宋_GB2312"/>
                <w:spacing w:val="6"/>
                <w:sz w:val="24"/>
                <w:szCs w:val="24"/>
              </w:rPr>
              <w:t>——</w:t>
            </w:r>
            <w:r>
              <w:rPr>
                <w:rFonts w:hint="eastAsia" w:ascii="Times New Roman" w:hAnsi="Times New Roman" w:eastAsia="楷体_GB2312" w:cs="楷体_GB2312"/>
                <w:b/>
                <w:bCs/>
                <w:color w:val="000000" w:themeColor="text1"/>
                <w:spacing w:val="0"/>
                <w:sz w:val="24"/>
                <w:szCs w:val="24"/>
                <w14:textFill>
                  <w14:solidFill>
                    <w14:schemeClr w14:val="tx1"/>
                  </w14:solidFill>
                </w14:textFill>
              </w:rPr>
              <w:t>融创南山未来城</w:t>
            </w:r>
          </w:p>
          <w:p>
            <w:pPr>
              <w:pStyle w:val="2"/>
              <w:spacing w:line="560" w:lineRule="exact"/>
              <w:ind w:firstLine="480" w:firstLineChars="200"/>
              <w:rPr>
                <w:rFonts w:hint="eastAsia" w:ascii="Times New Roman" w:hAnsi="Times New Roman" w:eastAsia="楷体_GB2312" w:cs="楷体_GB2312"/>
                <w:color w:val="000000" w:themeColor="text1"/>
                <w:spacing w:val="0"/>
                <w:sz w:val="24"/>
                <w:szCs w:val="24"/>
                <w14:textFill>
                  <w14:solidFill>
                    <w14:schemeClr w14:val="tx1"/>
                  </w14:solidFill>
                </w14:textFill>
              </w:rPr>
            </w:pPr>
            <w:r>
              <w:rPr>
                <w:rFonts w:hint="eastAsia" w:ascii="Times New Roman" w:hAnsi="Times New Roman" w:eastAsia="楷体_GB2312" w:cs="楷体_GB2312"/>
                <w:color w:val="000000" w:themeColor="text1"/>
                <w:spacing w:val="0"/>
                <w:sz w:val="24"/>
                <w:szCs w:val="24"/>
                <w14:textFill>
                  <w14:solidFill>
                    <w14:schemeClr w14:val="tx1"/>
                  </w14:solidFill>
                </w14:textFill>
              </w:rPr>
              <w:t>加快推动项目落地，建设为集文旅度假、文化创意、体育运动、康体养生、特色酒店、娱乐购物、办公商务、高端居住等多功能业态于一体的大型文商旅产城综合体，打造具有国际水平和一流旅游吸引力的一站式休闲度假目的地。</w:t>
            </w:r>
          </w:p>
          <w:p>
            <w:pPr>
              <w:pStyle w:val="2"/>
              <w:spacing w:line="560" w:lineRule="exact"/>
              <w:ind w:firstLine="482" w:firstLineChars="200"/>
              <w:rPr>
                <w:rFonts w:hint="eastAsia" w:ascii="Times New Roman" w:hAnsi="Times New Roman" w:eastAsia="楷体_GB2312" w:cs="楷体_GB2312"/>
                <w:b/>
                <w:bCs/>
                <w:color w:val="000000" w:themeColor="text1"/>
                <w:spacing w:val="0"/>
                <w:sz w:val="24"/>
                <w14:textFill>
                  <w14:solidFill>
                    <w14:schemeClr w14:val="tx1"/>
                  </w14:solidFill>
                </w14:textFill>
              </w:rPr>
            </w:pPr>
            <w:r>
              <w:rPr>
                <w:rFonts w:hint="eastAsia" w:ascii="Times New Roman" w:hAnsi="Times New Roman" w:eastAsia="楷体_GB2312" w:cs="楷体_GB2312"/>
                <w:b/>
                <w:bCs/>
                <w:color w:val="000000" w:themeColor="text1"/>
                <w:spacing w:val="0"/>
                <w:sz w:val="24"/>
                <w:lang w:eastAsia="zh-CN"/>
                <w14:textFill>
                  <w14:solidFill>
                    <w14:schemeClr w14:val="tx1"/>
                  </w14:solidFill>
                </w14:textFill>
              </w:rPr>
              <w:t>——</w:t>
            </w:r>
            <w:r>
              <w:rPr>
                <w:rFonts w:hint="eastAsia" w:ascii="Times New Roman" w:hAnsi="Times New Roman" w:eastAsia="楷体_GB2312" w:cs="楷体_GB2312"/>
                <w:b/>
                <w:bCs/>
                <w:color w:val="000000" w:themeColor="text1"/>
                <w:spacing w:val="0"/>
                <w:sz w:val="24"/>
                <w14:textFill>
                  <w14:solidFill>
                    <w14:schemeClr w14:val="tx1"/>
                  </w14:solidFill>
                </w14:textFill>
              </w:rPr>
              <w:t>羊城晚报文化创意产业中心</w:t>
            </w:r>
          </w:p>
          <w:p>
            <w:pPr>
              <w:pStyle w:val="2"/>
              <w:spacing w:line="560" w:lineRule="exact"/>
              <w:ind w:firstLine="480" w:firstLineChars="200"/>
              <w:rPr>
                <w:rFonts w:hint="default" w:ascii="Times New Roman" w:hAnsi="Times New Roman" w:eastAsia="楷体_GB2312" w:cs="楷体_GB2312"/>
                <w:b/>
                <w:bCs/>
                <w:color w:val="000000" w:themeColor="text1"/>
                <w:spacing w:val="0"/>
                <w:sz w:val="24"/>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pacing w:val="0"/>
                <w:sz w:val="24"/>
                <w:lang w:val="en-US" w:eastAsia="zh-CN"/>
                <w14:textFill>
                  <w14:solidFill>
                    <w14:schemeClr w14:val="tx1"/>
                  </w14:solidFill>
                </w14:textFill>
              </w:rPr>
              <w:t>加快</w:t>
            </w:r>
            <w:r>
              <w:rPr>
                <w:rFonts w:hint="eastAsia" w:ascii="Times New Roman" w:hAnsi="Times New Roman" w:eastAsia="楷体_GB2312" w:cs="楷体_GB2312"/>
                <w:color w:val="000000" w:themeColor="text1"/>
                <w:sz w:val="24"/>
                <w14:textFill>
                  <w14:solidFill>
                    <w14:schemeClr w14:val="tx1"/>
                  </w14:solidFill>
                </w14:textFill>
              </w:rPr>
              <w:t>羊城时尚谷</w:t>
            </w:r>
            <w:r>
              <w:rPr>
                <w:rFonts w:hint="eastAsia" w:ascii="Times New Roman" w:hAnsi="Times New Roman" w:eastAsia="楷体_GB2312" w:cs="楷体_GB2312"/>
                <w:b w:val="0"/>
                <w:bCs w:val="0"/>
                <w:color w:val="000000" w:themeColor="text1"/>
                <w:sz w:val="24"/>
                <w:lang w:val="en-US" w:eastAsia="zh-CN"/>
                <w14:textFill>
                  <w14:solidFill>
                    <w14:schemeClr w14:val="tx1"/>
                  </w14:solidFill>
                </w14:textFill>
              </w:rPr>
              <w:t>创意设计领域的</w:t>
            </w:r>
            <w:r>
              <w:rPr>
                <w:rFonts w:hint="eastAsia" w:ascii="Times New Roman" w:hAnsi="Times New Roman" w:eastAsia="楷体_GB2312" w:cs="楷体_GB2312"/>
                <w:color w:val="000000" w:themeColor="text1"/>
                <w:sz w:val="24"/>
                <w14:textFill>
                  <w14:solidFill>
                    <w14:schemeClr w14:val="tx1"/>
                  </w14:solidFill>
                </w14:textFill>
              </w:rPr>
              <w:t>招商</w:t>
            </w:r>
            <w:r>
              <w:rPr>
                <w:rFonts w:hint="eastAsia" w:ascii="Times New Roman" w:hAnsi="Times New Roman" w:eastAsia="楷体_GB2312" w:cs="楷体_GB2312"/>
                <w:b w:val="0"/>
                <w:bCs w:val="0"/>
                <w:color w:val="000000" w:themeColor="text1"/>
                <w:sz w:val="24"/>
                <w:lang w:eastAsia="zh-CN"/>
                <w14:textFill>
                  <w14:solidFill>
                    <w14:schemeClr w14:val="tx1"/>
                  </w14:solidFill>
                </w14:textFill>
              </w:rPr>
              <w:t>，</w:t>
            </w:r>
            <w:r>
              <w:rPr>
                <w:rFonts w:hint="eastAsia" w:ascii="Times New Roman" w:hAnsi="Times New Roman" w:eastAsia="楷体_GB2312" w:cs="楷体_GB2312"/>
                <w:b w:val="0"/>
                <w:bCs w:val="0"/>
                <w:color w:val="000000" w:themeColor="text1"/>
                <w:sz w:val="24"/>
                <w:lang w:val="en-US" w:eastAsia="zh-CN"/>
                <w14:textFill>
                  <w14:solidFill>
                    <w14:schemeClr w14:val="tx1"/>
                  </w14:solidFill>
                </w14:textFill>
              </w:rPr>
              <w:t>进一步提升</w:t>
            </w:r>
            <w:r>
              <w:rPr>
                <w:rFonts w:hint="eastAsia" w:ascii="Times New Roman" w:hAnsi="Times New Roman" w:eastAsia="楷体_GB2312" w:cs="楷体_GB2312"/>
                <w:color w:val="000000" w:themeColor="text1"/>
                <w:sz w:val="24"/>
                <w14:textFill>
                  <w14:solidFill>
                    <w14:schemeClr w14:val="tx1"/>
                  </w14:solidFill>
                </w14:textFill>
              </w:rPr>
              <w:t>创意空间示范区</w:t>
            </w:r>
            <w:r>
              <w:rPr>
                <w:rFonts w:hint="eastAsia" w:ascii="Times New Roman" w:hAnsi="Times New Roman" w:eastAsia="楷体_GB2312" w:cs="楷体_GB2312"/>
                <w:b w:val="0"/>
                <w:bCs w:val="0"/>
                <w:color w:val="000000" w:themeColor="text1"/>
                <w:sz w:val="24"/>
                <w:lang w:val="en-US" w:eastAsia="zh-CN"/>
                <w14:textFill>
                  <w14:solidFill>
                    <w14:schemeClr w14:val="tx1"/>
                  </w14:solidFill>
                </w14:textFill>
              </w:rPr>
              <w:t>的利用程度，加强功能宣传，推动产业中心与广州乃至湾区时尚资源的对接，</w:t>
            </w:r>
            <w:r>
              <w:rPr>
                <w:rFonts w:hint="eastAsia" w:ascii="Times New Roman" w:hAnsi="Times New Roman" w:eastAsia="楷体_GB2312" w:cs="楷体_GB2312"/>
                <w:color w:val="000000" w:themeColor="text1"/>
                <w:sz w:val="24"/>
                <w14:textFill>
                  <w14:solidFill>
                    <w14:schemeClr w14:val="tx1"/>
                  </w14:solidFill>
                </w14:textFill>
              </w:rPr>
              <w:t>以时尚设计为引领，以版型制作为突破，</w:t>
            </w:r>
            <w:r>
              <w:rPr>
                <w:rFonts w:hint="eastAsia" w:ascii="Times New Roman" w:hAnsi="Times New Roman" w:eastAsia="楷体_GB2312" w:cs="楷体_GB2312"/>
                <w:color w:val="000000" w:themeColor="text1"/>
                <w:sz w:val="24"/>
                <w:lang w:val="en-US" w:eastAsia="zh-CN"/>
                <w14:textFill>
                  <w14:solidFill>
                    <w14:schemeClr w14:val="tx1"/>
                  </w14:solidFill>
                </w14:textFill>
              </w:rPr>
              <w:t>建设集</w:t>
            </w:r>
            <w:r>
              <w:rPr>
                <w:rFonts w:hint="eastAsia" w:ascii="Times New Roman" w:hAnsi="Times New Roman" w:eastAsia="楷体_GB2312" w:cs="楷体_GB2312"/>
                <w:color w:val="000000" w:themeColor="text1"/>
                <w:sz w:val="24"/>
                <w14:textFill>
                  <w14:solidFill>
                    <w14:schemeClr w14:val="tx1"/>
                  </w14:solidFill>
                </w14:textFill>
              </w:rPr>
              <w:t>时尚发布、版权交易、时尚研究、投融资服务、供应链管理</w:t>
            </w:r>
            <w:r>
              <w:rPr>
                <w:rFonts w:hint="eastAsia" w:ascii="Times New Roman" w:hAnsi="Times New Roman" w:eastAsia="楷体_GB2312" w:cs="楷体_GB2312"/>
                <w:color w:val="000000" w:themeColor="text1"/>
                <w:sz w:val="24"/>
                <w:lang w:val="en-US" w:eastAsia="zh-CN"/>
                <w14:textFill>
                  <w14:solidFill>
                    <w14:schemeClr w14:val="tx1"/>
                  </w14:solidFill>
                </w14:textFill>
              </w:rPr>
              <w:t>于一体的文化创意综合体。</w:t>
            </w:r>
          </w:p>
        </w:tc>
      </w:tr>
    </w:tbl>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图 </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SEQ 图 \* ARABIC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14:textFill>
            <w14:solidFill>
              <w14:schemeClr w14:val="tx1"/>
            </w14:solidFill>
          </w14:textFill>
        </w:rPr>
        <w:t>增城区现代服务业“十四五”发展布局图</w:t>
      </w:r>
    </w:p>
    <w:p>
      <w:pPr>
        <w:rPr>
          <w:rFonts w:ascii="Times New Roman" w:hAnsi="Times New Roman"/>
          <w:color w:val="000000" w:themeColor="text1"/>
          <w14:textFill>
            <w14:solidFill>
              <w14:schemeClr w14:val="tx1"/>
            </w14:solidFill>
          </w14:textFill>
        </w:rPr>
      </w:pPr>
      <w:r>
        <w:drawing>
          <wp:inline distT="0" distB="0" distL="114300" distR="114300">
            <wp:extent cx="5266055" cy="5184140"/>
            <wp:effectExtent l="0" t="0" r="1270" b="6985"/>
            <wp:docPr id="7" name="图片 7" descr="D:\1粤孵智库\1科工商信局工作\现代服务业十四五\征求意见后修改稿\现代服务业布局0615副本.jpg现代服务业布局0615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1粤孵智库\1科工商信局工作\现代服务业十四五\征求意见后修改稿\现代服务业布局0615副本.jpg现代服务业布局0615副本"/>
                    <pic:cNvPicPr>
                      <a:picLocks noChangeAspect="1"/>
                    </pic:cNvPicPr>
                  </pic:nvPicPr>
                  <pic:blipFill>
                    <a:blip r:embed="rId9"/>
                    <a:srcRect/>
                    <a:stretch>
                      <a:fillRect/>
                    </a:stretch>
                  </pic:blipFill>
                  <pic:spPr>
                    <a:xfrm>
                      <a:off x="0" y="0"/>
                      <a:ext cx="5266055" cy="5184140"/>
                    </a:xfrm>
                    <a:prstGeom prst="rect">
                      <a:avLst/>
                    </a:prstGeom>
                  </pic:spPr>
                </pic:pic>
              </a:graphicData>
            </a:graphic>
          </wp:inline>
        </w:drawing>
      </w:r>
    </w:p>
    <w:p>
      <w:pPr>
        <w:rPr>
          <w:rFonts w:ascii="Times New Roman" w:hAnsi="Times New Roman" w:eastAsia="黑体" w:cs="黑体"/>
          <w:color w:val="000000" w:themeColor="text1"/>
          <w:sz w:val="20"/>
          <w:szCs w:val="20"/>
          <w14:textFill>
            <w14:solidFill>
              <w14:schemeClr w14:val="tx1"/>
            </w14:solidFill>
          </w14:textFill>
        </w:rPr>
      </w:pPr>
      <w:r>
        <w:rPr>
          <w:rFonts w:hint="eastAsia" w:ascii="Times New Roman" w:hAnsi="Times New Roman" w:eastAsia="黑体" w:cs="黑体"/>
          <w:color w:val="000000" w:themeColor="text1"/>
          <w:sz w:val="20"/>
          <w:szCs w:val="20"/>
          <w14:textFill>
            <w14:solidFill>
              <w14:schemeClr w14:val="tx1"/>
            </w14:solidFill>
          </w14:textFill>
        </w:rPr>
        <w:t>资料来源：项目组绘制。</w:t>
      </w:r>
    </w:p>
    <w:p>
      <w:pPr>
        <w:spacing w:line="560" w:lineRule="exact"/>
        <w:ind w:firstLine="640" w:firstLineChars="200"/>
        <w:outlineLvl w:val="0"/>
        <w:rPr>
          <w:rFonts w:ascii="Times New Roman" w:hAnsi="Times New Roman" w:eastAsia="黑体" w:cs="黑体"/>
          <w:color w:val="000000" w:themeColor="text1"/>
          <w:sz w:val="32"/>
          <w:szCs w:val="32"/>
          <w14:textFill>
            <w14:solidFill>
              <w14:schemeClr w14:val="tx1"/>
            </w14:solidFill>
          </w14:textFill>
        </w:rPr>
      </w:pPr>
      <w:bookmarkStart w:id="53" w:name="_Toc1981"/>
      <w:bookmarkStart w:id="54" w:name="_Toc3532"/>
      <w:bookmarkStart w:id="55" w:name="_Toc32717"/>
      <w:r>
        <w:rPr>
          <w:rFonts w:hint="eastAsia" w:ascii="Times New Roman" w:hAnsi="Times New Roman" w:eastAsia="黑体" w:cs="黑体"/>
          <w:color w:val="000000" w:themeColor="text1"/>
          <w:sz w:val="32"/>
          <w:szCs w:val="32"/>
          <w14:textFill>
            <w14:solidFill>
              <w14:schemeClr w14:val="tx1"/>
            </w14:solidFill>
          </w14:textFill>
        </w:rPr>
        <w:t>六、重点任务</w:t>
      </w:r>
      <w:bookmarkEnd w:id="53"/>
      <w:bookmarkEnd w:id="54"/>
      <w:bookmarkEnd w:id="55"/>
      <w:r>
        <w:rPr>
          <w:rFonts w:hint="eastAsia" w:ascii="Times New Roman" w:hAnsi="Times New Roman" w:eastAsia="黑体" w:cs="黑体"/>
          <w:color w:val="000000" w:themeColor="text1"/>
          <w:sz w:val="32"/>
          <w:szCs w:val="32"/>
          <w14:textFill>
            <w14:solidFill>
              <w14:schemeClr w14:val="tx1"/>
            </w14:solidFill>
          </w14:textFill>
        </w:rPr>
        <w:t xml:space="preserve"> </w:t>
      </w:r>
    </w:p>
    <w:p>
      <w:pPr>
        <w:spacing w:line="560" w:lineRule="exact"/>
        <w:ind w:firstLine="643" w:firstLineChars="200"/>
        <w:outlineLvl w:val="1"/>
        <w:rPr>
          <w:rFonts w:ascii="Times New Roman" w:hAnsi="Times New Roman" w:eastAsia="楷体_GB2312"/>
          <w:b/>
          <w:bCs/>
          <w:color w:val="000000" w:themeColor="text1"/>
          <w:sz w:val="32"/>
          <w:szCs w:val="32"/>
          <w14:textFill>
            <w14:solidFill>
              <w14:schemeClr w14:val="tx1"/>
            </w14:solidFill>
          </w14:textFill>
        </w:rPr>
      </w:pPr>
      <w:bookmarkStart w:id="56" w:name="_Toc1380"/>
      <w:bookmarkStart w:id="57" w:name="_Toc1413"/>
      <w:bookmarkStart w:id="58" w:name="_Toc29676"/>
      <w:r>
        <w:rPr>
          <w:rFonts w:hint="eastAsia" w:ascii="Times New Roman" w:hAnsi="Times New Roman" w:eastAsia="楷体_GB2312"/>
          <w:b/>
          <w:bCs/>
          <w:color w:val="000000" w:themeColor="text1"/>
          <w:sz w:val="32"/>
          <w:szCs w:val="32"/>
          <w14:textFill>
            <w14:solidFill>
              <w14:schemeClr w14:val="tx1"/>
            </w14:solidFill>
          </w14:textFill>
        </w:rPr>
        <w:t>（一）推动服务业融合创新</w:t>
      </w:r>
      <w:bookmarkEnd w:id="56"/>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1、推进服务业与一二产融合发展</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推动服务业与现代农业深度融合，加快推进农业创客空间、休闲农业等融合模式创新，强化创鲜农业公园“农业+旅游+文化+教育”的多元融合模式与产业功能，加快一二三产深度融合，推进诺普信田园综合体开展二期和三期工程建设，发展产品分选加工、冷链物流、教学研及农旅结合产业，推动城市服务主动对接农业产业需求，加快农业产业化发展。依托电子商务，围绕线上线下农产品流通模式，积极扩大增城农村电子商务的发展。探索建立农业生产全程监测管理网络体系，加快建设农产品质量安全追溯体系信息平台。推动制造业与现代服务化深度融合，支持本土服务企业与制造企业联合，打造“服务+制造”“平台+模块”的网络化协同生产服务体系，重点推进工业互联网等平台建设，努力发挥中镓科技、雪松控股、珠江钢琴等龙头企业优势，强化产业链企业合作，提升产业链价值。鼓励具备一定技术水平、经营规模的制造业企业在增城建设一批公共服务平台以及各类职能型中心，将原有生产基地升级为总部基地，推进服务的专业化、市场化和社会化水平。</w:t>
      </w:r>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2、加快服务业与信息化深度融合</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快移动互联网、大数据、物联网、云计算、人工智能等技术在服务领域的融合应用，依托移动智能终端、可穿戴设备和虚拟/增强现实的技术优势，重点提升商务金融、文化消费、教育健康、商贸流通等领域的数字智能化水平，创新服务产品模式，探索智慧形成网络化、智能化、服务化、协同化的现代服务业发展新形态，鼓励优势企业、重点产业园区聚焦工业设计、个性化定制、全生命周期管理、供应链管理等服务型制造重点领域。加快推进“互联网+政务”，围绕增城本土民生热点推动公共服务平台建设，创新发展“互联网+金融”“互联网+商贸”“互联网+文化”“互联网+旅游”“互联网+医疗”等新兴领域，全面提升现代服务业信息化水平。</w:t>
      </w:r>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3、促进多元化业态跨界有机融合</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快服务业内部业态有机融合，依托增城本土文化旅游资源优势，鼓励文化产品创新，丰富文化创意概念，借助1978数字文创小镇全产业链建设大力发展电影影视、广告创意等产业，依托珠江国际创业中心、广州·钧明欢乐世界等重点项目搭建增城数字文化创意产业基础，打造文化创意、动漫游戏、电子竞技等产业集聚区，引进与培育创意人才，推动文化创意、旅游、设计等领域与科技、教育等相关产业有机融合，打造一系列“旅游+”“文化+”产业。充分挖掘产业资源价值，促进文化创意与研发设计，健康养老与医疗，旅游业与文创设计、医疗健康、体育服务等多元领域的叠加融合发展。</w:t>
      </w:r>
    </w:p>
    <w:p>
      <w:pPr>
        <w:spacing w:line="560" w:lineRule="exact"/>
        <w:ind w:firstLine="643" w:firstLineChars="200"/>
        <w:outlineLvl w:val="1"/>
        <w:rPr>
          <w:rFonts w:ascii="Times New Roman" w:hAnsi="Times New Roman" w:eastAsia="楷体_GB2312"/>
          <w:b/>
          <w:bCs/>
          <w:color w:val="000000" w:themeColor="text1"/>
          <w:sz w:val="32"/>
          <w:szCs w:val="32"/>
          <w14:textFill>
            <w14:solidFill>
              <w14:schemeClr w14:val="tx1"/>
            </w14:solidFill>
          </w14:textFill>
        </w:rPr>
      </w:pPr>
      <w:bookmarkStart w:id="59" w:name="_Toc25086"/>
      <w:r>
        <w:rPr>
          <w:rFonts w:hint="eastAsia" w:ascii="Times New Roman" w:hAnsi="Times New Roman" w:eastAsia="楷体_GB2312"/>
          <w:b/>
          <w:bCs/>
          <w:color w:val="000000" w:themeColor="text1"/>
          <w:sz w:val="32"/>
          <w:szCs w:val="32"/>
          <w14:textFill>
            <w14:solidFill>
              <w14:schemeClr w14:val="tx1"/>
            </w14:solidFill>
          </w14:textFill>
        </w:rPr>
        <w:t>（二）推进重点项目支撑发展</w:t>
      </w:r>
      <w:bookmarkEnd w:id="57"/>
      <w:bookmarkEnd w:id="58"/>
      <w:bookmarkEnd w:id="59"/>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1、全面开展服务业重大项目招商引资</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聚焦</w:t>
      </w:r>
      <w:r>
        <w:rPr>
          <w:rFonts w:hint="eastAsia" w:ascii="Times New Roman" w:hAnsi="Times New Roman" w:eastAsia="仿宋_GB2312"/>
          <w:color w:val="000000" w:themeColor="text1"/>
          <w:sz w:val="32"/>
          <w:szCs w:val="32"/>
          <w:lang w:val="en-US" w:eastAsia="zh-CN"/>
          <w14:textFill>
            <w14:solidFill>
              <w14:schemeClr w14:val="tx1"/>
            </w14:solidFill>
          </w14:textFill>
        </w:rPr>
        <w:t>增城</w:t>
      </w:r>
      <w:r>
        <w:rPr>
          <w:rFonts w:hint="eastAsia" w:ascii="Times New Roman" w:hAnsi="Times New Roman" w:eastAsia="仿宋_GB2312"/>
          <w:color w:val="000000" w:themeColor="text1"/>
          <w:sz w:val="32"/>
          <w:szCs w:val="32"/>
          <w14:textFill>
            <w14:solidFill>
              <w14:schemeClr w14:val="tx1"/>
            </w14:solidFill>
          </w14:textFill>
        </w:rPr>
        <w:t>区重点发展产业，建立重点产业产业链供应链图谱，构建全区产业地图，引导重大产业项目根据产业地图进行集聚布局</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围绕产业链强链、补链、延链的思路，深入开展精准化招商引资，承接粤港澳大湾区以及国内其他先进地区的产业资源转移溢出。实施精准招商，结合</w:t>
      </w:r>
      <w:r>
        <w:rPr>
          <w:rFonts w:hint="eastAsia" w:ascii="Times New Roman" w:hAnsi="Times New Roman" w:eastAsia="仿宋_GB2312"/>
          <w:color w:val="000000" w:themeColor="text1"/>
          <w:sz w:val="32"/>
          <w:szCs w:val="32"/>
          <w:lang w:eastAsia="zh-CN"/>
          <w14:textFill>
            <w14:solidFill>
              <w14:schemeClr w14:val="tx1"/>
            </w14:solidFill>
          </w14:textFill>
        </w:rPr>
        <w:t>东部交通枢纽</w:t>
      </w:r>
      <w:r>
        <w:rPr>
          <w:rFonts w:hint="eastAsia" w:ascii="Times New Roman" w:hAnsi="Times New Roman" w:eastAsia="仿宋_GB2312"/>
          <w:color w:val="000000" w:themeColor="text1"/>
          <w:sz w:val="32"/>
          <w:szCs w:val="32"/>
          <w:lang w:val="en-US" w:eastAsia="zh-CN"/>
          <w14:textFill>
            <w14:solidFill>
              <w14:schemeClr w14:val="tx1"/>
            </w14:solidFill>
          </w14:textFill>
        </w:rPr>
        <w:t>中心</w:t>
      </w:r>
      <w:r>
        <w:rPr>
          <w:rFonts w:hint="eastAsia" w:ascii="Times New Roman" w:hAnsi="Times New Roman" w:eastAsia="仿宋_GB2312"/>
          <w:color w:val="000000" w:themeColor="text1"/>
          <w:sz w:val="32"/>
          <w:szCs w:val="32"/>
          <w:lang w:eastAsia="zh-CN"/>
          <w14:textFill>
            <w14:solidFill>
              <w14:schemeClr w14:val="tx1"/>
            </w14:solidFill>
          </w14:textFill>
        </w:rPr>
        <w:t>商务区、</w:t>
      </w:r>
      <w:r>
        <w:rPr>
          <w:rFonts w:hint="eastAsia" w:ascii="Times New Roman" w:hAnsi="Times New Roman" w:eastAsia="仿宋_GB2312"/>
          <w:color w:val="000000" w:themeColor="text1"/>
          <w:sz w:val="32"/>
          <w:szCs w:val="32"/>
          <w14:textFill>
            <w14:solidFill>
              <w14:schemeClr w14:val="tx1"/>
            </w14:solidFill>
          </w14:textFill>
        </w:rPr>
        <w:t>增城经济技术开发区、东江新城</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荔湖新城、北部生态旅游区片区资源和产业现状特点，因地制宜开展项目招商与布局，紧跟国际产业发展前沿动态，对关键领域的重要企业实施敲门招商。重点引进信息服务、现代金融、专业服务、现代物流、科创服务、数字创意等领域项目以及</w:t>
      </w:r>
      <w:r>
        <w:rPr>
          <w:rFonts w:hint="eastAsia" w:ascii="仿宋_GB2312" w:hAnsi="仿宋_GB2312" w:eastAsia="仿宋_GB2312" w:cs="仿宋_GB2312"/>
          <w:sz w:val="32"/>
          <w:szCs w:val="32"/>
        </w:rPr>
        <w:t>产业链上下游企业</w:t>
      </w:r>
      <w:r>
        <w:rPr>
          <w:rFonts w:hint="eastAsia" w:ascii="Times New Roman" w:hAnsi="Times New Roman" w:eastAsia="仿宋_GB2312"/>
          <w:color w:val="000000" w:themeColor="text1"/>
          <w:sz w:val="32"/>
          <w:szCs w:val="32"/>
          <w14:textFill>
            <w14:solidFill>
              <w14:schemeClr w14:val="tx1"/>
            </w14:solidFill>
          </w14:textFill>
        </w:rPr>
        <w:t>，加大在新兴服务业和新业态领域的投资力度，着力引进一批服务业新兴业态项目。开展平台招商，密切关注、积极对接广州市及周边地市展会信息，大力宣传增城宜居宜业宜游优质营商环境，针对数字产业、信创产业、大健康产业等举办专场推介和对接会，挖潜优质项目信息源。</w:t>
      </w:r>
      <w:r>
        <w:rPr>
          <w:rFonts w:hint="eastAsia" w:ascii="仿宋_GB2312" w:hAnsi="仿宋_GB2312" w:eastAsia="仿宋_GB2312" w:cs="仿宋_GB2312"/>
          <w:sz w:val="32"/>
          <w:szCs w:val="32"/>
        </w:rPr>
        <w:t>探索建立全区社会合作招商机制，统筹全区社会招商资源，加大产业园区、楼宇招商引资。</w:t>
      </w:r>
      <w:r>
        <w:rPr>
          <w:rFonts w:hint="eastAsia" w:ascii="Times New Roman" w:hAnsi="Times New Roman" w:eastAsia="仿宋_GB2312"/>
          <w:color w:val="000000" w:themeColor="text1"/>
          <w:sz w:val="32"/>
          <w:szCs w:val="32"/>
          <w14:textFill>
            <w14:solidFill>
              <w14:schemeClr w14:val="tx1"/>
            </w14:solidFill>
          </w14:textFill>
        </w:rPr>
        <w:t>积极开展多样化招商，加快推进“互联网+招商”等新媒介开展招商引资工作。强化专业化招商能力，加快建立一支有专长、有活力、有拼劲的服务业招商队伍。</w:t>
      </w:r>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2、建立现代服务业重大项目推进机制</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搭建区级现代服务业重大项目库，梳理产业开展进度，按照“建成项目、在建项目、推进项目”对项目进行分阶段管理，建立动态调整、滚动推进的机制。建立服务业重大项目阶段性报送机制，密切与各单位、各镇街及开发区等主体的项目对接及沟通。强化服务业重大项目的综合协调和日常管理，定期组织召开协调例会，针对数字创意、金融科技、信创等重点产业项目形成跨部门沟通协调机制，充分整合多部门信息资源精准推动重大项目各相关业态的落地与发展。区发展现代服务业相关各成员单位在职责范围内做好重大项目的指导、管理、监督和服务工作。</w:t>
      </w:r>
    </w:p>
    <w:p>
      <w:pPr>
        <w:pStyle w:val="2"/>
        <w:numPr>
          <w:ilvl w:val="255"/>
          <w:numId w:val="0"/>
        </w:num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3、拓展现代服务业重大平台承载空间</w:t>
      </w:r>
    </w:p>
    <w:p>
      <w:pPr>
        <w:pStyle w:val="2"/>
        <w:numPr>
          <w:ilvl w:val="255"/>
          <w:numId w:val="0"/>
        </w:num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在已有重点项目和重大平台的基础上，持续提升各类平台在服务业领域的招商力度。推动增城开发区合理扩区，以功能聚焦和优化为重点，加快分园区建设，促进增城开发区扩容提质。强化现有服务业重点产业园区载体的全产业链价值，结合平台自身产业方向与空间开展相关产业链环节的项目招商，提升平台内部产业链延伸、平台之间产业联动互补的集聚效应，推动形成金融科创、现代物流、电影影视、生态文旅等领域的能够发挥增城产业基础和资源优势的重点园区平台，并着力提升各类现代化园区的数字化、智能化水平。</w:t>
      </w:r>
    </w:p>
    <w:p>
      <w:pPr>
        <w:spacing w:line="560" w:lineRule="exact"/>
        <w:ind w:firstLine="643" w:firstLineChars="200"/>
        <w:outlineLvl w:val="1"/>
        <w:rPr>
          <w:rFonts w:ascii="Times New Roman" w:hAnsi="Times New Roman" w:eastAsia="楷体_GB2312"/>
          <w:b/>
          <w:bCs/>
          <w:color w:val="000000" w:themeColor="text1"/>
          <w:sz w:val="32"/>
          <w:szCs w:val="32"/>
          <w14:textFill>
            <w14:solidFill>
              <w14:schemeClr w14:val="tx1"/>
            </w14:solidFill>
          </w14:textFill>
        </w:rPr>
      </w:pPr>
      <w:bookmarkStart w:id="60" w:name="_Toc20979"/>
      <w:bookmarkStart w:id="61" w:name="_Toc21700"/>
      <w:bookmarkStart w:id="62" w:name="_Toc20161"/>
      <w:r>
        <w:rPr>
          <w:rFonts w:hint="eastAsia" w:ascii="Times New Roman" w:hAnsi="Times New Roman" w:eastAsia="楷体_GB2312"/>
          <w:b/>
          <w:bCs/>
          <w:color w:val="000000" w:themeColor="text1"/>
          <w:sz w:val="32"/>
          <w:szCs w:val="32"/>
          <w14:textFill>
            <w14:solidFill>
              <w14:schemeClr w14:val="tx1"/>
            </w14:solidFill>
          </w14:textFill>
        </w:rPr>
        <w:t>（三）加快培育企业做强做优</w:t>
      </w:r>
      <w:bookmarkEnd w:id="60"/>
      <w:bookmarkEnd w:id="61"/>
      <w:bookmarkEnd w:id="62"/>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1、壮大发展现代服务业重点企业</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制定现代服务业领军企业培育计划，结合金融、科创、影视、大健康产业、数字经济等重点发展领域培育引进一批在大湾区内知名度较高、竞争力较强的现代服务业龙头企业。支持企业通过融资进一步提升市场规模，挖掘、培育一批有基础、有条件、有上市意愿的本土服务业企业，加大指导力度，支持企业在证券交易所挂牌上市，鼓励企业通过融资、兼并、重组等方式，做大市场规模，拓展服务半径。支持金融服务、信息服务、大健康产业等新兴领域的本土企业通过增强技术能力、提高专业水平和优化服务方式，成为细分领域内行业龙头，提升增城现代服务业整体产业竞争力。</w:t>
      </w:r>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2、培育发展现代服务业成长企业</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制定现代服务业成长企业培育计划，拓展本土服务业中小微企业的培育面，在创新成果转化、科技项目等方面给予大力支持，形成具有一定规模的科技型、创新型服务业企业群。鼓励服务业中小企业向“专、精、特、新”方向发展，推动本土服务业新兴业态往专业化、高端化发展。推进服务业中小企业公共服务平台建设，为本土及周边企业提供完善的服务体系。优化服务业中小企业融资服务，创新中小企业融资体制机制改革，探索通过多种方式满足不同类型、不同阶段的服务业中小企业融资，培育壮大企业竞争力。</w:t>
      </w:r>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3</w:t>
      </w:r>
      <w:r>
        <w:rPr>
          <w:rFonts w:hint="eastAsia" w:ascii="Times New Roman" w:hAnsi="Times New Roman" w:eastAsia="仿宋_GB2312"/>
          <w:b/>
          <w:bCs/>
          <w:color w:val="000000" w:themeColor="text1"/>
          <w:sz w:val="32"/>
          <w:szCs w:val="32"/>
          <w14:textFill>
            <w14:solidFill>
              <w14:schemeClr w14:val="tx1"/>
            </w14:solidFill>
          </w14:textFill>
        </w:rPr>
        <w:t>、提升现代服务业企业创新水平</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鼓励本土服务业龙头企业建立研发机构，提升创新研发领域投入，依托龙头企业构建服务业技术创新战略联盟。鼓励符合条件的本土服务企业参与高新技术企业、技术先进型服务企业的认定，推动有相关资质的企业完成各类、各级服务业创新示范企业认定，落实各项优惠政策。支持服务业企业依托互联网技术提升技术创新水平，加快信息化技术在服务领域的广泛应用，培育新模式、新业态。以知识产权创造为核心，加快落实服务业创新培育机制，进一步推动创新政策、创新资源、创新人才、创新服务向服务业企业集聚，增强企业自主创新能力。</w:t>
      </w:r>
    </w:p>
    <w:p>
      <w:pPr>
        <w:spacing w:line="560" w:lineRule="exact"/>
        <w:ind w:firstLine="643" w:firstLineChars="200"/>
        <w:outlineLvl w:val="1"/>
        <w:rPr>
          <w:rFonts w:ascii="Times New Roman" w:hAnsi="Times New Roman" w:eastAsia="楷体_GB2312"/>
          <w:b/>
          <w:bCs/>
          <w:color w:val="000000" w:themeColor="text1"/>
          <w:sz w:val="32"/>
          <w:szCs w:val="32"/>
          <w14:textFill>
            <w14:solidFill>
              <w14:schemeClr w14:val="tx1"/>
            </w14:solidFill>
          </w14:textFill>
        </w:rPr>
      </w:pPr>
      <w:bookmarkStart w:id="63" w:name="_Toc22151"/>
      <w:bookmarkStart w:id="64" w:name="_Toc8822"/>
      <w:bookmarkStart w:id="65" w:name="_Toc7544"/>
      <w:r>
        <w:rPr>
          <w:rFonts w:hint="eastAsia" w:ascii="Times New Roman" w:hAnsi="Times New Roman" w:eastAsia="楷体_GB2312"/>
          <w:b/>
          <w:bCs/>
          <w:color w:val="000000" w:themeColor="text1"/>
          <w:sz w:val="32"/>
          <w:szCs w:val="32"/>
          <w14:textFill>
            <w14:solidFill>
              <w14:schemeClr w14:val="tx1"/>
            </w14:solidFill>
          </w14:textFill>
        </w:rPr>
        <w:t>（四）扩大服务业内外开放</w:t>
      </w:r>
      <w:bookmarkEnd w:id="63"/>
      <w:bookmarkEnd w:id="64"/>
      <w:bookmarkEnd w:id="65"/>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1、进一步扩大服务供给的内循环</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拓宽服务业供给侧的供应能力，围绕服务业消费市场需求趋势，提供更多满足市场需求、具有更高附加值的服务产品，提高服务供给体系质量和效率。顺应生活消费方式转变，加快提升健康服务、居民和家庭服务等贴近群众生活、需求潜力大、带动力强的生活性服务业品质。推进生产性服务业高质高效发展，以服务业领域各项扶持政策为抓手，鼓励企业重视研发设计、物流、营销、售后服务、人力资源、采购等方面的业务拓展与能力提升。释放服务业需求侧的消费潜能，深度挖掘服务领域潜在需求，结合“后疫情”时代新业态发展方向与消费需求的变化，完善各类服务消费补贴政策，推动由补供给方向补需求方的转变，打通消费链条堵点，形成需求牵引供给、供给创造需求的动态平衡，保障增城服务业稳定增长。</w:t>
      </w:r>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2</w:t>
      </w:r>
      <w:r>
        <w:rPr>
          <w:rFonts w:hint="eastAsia" w:ascii="Times New Roman" w:hAnsi="Times New Roman" w:eastAsia="仿宋_GB2312"/>
          <w:b/>
          <w:bCs/>
          <w:color w:val="000000" w:themeColor="text1"/>
          <w:sz w:val="32"/>
          <w:szCs w:val="32"/>
          <w14:textFill>
            <w14:solidFill>
              <w14:schemeClr w14:val="tx1"/>
            </w14:solidFill>
          </w14:textFill>
        </w:rPr>
        <w:t>、畅通以服务贸易为主的外循环</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快发展服务贸易，积极与区域全面经济伙伴关系协定成员国、“一带一路”沿线国家开展合作，重点推动商贸服务、金融服务、信息服务、专业服务、文化创意、科创服务等资本和技术密集型服务贸易发展。进一步提升服务业对外开放水平，积极利用外资引进国际先进理念、管理技术和知名品牌，推动服务业重点领域扩大开放。积极推动增城本土特色服务出口，培育壮大一批服务外包领军企业，谋划建设一批服务外包交易、人才供需、人才培训、品牌推广、公共技术支撑等平台，全面提升贸易便利化水平。</w:t>
      </w:r>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3</w:t>
      </w:r>
      <w:r>
        <w:rPr>
          <w:rFonts w:hint="eastAsia" w:ascii="Times New Roman" w:hAnsi="Times New Roman" w:eastAsia="仿宋_GB2312"/>
          <w:b/>
          <w:bCs/>
          <w:color w:val="000000" w:themeColor="text1"/>
          <w:sz w:val="32"/>
          <w:szCs w:val="32"/>
          <w14:textFill>
            <w14:solidFill>
              <w14:schemeClr w14:val="tx1"/>
            </w14:solidFill>
          </w14:textFill>
        </w:rPr>
        <w:t>、积极开展区域间产业协同合作</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强增城与广州中心城区以及深圳、东莞、惠州等周边区域的交通对接，构建外联内畅综合交通体系。积极承接湾区产业外溢资源，围绕湾区现代服务业的产业资源优势，推加强现代服务业招商引资力度，围绕“贸易+投资”“技术+产品”“产品+服务”等招商模式，重点引进金融服务、现代物流、信息服务、服务外包、数字创意、健康服务等重点产业项目。进一步扩大增城与国内长三角、京津冀等发达地区合作，加快服务产业要素的互补共享，积极推动国内外知名企业集团地区总部和区域性中心落户增城，提升服务业竞争力。</w:t>
      </w:r>
    </w:p>
    <w:p>
      <w:pPr>
        <w:numPr>
          <w:ilvl w:val="0"/>
          <w:numId w:val="3"/>
        </w:numPr>
        <w:spacing w:line="560" w:lineRule="exact"/>
        <w:ind w:firstLine="643" w:firstLineChars="200"/>
        <w:outlineLvl w:val="1"/>
        <w:rPr>
          <w:rFonts w:ascii="Times New Roman" w:hAnsi="Times New Roman" w:eastAsia="楷体_GB2312"/>
          <w:b/>
          <w:bCs/>
          <w:color w:val="000000" w:themeColor="text1"/>
          <w:sz w:val="32"/>
          <w:szCs w:val="32"/>
          <w14:textFill>
            <w14:solidFill>
              <w14:schemeClr w14:val="tx1"/>
            </w14:solidFill>
          </w14:textFill>
        </w:rPr>
      </w:pPr>
      <w:bookmarkStart w:id="66" w:name="_Toc117"/>
      <w:bookmarkStart w:id="67" w:name="_Toc31516"/>
      <w:bookmarkStart w:id="68" w:name="_Toc8873"/>
      <w:r>
        <w:rPr>
          <w:rFonts w:hint="eastAsia" w:ascii="Times New Roman" w:hAnsi="Times New Roman" w:eastAsia="楷体_GB2312"/>
          <w:b/>
          <w:bCs/>
          <w:color w:val="000000" w:themeColor="text1"/>
          <w:sz w:val="32"/>
          <w:szCs w:val="32"/>
          <w14:textFill>
            <w14:solidFill>
              <w14:schemeClr w14:val="tx1"/>
            </w14:solidFill>
          </w14:textFill>
        </w:rPr>
        <w:t>强化服务业</w:t>
      </w:r>
      <w:bookmarkEnd w:id="66"/>
      <w:bookmarkEnd w:id="67"/>
      <w:r>
        <w:rPr>
          <w:rFonts w:hint="eastAsia" w:ascii="Times New Roman" w:hAnsi="Times New Roman" w:eastAsia="楷体_GB2312"/>
          <w:b/>
          <w:bCs/>
          <w:color w:val="000000" w:themeColor="text1"/>
          <w:sz w:val="32"/>
          <w:szCs w:val="32"/>
          <w14:textFill>
            <w14:solidFill>
              <w14:schemeClr w14:val="tx1"/>
            </w14:solidFill>
          </w14:textFill>
        </w:rPr>
        <w:t>基础设施</w:t>
      </w:r>
      <w:bookmarkEnd w:id="68"/>
    </w:p>
    <w:p>
      <w:pPr>
        <w:spacing w:line="560" w:lineRule="exact"/>
        <w:ind w:firstLine="640" w:firstLineChars="200"/>
        <w:outlineLvl w:val="2"/>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1、</w:t>
      </w:r>
      <w:bookmarkStart w:id="69" w:name="_Toc7798"/>
      <w:bookmarkStart w:id="70" w:name="_Toc16976"/>
      <w:r>
        <w:rPr>
          <w:rFonts w:hint="eastAsia" w:ascii="Times New Roman" w:hAnsi="Times New Roman" w:eastAsia="楷体_GB2312"/>
          <w:color w:val="000000" w:themeColor="text1"/>
          <w:sz w:val="32"/>
          <w:szCs w:val="32"/>
          <w14:textFill>
            <w14:solidFill>
              <w14:schemeClr w14:val="tx1"/>
            </w14:solidFill>
          </w14:textFill>
        </w:rPr>
        <w:t>持续推进基础设施建设与优化</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全面统筹传统基建与新基建建设工作，全方位提升城市综合运输承载能力与公共服务效能。加快推进高快速等路网建设、管网、生活配套等基础设施的巩固与改造升级，推动商业、交通、旅游等领域相关项目落地。着重加快面向服务业应用的数字化基础设施布局建设，聚焦新能源汽车、新型显示智能家居等产业集群布局创新型基础设施。进一步推进5G基站规划建设，实现5G信号全域覆盖，加快布局智慧商圈等智慧零售终端。持续提升增城政务服务效率，优化服务质</w:t>
      </w:r>
      <w:r>
        <w:rPr>
          <w:rFonts w:hint="eastAsia" w:ascii="Times New Roman" w:hAnsi="Times New Roman" w:eastAsia="仿宋_GB2312"/>
          <w:color w:val="000000" w:themeColor="text1"/>
          <w:sz w:val="32"/>
          <w:szCs w:val="32"/>
          <w14:textFill>
            <w14:solidFill>
              <w14:schemeClr w14:val="tx1"/>
            </w14:solidFill>
          </w14:textFill>
        </w:rPr>
        <w:t>量，强化“进一扇门，办一揽子事”的增城服务品牌。</w:t>
      </w:r>
    </w:p>
    <w:p>
      <w:pPr>
        <w:numPr>
          <w:ilvl w:val="0"/>
          <w:numId w:val="4"/>
        </w:numPr>
        <w:spacing w:line="560" w:lineRule="exact"/>
        <w:ind w:firstLine="643" w:firstLineChars="200"/>
        <w:outlineLvl w:val="2"/>
        <w:rPr>
          <w:rFonts w:ascii="Times New Roman" w:hAnsi="Times New Roman" w:eastAsia="楷体_GB2312"/>
          <w:b/>
          <w:bCs/>
          <w:color w:val="000000" w:themeColor="text1"/>
          <w:sz w:val="32"/>
          <w:szCs w:val="32"/>
          <w14:textFill>
            <w14:solidFill>
              <w14:schemeClr w14:val="tx1"/>
            </w14:solidFill>
          </w14:textFill>
        </w:rPr>
      </w:pPr>
      <w:r>
        <w:rPr>
          <w:rFonts w:hint="eastAsia" w:ascii="Times New Roman" w:hAnsi="Times New Roman" w:eastAsia="楷体_GB2312"/>
          <w:b/>
          <w:bCs/>
          <w:color w:val="000000" w:themeColor="text1"/>
          <w:sz w:val="32"/>
          <w:szCs w:val="32"/>
          <w14:textFill>
            <w14:solidFill>
              <w14:schemeClr w14:val="tx1"/>
            </w14:solidFill>
          </w14:textFill>
        </w:rPr>
        <w:t>加强服务业配套资源建设与引进</w:t>
      </w:r>
    </w:p>
    <w:p>
      <w:pPr>
        <w:pStyle w:val="2"/>
        <w:numPr>
          <w:ilvl w:val="255"/>
          <w:numId w:val="0"/>
        </w:num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完善增城区体育、会展、演艺、艺术等场馆设施建设，积极引进与支持国际会议、知名会展、大型文化艺术活动和体育赛事落户，打造增城文化体育艺术等领域IP，打造中外合作交流知名品牌，推动现代服务企业主体的聚集与成长。持续完善高等院校、国际学校等设施配套，支持社会力量开办中外合作学校。培育引进国际化专科医院、医美中心、健康机构等，深化与国际知名保险机构合作</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加强与国内优质康养品牌合作</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3" w:firstLineChars="200"/>
        <w:outlineLvl w:val="1"/>
        <w:rPr>
          <w:rFonts w:ascii="Times New Roman" w:hAnsi="Times New Roman" w:eastAsia="楷体_GB2312"/>
          <w:b/>
          <w:bCs/>
          <w:color w:val="000000" w:themeColor="text1"/>
          <w:sz w:val="32"/>
          <w:szCs w:val="32"/>
          <w14:textFill>
            <w14:solidFill>
              <w14:schemeClr w14:val="tx1"/>
            </w14:solidFill>
          </w14:textFill>
        </w:rPr>
      </w:pPr>
      <w:bookmarkStart w:id="71" w:name="_Toc28168"/>
      <w:r>
        <w:rPr>
          <w:rFonts w:hint="eastAsia" w:ascii="Times New Roman" w:hAnsi="Times New Roman" w:eastAsia="楷体_GB2312"/>
          <w:b/>
          <w:bCs/>
          <w:color w:val="000000" w:themeColor="text1"/>
          <w:sz w:val="32"/>
          <w:szCs w:val="32"/>
          <w14:textFill>
            <w14:solidFill>
              <w14:schemeClr w14:val="tx1"/>
            </w14:solidFill>
          </w14:textFill>
        </w:rPr>
        <w:t>（六）完善服务业发展环境</w:t>
      </w:r>
      <w:bookmarkEnd w:id="69"/>
      <w:bookmarkEnd w:id="70"/>
      <w:bookmarkEnd w:id="71"/>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1、健全服务业人才支撑体系</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推动服务业高端人才集聚增城，定期举办现代服务业领域交流会议，建立服务业人才引进沟通机制，完善人才流动配套政策措施，为服务业高端人才提供医疗、教育、文化等公共服务。推动服务业青年人才落户增城，持续推动侨梦苑“一苑多区”建设，积极导入港澳元素，强化创新载体建设和科技力量建设，打造粤港澳大湾区技能技术人才培养集聚区。加大对青年人才的政策支持力度，探索建立服务业相关的优秀博士、博士后连续培养机制，鼓励各类企业通过股权、期权、分红等方式加大对服务业优秀人才的激励，完善提升服务人才培育机制。聚焦重点领域服务业需求，推进广州增城1978国际人才港湾全面建设，开展智能装备、大数据、电子信息、电影文化创意等四大产业领域人才培养。支持增城本土院校增设服务业相关专业，联合优质企业建立现代服务业人才公共实训基地，打造一批高素质的服务业专业人才水平，提升服务业人才造血功能。</w:t>
      </w:r>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2、加快服务业重点领域改革</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完善服务业行业管理体制，突破金融、科创、物流、旅游、健康等产业的体制机制性障碍。强化政策支撑，全面落实服务产品出口退免税、服务领域高新技术企业减按15%的税率征收企业所得税、小微企业免征增值税和减征企业所得税政策。分类推进公共服务供给市场化改革，依法全面放开非基本公共服务领域市场准入，鼓励和引导本土社会资本参与文化创意、科技创新、医疗健康、知识产权、检验检测等公共服务领域建设，增加公共服务市场有效供给。</w:t>
      </w:r>
    </w:p>
    <w:p>
      <w:pPr>
        <w:spacing w:line="560" w:lineRule="exact"/>
        <w:ind w:firstLine="643" w:firstLineChars="200"/>
        <w:outlineLvl w:val="2"/>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3、全面优化服务业营商环境</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深入推进增城商事制度改革，整合社会保险登记证和统计登记证，持续深化登记制度改革，在外资准入、审批程序、外汇管理、融资便利等方面争取政策支持，降低企业商务成本，为企业营造宽松便捷、公平竞争的市场环境。制定符合国际规则的政策法规，形成与国际接轨的商事制度，健全商事纠纷非诉讼解决机制。健全公共服务市场化机制，通过政府采购、特许经营、委托等方式，加大向社会购买公共服务力度，支持民营企业、社会组织参与提供公共服务，健全公开遴选、评估体制机制。加快建立完善对外开放及金融等相关领域法律法规体系，为优化现代服务业营商环境提供坚实的法律制度支持与保障。</w:t>
      </w:r>
    </w:p>
    <w:p>
      <w:pPr>
        <w:spacing w:line="560" w:lineRule="exact"/>
        <w:ind w:firstLine="640" w:firstLineChars="200"/>
        <w:outlineLvl w:val="0"/>
        <w:rPr>
          <w:rFonts w:ascii="Times New Roman" w:hAnsi="Times New Roman" w:eastAsia="黑体" w:cs="黑体"/>
          <w:color w:val="000000" w:themeColor="text1"/>
          <w:sz w:val="32"/>
          <w:szCs w:val="32"/>
          <w14:textFill>
            <w14:solidFill>
              <w14:schemeClr w14:val="tx1"/>
            </w14:solidFill>
          </w14:textFill>
        </w:rPr>
      </w:pPr>
      <w:bookmarkStart w:id="72" w:name="_Toc25960"/>
      <w:bookmarkStart w:id="73" w:name="_Toc1153"/>
      <w:bookmarkStart w:id="74" w:name="_Toc13643"/>
      <w:r>
        <w:rPr>
          <w:rFonts w:hint="eastAsia" w:ascii="Times New Roman" w:hAnsi="Times New Roman" w:eastAsia="黑体" w:cs="黑体"/>
          <w:color w:val="000000" w:themeColor="text1"/>
          <w:sz w:val="32"/>
          <w:szCs w:val="32"/>
          <w14:textFill>
            <w14:solidFill>
              <w14:schemeClr w14:val="tx1"/>
            </w14:solidFill>
          </w14:textFill>
        </w:rPr>
        <w:t>七、保障措施</w:t>
      </w:r>
      <w:bookmarkEnd w:id="72"/>
      <w:bookmarkEnd w:id="73"/>
      <w:bookmarkEnd w:id="74"/>
    </w:p>
    <w:p>
      <w:pPr>
        <w:spacing w:line="560" w:lineRule="exact"/>
        <w:ind w:firstLine="643" w:firstLineChars="200"/>
        <w:outlineLvl w:val="1"/>
        <w:rPr>
          <w:rFonts w:ascii="Times New Roman" w:hAnsi="Times New Roman" w:eastAsia="楷体_GB2312" w:cs="Times New Roman"/>
          <w:b/>
          <w:bCs/>
          <w:color w:val="000000" w:themeColor="text1"/>
          <w:sz w:val="32"/>
          <w:szCs w:val="40"/>
          <w14:textFill>
            <w14:solidFill>
              <w14:schemeClr w14:val="tx1"/>
            </w14:solidFill>
          </w14:textFill>
        </w:rPr>
      </w:pPr>
      <w:bookmarkStart w:id="75" w:name="_Toc31496"/>
      <w:bookmarkStart w:id="76" w:name="_Toc4828"/>
      <w:bookmarkStart w:id="77" w:name="_Toc3143"/>
      <w:r>
        <w:rPr>
          <w:rFonts w:hint="eastAsia" w:ascii="Times New Roman" w:hAnsi="Times New Roman" w:eastAsia="楷体_GB2312" w:cs="Times New Roman"/>
          <w:b/>
          <w:bCs/>
          <w:color w:val="000000" w:themeColor="text1"/>
          <w:sz w:val="32"/>
          <w:szCs w:val="40"/>
          <w14:textFill>
            <w14:solidFill>
              <w14:schemeClr w14:val="tx1"/>
            </w14:solidFill>
          </w14:textFill>
        </w:rPr>
        <w:t>（一）加强组织领导</w:t>
      </w:r>
      <w:bookmarkEnd w:id="75"/>
      <w:bookmarkEnd w:id="76"/>
      <w:bookmarkEnd w:id="77"/>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成立领导小组统筹指导和协调推进“十四五”期间现代服务业重点项目建设，明确任务分工、工作进度和责任。强化部门协同和上下联动，相关部门各司其职、密切配合，合力推动规划组织实施和重点任务事项，推动现代服务业集聚区及重大平台、重大工程、重大项目的落地建设，形成组织合力。定期召开现代服务业专题工作会议，加强对规划实施情况的跟踪分析和督促检查，并适时组织计划实施评估。强化上位规划指引，积极对接国家、省、市关于“十四五”的工作部署和指导，注重规划衔接，推进与国民经济和社会发展规划、国土空间规划等规划的相互衔接、相互协调，配套实施。</w:t>
      </w:r>
    </w:p>
    <w:p>
      <w:pPr>
        <w:spacing w:line="560" w:lineRule="exact"/>
        <w:ind w:firstLine="643" w:firstLineChars="200"/>
        <w:outlineLvl w:val="1"/>
        <w:rPr>
          <w:rFonts w:ascii="Times New Roman" w:hAnsi="Times New Roman" w:eastAsia="楷体_GB2312" w:cs="Times New Roman"/>
          <w:b/>
          <w:bCs/>
          <w:color w:val="000000" w:themeColor="text1"/>
          <w:sz w:val="32"/>
          <w:szCs w:val="40"/>
          <w14:textFill>
            <w14:solidFill>
              <w14:schemeClr w14:val="tx1"/>
            </w14:solidFill>
          </w14:textFill>
        </w:rPr>
      </w:pPr>
      <w:bookmarkStart w:id="78" w:name="_Toc5141"/>
      <w:bookmarkStart w:id="79" w:name="_Toc6783"/>
      <w:bookmarkStart w:id="80" w:name="_Toc16017"/>
      <w:r>
        <w:rPr>
          <w:rFonts w:hint="eastAsia" w:ascii="Times New Roman" w:hAnsi="Times New Roman" w:eastAsia="楷体_GB2312" w:cs="Times New Roman"/>
          <w:b/>
          <w:bCs/>
          <w:color w:val="000000" w:themeColor="text1"/>
          <w:sz w:val="32"/>
          <w:szCs w:val="40"/>
          <w14:textFill>
            <w14:solidFill>
              <w14:schemeClr w14:val="tx1"/>
            </w14:solidFill>
          </w14:textFill>
        </w:rPr>
        <w:t>（二）强化</w:t>
      </w:r>
      <w:bookmarkEnd w:id="78"/>
      <w:bookmarkEnd w:id="79"/>
      <w:r>
        <w:rPr>
          <w:rFonts w:hint="eastAsia" w:ascii="Times New Roman" w:hAnsi="Times New Roman" w:eastAsia="楷体_GB2312" w:cs="Times New Roman"/>
          <w:b/>
          <w:bCs/>
          <w:color w:val="000000" w:themeColor="text1"/>
          <w:sz w:val="32"/>
          <w:szCs w:val="40"/>
          <w14:textFill>
            <w14:solidFill>
              <w14:schemeClr w14:val="tx1"/>
            </w14:solidFill>
          </w14:textFill>
        </w:rPr>
        <w:t>要素保障</w:t>
      </w:r>
      <w:bookmarkEnd w:id="80"/>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大现代服务业政策扶持力度，落实促进服务业发展的财税政策，促进财税政策、金融政策、产业政策、土地政策的协调统一，积极运用产业基金支持服务业新模式、新业态的发展，支持符合条件的企业申请认定高新技术企业和技术先进性企业。推动政、企、银对接，强化金融对服务业的支撑作用。在项目审批、土地供应、金融服务等方面建立重大项目审批绿色通道，提高政府服务效率，优先保障服务业重大项目落地。优化人才政策，完善和落实各类人才引进、培育和激励措施。加快产业准入和监管制度改革，健全知识产权评估机制和维权法律援助机制，不断规范服务流程和服务内容，打造市场主导的服务业发展标准化新环境。</w:t>
      </w:r>
    </w:p>
    <w:p>
      <w:pPr>
        <w:spacing w:line="560" w:lineRule="exact"/>
        <w:ind w:firstLine="643" w:firstLineChars="200"/>
        <w:outlineLvl w:val="1"/>
        <w:rPr>
          <w:rFonts w:ascii="Times New Roman" w:hAnsi="Times New Roman" w:eastAsia="楷体_GB2312" w:cs="Times New Roman"/>
          <w:b/>
          <w:bCs/>
          <w:color w:val="000000" w:themeColor="text1"/>
          <w:sz w:val="32"/>
          <w:szCs w:val="40"/>
          <w14:textFill>
            <w14:solidFill>
              <w14:schemeClr w14:val="tx1"/>
            </w14:solidFill>
          </w14:textFill>
        </w:rPr>
      </w:pPr>
      <w:bookmarkStart w:id="81" w:name="_Toc606"/>
      <w:bookmarkStart w:id="82" w:name="_Toc3458"/>
      <w:bookmarkStart w:id="83" w:name="_Toc16331"/>
      <w:r>
        <w:rPr>
          <w:rFonts w:hint="eastAsia" w:ascii="Times New Roman" w:hAnsi="Times New Roman" w:eastAsia="楷体_GB2312" w:cs="Times New Roman"/>
          <w:b/>
          <w:bCs/>
          <w:color w:val="000000" w:themeColor="text1"/>
          <w:sz w:val="32"/>
          <w:szCs w:val="40"/>
          <w14:textFill>
            <w14:solidFill>
              <w14:schemeClr w14:val="tx1"/>
            </w14:solidFill>
          </w14:textFill>
        </w:rPr>
        <w:t>（三）完善统计体系</w:t>
      </w:r>
      <w:bookmarkEnd w:id="81"/>
      <w:bookmarkEnd w:id="82"/>
      <w:bookmarkEnd w:id="83"/>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推动建立服务业统计调查制度，健全服务业统计指标体系，优化完善服务业统计方法，建立健全生产性、生活性服务业统计体系，加强高端专业服务业、新兴服务业态的统计研究，形成服务业指标常态化统计机制。改进小微服务企业抽样调查和派生服务数据采集，提高服务业统计的全面性、精确性和及时性。建立信息共享机制，加强对服务业发展态势的监测、预测和分析，形成年度、季度信息发布机制。优化现代服务业综合考核指标体系，定期评估主要指标和重点任务推进情况，评估推进效果并及时完善。当因外部环境改变或国家政策调整而影响服务业规划指标取法完成时，应适时进行动态调整。</w:t>
      </w:r>
    </w:p>
    <w:p>
      <w:pPr>
        <w:spacing w:line="560" w:lineRule="exact"/>
        <w:ind w:firstLine="643" w:firstLineChars="200"/>
        <w:outlineLvl w:val="1"/>
        <w:rPr>
          <w:rFonts w:ascii="Times New Roman" w:hAnsi="Times New Roman" w:eastAsia="楷体_GB2312" w:cs="Times New Roman"/>
          <w:b/>
          <w:bCs/>
          <w:color w:val="000000" w:themeColor="text1"/>
          <w:sz w:val="32"/>
          <w:szCs w:val="40"/>
          <w14:textFill>
            <w14:solidFill>
              <w14:schemeClr w14:val="tx1"/>
            </w14:solidFill>
          </w14:textFill>
        </w:rPr>
      </w:pPr>
      <w:bookmarkStart w:id="84" w:name="_Toc21776"/>
      <w:r>
        <w:rPr>
          <w:rFonts w:hint="eastAsia" w:ascii="Times New Roman" w:hAnsi="Times New Roman" w:eastAsia="楷体_GB2312" w:cs="Times New Roman"/>
          <w:b/>
          <w:bCs/>
          <w:color w:val="000000" w:themeColor="text1"/>
          <w:sz w:val="32"/>
          <w:szCs w:val="40"/>
          <w14:textFill>
            <w14:solidFill>
              <w14:schemeClr w14:val="tx1"/>
            </w14:solidFill>
          </w14:textFill>
        </w:rPr>
        <w:t>（四）强化风险防控</w:t>
      </w:r>
      <w:bookmarkEnd w:id="84"/>
    </w:p>
    <w:p>
      <w:pPr>
        <w:pStyle w:val="2"/>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健全风险监管和应急防控体系、制度，加强发改、金融、科工商信等部门与应急部门的沟通联系和信息共享。加强统筹发展与安全，提高产业市场形势感知，科学决策和风险预警能力。灵活利用大数据、云计算、人工智能、区块链等信息技术开展实时监控。加强对服务业重点领域、新兴领域的风险监测、形势研判，制定相关风险预案。</w:t>
      </w:r>
    </w:p>
    <w:p>
      <w:pPr>
        <w:spacing w:line="560" w:lineRule="exact"/>
        <w:ind w:firstLine="643" w:firstLineChars="200"/>
        <w:outlineLvl w:val="1"/>
        <w:rPr>
          <w:rFonts w:ascii="Times New Roman" w:hAnsi="Times New Roman" w:eastAsia="楷体_GB2312" w:cs="Times New Roman"/>
          <w:b/>
          <w:bCs/>
          <w:color w:val="000000" w:themeColor="text1"/>
          <w:sz w:val="32"/>
          <w:szCs w:val="40"/>
          <w14:textFill>
            <w14:solidFill>
              <w14:schemeClr w14:val="tx1"/>
            </w14:solidFill>
          </w14:textFill>
        </w:rPr>
      </w:pPr>
      <w:bookmarkStart w:id="85" w:name="_Toc5606"/>
      <w:bookmarkStart w:id="86" w:name="_Toc57110773"/>
      <w:bookmarkStart w:id="87" w:name="_Toc30102"/>
      <w:bookmarkStart w:id="88" w:name="_Toc5400"/>
      <w:r>
        <w:rPr>
          <w:rFonts w:hint="eastAsia" w:ascii="Times New Roman" w:hAnsi="Times New Roman" w:eastAsia="楷体_GB2312" w:cs="Times New Roman"/>
          <w:b/>
          <w:bCs/>
          <w:color w:val="000000" w:themeColor="text1"/>
          <w:sz w:val="32"/>
          <w:szCs w:val="40"/>
          <w14:textFill>
            <w14:solidFill>
              <w14:schemeClr w14:val="tx1"/>
            </w14:solidFill>
          </w14:textFill>
        </w:rPr>
        <w:t>（五）做好宣传推广</w:t>
      </w:r>
      <w:bookmarkEnd w:id="85"/>
      <w:bookmarkEnd w:id="86"/>
      <w:bookmarkEnd w:id="87"/>
      <w:bookmarkEnd w:id="88"/>
    </w:p>
    <w:p>
      <w:pPr>
        <w:spacing w:line="560" w:lineRule="exact"/>
        <w:ind w:firstLine="640" w:firstLineChars="200"/>
        <w:rPr>
          <w:rFonts w:hint="eastAsia" w:ascii="Times New Roman" w:hAnsi="Times New Roman" w:eastAsia="仿宋_GB2312" w:cs="Times New Roman"/>
          <w:color w:val="000000" w:themeColor="text1"/>
          <w:sz w:val="32"/>
          <w:szCs w:val="40"/>
          <w14:textFill>
            <w14:solidFill>
              <w14:schemeClr w14:val="tx1"/>
            </w14:solidFill>
          </w14:textFill>
        </w:rPr>
      </w:pPr>
      <w:r>
        <w:rPr>
          <w:rFonts w:hint="eastAsia" w:ascii="Times New Roman" w:hAnsi="Times New Roman" w:eastAsia="仿宋_GB2312" w:cs="Times New Roman"/>
          <w:color w:val="000000" w:themeColor="text1"/>
          <w:sz w:val="32"/>
          <w:szCs w:val="40"/>
          <w14:textFill>
            <w14:solidFill>
              <w14:schemeClr w14:val="tx1"/>
            </w14:solidFill>
          </w14:textFill>
        </w:rPr>
        <w:t>充分发挥线上线下媒介的舆论导向和监督作用，拓宽宣传渠道，做好增城现代服务业“十四五”规划</w:t>
      </w:r>
      <w:r>
        <w:rPr>
          <w:rFonts w:ascii="Times New Roman" w:hAnsi="Times New Roman" w:eastAsia="仿宋_GB2312" w:cs="Times New Roman"/>
          <w:color w:val="000000" w:themeColor="text1"/>
          <w:sz w:val="32"/>
          <w:szCs w:val="40"/>
          <w14:textFill>
            <w14:solidFill>
              <w14:schemeClr w14:val="tx1"/>
            </w14:solidFill>
          </w14:textFill>
        </w:rPr>
        <w:t>建设的宣传报道工作，</w:t>
      </w:r>
      <w:r>
        <w:rPr>
          <w:rFonts w:hint="eastAsia" w:ascii="Times New Roman" w:hAnsi="Times New Roman" w:eastAsia="仿宋_GB2312" w:cs="Times New Roman"/>
          <w:color w:val="000000" w:themeColor="text1"/>
          <w:sz w:val="32"/>
          <w:szCs w:val="40"/>
          <w14:textFill>
            <w14:solidFill>
              <w14:schemeClr w14:val="tx1"/>
            </w14:solidFill>
          </w14:textFill>
        </w:rPr>
        <w:t>团结增城各方面建设力量，</w:t>
      </w:r>
      <w:r>
        <w:rPr>
          <w:rFonts w:ascii="Times New Roman" w:hAnsi="Times New Roman" w:eastAsia="仿宋_GB2312" w:cs="Times New Roman"/>
          <w:color w:val="000000" w:themeColor="text1"/>
          <w:sz w:val="32"/>
          <w:szCs w:val="40"/>
          <w14:textFill>
            <w14:solidFill>
              <w14:schemeClr w14:val="tx1"/>
            </w14:solidFill>
          </w14:textFill>
        </w:rPr>
        <w:t>持续营造全社会关心、支持、参与推动</w:t>
      </w:r>
      <w:r>
        <w:rPr>
          <w:rFonts w:hint="eastAsia" w:ascii="Times New Roman" w:hAnsi="Times New Roman" w:eastAsia="仿宋_GB2312" w:cs="Times New Roman"/>
          <w:color w:val="000000" w:themeColor="text1"/>
          <w:sz w:val="32"/>
          <w:szCs w:val="40"/>
          <w14:textFill>
            <w14:solidFill>
              <w14:schemeClr w14:val="tx1"/>
            </w14:solidFill>
          </w14:textFill>
        </w:rPr>
        <w:t>增城区现代服务业“十四五”规划发展</w:t>
      </w:r>
      <w:r>
        <w:rPr>
          <w:rFonts w:ascii="Times New Roman" w:hAnsi="Times New Roman" w:eastAsia="仿宋_GB2312" w:cs="Times New Roman"/>
          <w:color w:val="000000" w:themeColor="text1"/>
          <w:sz w:val="32"/>
          <w:szCs w:val="40"/>
          <w14:textFill>
            <w14:solidFill>
              <w14:schemeClr w14:val="tx1"/>
            </w14:solidFill>
          </w14:textFill>
        </w:rPr>
        <w:t>的浓厚氛围。</w:t>
      </w:r>
      <w:r>
        <w:rPr>
          <w:rFonts w:hint="eastAsia" w:ascii="Times New Roman" w:hAnsi="Times New Roman" w:eastAsia="仿宋_GB2312" w:cs="Times New Roman"/>
          <w:color w:val="000000" w:themeColor="text1"/>
          <w:sz w:val="32"/>
          <w:szCs w:val="40"/>
          <w14:textFill>
            <w14:solidFill>
              <w14:schemeClr w14:val="tx1"/>
            </w14:solidFill>
          </w14:textFill>
        </w:rPr>
        <w:t>做好试点示范宣传工作，选取一批在“十四五”建设中成效突出、可操作性强的典型案例，梳理成熟经验做法，</w:t>
      </w:r>
      <w:r>
        <w:rPr>
          <w:rFonts w:ascii="Times New Roman" w:hAnsi="Times New Roman" w:eastAsia="仿宋_GB2312" w:cs="Times New Roman"/>
          <w:color w:val="000000" w:themeColor="text1"/>
          <w:sz w:val="32"/>
          <w:szCs w:val="40"/>
          <w14:textFill>
            <w14:solidFill>
              <w14:schemeClr w14:val="tx1"/>
            </w14:solidFill>
          </w14:textFill>
        </w:rPr>
        <w:t>在全</w:t>
      </w:r>
      <w:r>
        <w:rPr>
          <w:rFonts w:hint="eastAsia" w:ascii="Times New Roman" w:hAnsi="Times New Roman" w:eastAsia="仿宋_GB2312" w:cs="Times New Roman"/>
          <w:color w:val="000000" w:themeColor="text1"/>
          <w:sz w:val="32"/>
          <w:szCs w:val="40"/>
          <w14:textFill>
            <w14:solidFill>
              <w14:schemeClr w14:val="tx1"/>
            </w14:solidFill>
          </w14:textFill>
        </w:rPr>
        <w:t>区</w:t>
      </w:r>
      <w:r>
        <w:rPr>
          <w:rFonts w:ascii="Times New Roman" w:hAnsi="Times New Roman" w:eastAsia="仿宋_GB2312" w:cs="Times New Roman"/>
          <w:color w:val="000000" w:themeColor="text1"/>
          <w:sz w:val="32"/>
          <w:szCs w:val="40"/>
          <w14:textFill>
            <w14:solidFill>
              <w14:schemeClr w14:val="tx1"/>
            </w14:solidFill>
          </w14:textFill>
        </w:rPr>
        <w:t>乃至</w:t>
      </w:r>
      <w:r>
        <w:rPr>
          <w:rFonts w:hint="eastAsia" w:ascii="Times New Roman" w:hAnsi="Times New Roman" w:eastAsia="仿宋_GB2312" w:cs="Times New Roman"/>
          <w:color w:val="000000" w:themeColor="text1"/>
          <w:sz w:val="32"/>
          <w:szCs w:val="40"/>
          <w14:textFill>
            <w14:solidFill>
              <w14:schemeClr w14:val="tx1"/>
            </w14:solidFill>
          </w14:textFill>
        </w:rPr>
        <w:t>市、</w:t>
      </w:r>
      <w:r>
        <w:rPr>
          <w:rFonts w:ascii="Times New Roman" w:hAnsi="Times New Roman" w:eastAsia="仿宋_GB2312" w:cs="Times New Roman"/>
          <w:color w:val="000000" w:themeColor="text1"/>
          <w:sz w:val="32"/>
          <w:szCs w:val="40"/>
          <w14:textFill>
            <w14:solidFill>
              <w14:schemeClr w14:val="tx1"/>
            </w14:solidFill>
          </w14:textFill>
        </w:rPr>
        <w:t>省、全国复制推广</w:t>
      </w:r>
      <w:r>
        <w:rPr>
          <w:rFonts w:hint="eastAsia" w:ascii="Times New Roman" w:hAnsi="Times New Roman" w:eastAsia="仿宋_GB2312" w:cs="Times New Roman"/>
          <w:color w:val="000000" w:themeColor="text1"/>
          <w:sz w:val="32"/>
          <w:szCs w:val="40"/>
          <w14:textFill>
            <w14:solidFill>
              <w14:schemeClr w14:val="tx1"/>
            </w14:solidFill>
          </w14:textFill>
        </w:rPr>
        <w:t>，充分利用各类媒体手段，宣传服务业相关政策、龙头企业、典型案例及新业态、新模式发展案例，通过标杆作用推动我区现代服务业“十四五”规划建设顺利完成。</w:t>
      </w:r>
    </w:p>
    <w:p>
      <w:pPr>
        <w:pStyle w:val="2"/>
        <w:tabs>
          <w:tab w:val="center" w:pos="6979"/>
        </w:tabs>
        <w:outlineLvl w:val="0"/>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snapToGrid w:val="0"/>
        <w:rPr>
          <w:rFonts w:hint="default" w:eastAsiaTheme="minorEastAsia"/>
          <w:lang w:val="en-US" w:eastAsia="zh-CN"/>
        </w:rPr>
      </w:pPr>
      <w:r>
        <w:rPr>
          <w:rStyle w:val="14"/>
        </w:rPr>
        <w:footnoteRef/>
      </w:r>
      <w:r>
        <w:t xml:space="preserve"> </w:t>
      </w:r>
      <w:r>
        <w:rPr>
          <w:rFonts w:hint="eastAsia"/>
          <w:lang w:val="en-US" w:eastAsia="zh-CN"/>
        </w:rPr>
        <w:t>相关数据来源：增城区统计局快报数据</w:t>
      </w:r>
    </w:p>
  </w:footnote>
  <w:footnote w:id="1">
    <w:p>
      <w:pPr>
        <w:pStyle w:val="9"/>
        <w:snapToGrid w:val="0"/>
        <w:rPr>
          <w:rFonts w:hint="default" w:eastAsiaTheme="minorEastAsia"/>
          <w:lang w:val="en-US" w:eastAsia="zh-CN"/>
        </w:rPr>
      </w:pPr>
      <w:r>
        <w:rPr>
          <w:rStyle w:val="14"/>
        </w:rPr>
        <w:footnoteRef/>
      </w:r>
      <w:r>
        <w:t xml:space="preserve"> </w:t>
      </w:r>
      <w:r>
        <w:rPr>
          <w:rFonts w:hint="eastAsia"/>
          <w:lang w:val="en-US" w:eastAsia="zh-CN"/>
        </w:rPr>
        <w:t>相关数据来源：增城区统计局快报数据</w:t>
      </w:r>
    </w:p>
    <w:p>
      <w:pPr>
        <w:pStyle w:val="9"/>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22E35"/>
    <w:multiLevelType w:val="singleLevel"/>
    <w:tmpl w:val="46422E35"/>
    <w:lvl w:ilvl="0" w:tentative="0">
      <w:start w:val="4"/>
      <w:numFmt w:val="chineseCounting"/>
      <w:suff w:val="nothing"/>
      <w:lvlText w:val="%1、"/>
      <w:lvlJc w:val="left"/>
      <w:rPr>
        <w:rFonts w:hint="eastAsia"/>
      </w:rPr>
    </w:lvl>
  </w:abstractNum>
  <w:abstractNum w:abstractNumId="1">
    <w:nsid w:val="55338F4B"/>
    <w:multiLevelType w:val="singleLevel"/>
    <w:tmpl w:val="55338F4B"/>
    <w:lvl w:ilvl="0" w:tentative="0">
      <w:start w:val="2"/>
      <w:numFmt w:val="decimal"/>
      <w:suff w:val="nothing"/>
      <w:lvlText w:val="%1、"/>
      <w:lvlJc w:val="left"/>
    </w:lvl>
  </w:abstractNum>
  <w:abstractNum w:abstractNumId="2">
    <w:nsid w:val="6526224F"/>
    <w:multiLevelType w:val="singleLevel"/>
    <w:tmpl w:val="6526224F"/>
    <w:lvl w:ilvl="0" w:tentative="0">
      <w:start w:val="1"/>
      <w:numFmt w:val="chineseCounting"/>
      <w:suff w:val="nothing"/>
      <w:lvlText w:val="（%1）"/>
      <w:lvlJc w:val="left"/>
      <w:rPr>
        <w:rFonts w:hint="eastAsia"/>
      </w:rPr>
    </w:lvl>
  </w:abstractNum>
  <w:abstractNum w:abstractNumId="3">
    <w:nsid w:val="7FDB6C41"/>
    <w:multiLevelType w:val="singleLevel"/>
    <w:tmpl w:val="7FDB6C41"/>
    <w:lvl w:ilvl="0" w:tentative="0">
      <w:start w:val="5"/>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11A87"/>
    <w:rsid w:val="000166A1"/>
    <w:rsid w:val="0002589B"/>
    <w:rsid w:val="0002676E"/>
    <w:rsid w:val="0003490F"/>
    <w:rsid w:val="00072072"/>
    <w:rsid w:val="000A6630"/>
    <w:rsid w:val="000A7BCD"/>
    <w:rsid w:val="000C063A"/>
    <w:rsid w:val="000C17F8"/>
    <w:rsid w:val="000D4878"/>
    <w:rsid w:val="00123E21"/>
    <w:rsid w:val="0013561C"/>
    <w:rsid w:val="00150900"/>
    <w:rsid w:val="00154DA5"/>
    <w:rsid w:val="00157795"/>
    <w:rsid w:val="00163D0D"/>
    <w:rsid w:val="0017628E"/>
    <w:rsid w:val="001C7157"/>
    <w:rsid w:val="001F5A71"/>
    <w:rsid w:val="001F5D2D"/>
    <w:rsid w:val="00202372"/>
    <w:rsid w:val="00254409"/>
    <w:rsid w:val="00292628"/>
    <w:rsid w:val="002B529A"/>
    <w:rsid w:val="002D14E7"/>
    <w:rsid w:val="002F1115"/>
    <w:rsid w:val="002F2B63"/>
    <w:rsid w:val="002F6E2E"/>
    <w:rsid w:val="00313EBC"/>
    <w:rsid w:val="0037314B"/>
    <w:rsid w:val="00377316"/>
    <w:rsid w:val="00392084"/>
    <w:rsid w:val="003936CF"/>
    <w:rsid w:val="003A5A1C"/>
    <w:rsid w:val="003C1DCD"/>
    <w:rsid w:val="003E54D7"/>
    <w:rsid w:val="00460365"/>
    <w:rsid w:val="0046042F"/>
    <w:rsid w:val="00462C6F"/>
    <w:rsid w:val="00465DBF"/>
    <w:rsid w:val="00475E10"/>
    <w:rsid w:val="00482028"/>
    <w:rsid w:val="0048213F"/>
    <w:rsid w:val="004824D4"/>
    <w:rsid w:val="0048747F"/>
    <w:rsid w:val="004A1620"/>
    <w:rsid w:val="004A2CC3"/>
    <w:rsid w:val="004B6464"/>
    <w:rsid w:val="004D5D0D"/>
    <w:rsid w:val="004E1CA3"/>
    <w:rsid w:val="004E70C6"/>
    <w:rsid w:val="004F23B2"/>
    <w:rsid w:val="004F3BEF"/>
    <w:rsid w:val="005145DE"/>
    <w:rsid w:val="00533F2E"/>
    <w:rsid w:val="005471A0"/>
    <w:rsid w:val="00553863"/>
    <w:rsid w:val="0057156C"/>
    <w:rsid w:val="00573F88"/>
    <w:rsid w:val="005800C2"/>
    <w:rsid w:val="00580EE1"/>
    <w:rsid w:val="00595389"/>
    <w:rsid w:val="005C022F"/>
    <w:rsid w:val="005C08C2"/>
    <w:rsid w:val="005C2995"/>
    <w:rsid w:val="005D3E6C"/>
    <w:rsid w:val="005E4C8E"/>
    <w:rsid w:val="005E59FA"/>
    <w:rsid w:val="005E791D"/>
    <w:rsid w:val="005F1A1D"/>
    <w:rsid w:val="006055F0"/>
    <w:rsid w:val="00621D21"/>
    <w:rsid w:val="00623230"/>
    <w:rsid w:val="006322C5"/>
    <w:rsid w:val="00645D03"/>
    <w:rsid w:val="006753EB"/>
    <w:rsid w:val="00680987"/>
    <w:rsid w:val="006C3E3A"/>
    <w:rsid w:val="006D01D4"/>
    <w:rsid w:val="006D168F"/>
    <w:rsid w:val="006D2DD0"/>
    <w:rsid w:val="006D6A31"/>
    <w:rsid w:val="006E4053"/>
    <w:rsid w:val="00703D5B"/>
    <w:rsid w:val="00711B15"/>
    <w:rsid w:val="0072296B"/>
    <w:rsid w:val="007232DF"/>
    <w:rsid w:val="00724DC9"/>
    <w:rsid w:val="00726CBC"/>
    <w:rsid w:val="00735F58"/>
    <w:rsid w:val="00761152"/>
    <w:rsid w:val="007653CF"/>
    <w:rsid w:val="00782681"/>
    <w:rsid w:val="007A764E"/>
    <w:rsid w:val="007D031A"/>
    <w:rsid w:val="007E6708"/>
    <w:rsid w:val="007F068A"/>
    <w:rsid w:val="007F4B38"/>
    <w:rsid w:val="007F5E15"/>
    <w:rsid w:val="00807ED9"/>
    <w:rsid w:val="00810849"/>
    <w:rsid w:val="00826731"/>
    <w:rsid w:val="008432F3"/>
    <w:rsid w:val="008543B4"/>
    <w:rsid w:val="00860F82"/>
    <w:rsid w:val="00861970"/>
    <w:rsid w:val="00886410"/>
    <w:rsid w:val="008905C9"/>
    <w:rsid w:val="008A0E37"/>
    <w:rsid w:val="008A6515"/>
    <w:rsid w:val="008C2DEC"/>
    <w:rsid w:val="008E28B9"/>
    <w:rsid w:val="0091407B"/>
    <w:rsid w:val="00942A7A"/>
    <w:rsid w:val="00950EF9"/>
    <w:rsid w:val="00975FB5"/>
    <w:rsid w:val="009917F6"/>
    <w:rsid w:val="0099504B"/>
    <w:rsid w:val="009F2B63"/>
    <w:rsid w:val="00A063EA"/>
    <w:rsid w:val="00A14E78"/>
    <w:rsid w:val="00A16817"/>
    <w:rsid w:val="00A26712"/>
    <w:rsid w:val="00A362B4"/>
    <w:rsid w:val="00A664DA"/>
    <w:rsid w:val="00AB4517"/>
    <w:rsid w:val="00AC3030"/>
    <w:rsid w:val="00AE505E"/>
    <w:rsid w:val="00B00D78"/>
    <w:rsid w:val="00B01E6F"/>
    <w:rsid w:val="00B06FE0"/>
    <w:rsid w:val="00B10DF3"/>
    <w:rsid w:val="00B2499B"/>
    <w:rsid w:val="00B527E7"/>
    <w:rsid w:val="00B57774"/>
    <w:rsid w:val="00BC1FA9"/>
    <w:rsid w:val="00BC57BD"/>
    <w:rsid w:val="00BC61CE"/>
    <w:rsid w:val="00BD062B"/>
    <w:rsid w:val="00BD79B6"/>
    <w:rsid w:val="00C1782F"/>
    <w:rsid w:val="00C23569"/>
    <w:rsid w:val="00C47E99"/>
    <w:rsid w:val="00C50766"/>
    <w:rsid w:val="00C53B29"/>
    <w:rsid w:val="00C5454B"/>
    <w:rsid w:val="00C65888"/>
    <w:rsid w:val="00C75BC9"/>
    <w:rsid w:val="00C76E7E"/>
    <w:rsid w:val="00C81642"/>
    <w:rsid w:val="00C843D7"/>
    <w:rsid w:val="00C96211"/>
    <w:rsid w:val="00CA121F"/>
    <w:rsid w:val="00CA7489"/>
    <w:rsid w:val="00CB6AC2"/>
    <w:rsid w:val="00CC10B8"/>
    <w:rsid w:val="00D1233A"/>
    <w:rsid w:val="00D21311"/>
    <w:rsid w:val="00D417BD"/>
    <w:rsid w:val="00D41B0B"/>
    <w:rsid w:val="00D53ED6"/>
    <w:rsid w:val="00D600EC"/>
    <w:rsid w:val="00D74883"/>
    <w:rsid w:val="00DA0E7F"/>
    <w:rsid w:val="00DC0B2E"/>
    <w:rsid w:val="00DC20F3"/>
    <w:rsid w:val="00DC21EE"/>
    <w:rsid w:val="00DC5806"/>
    <w:rsid w:val="00DD6E87"/>
    <w:rsid w:val="00DF5A85"/>
    <w:rsid w:val="00DF7753"/>
    <w:rsid w:val="00E125B0"/>
    <w:rsid w:val="00E25091"/>
    <w:rsid w:val="00E30AAD"/>
    <w:rsid w:val="00E43614"/>
    <w:rsid w:val="00E44780"/>
    <w:rsid w:val="00E52F1C"/>
    <w:rsid w:val="00E74BF9"/>
    <w:rsid w:val="00E82BE6"/>
    <w:rsid w:val="00E84BA6"/>
    <w:rsid w:val="00EA34CB"/>
    <w:rsid w:val="00EA454A"/>
    <w:rsid w:val="00EA60E4"/>
    <w:rsid w:val="00EC60E7"/>
    <w:rsid w:val="00ED23D2"/>
    <w:rsid w:val="00ED3958"/>
    <w:rsid w:val="00EF1533"/>
    <w:rsid w:val="00EF312B"/>
    <w:rsid w:val="00F07AB0"/>
    <w:rsid w:val="00F42666"/>
    <w:rsid w:val="00F678D7"/>
    <w:rsid w:val="00F7203F"/>
    <w:rsid w:val="00F75076"/>
    <w:rsid w:val="00F90559"/>
    <w:rsid w:val="00FA14E8"/>
    <w:rsid w:val="00FA20DD"/>
    <w:rsid w:val="00FB79E9"/>
    <w:rsid w:val="00FC0BBA"/>
    <w:rsid w:val="00FC27AA"/>
    <w:rsid w:val="00FC7A03"/>
    <w:rsid w:val="00FD1E87"/>
    <w:rsid w:val="00FE3155"/>
    <w:rsid w:val="00FE5F48"/>
    <w:rsid w:val="00FF68C9"/>
    <w:rsid w:val="013C4A99"/>
    <w:rsid w:val="0148587C"/>
    <w:rsid w:val="022D22A3"/>
    <w:rsid w:val="024538FF"/>
    <w:rsid w:val="02B63E1D"/>
    <w:rsid w:val="033637AB"/>
    <w:rsid w:val="0386244D"/>
    <w:rsid w:val="03A766BE"/>
    <w:rsid w:val="03C75C34"/>
    <w:rsid w:val="04253740"/>
    <w:rsid w:val="044508D5"/>
    <w:rsid w:val="05637D72"/>
    <w:rsid w:val="0600396E"/>
    <w:rsid w:val="060937DE"/>
    <w:rsid w:val="071504B6"/>
    <w:rsid w:val="079A4528"/>
    <w:rsid w:val="07B40693"/>
    <w:rsid w:val="09073124"/>
    <w:rsid w:val="09272B12"/>
    <w:rsid w:val="09336E5C"/>
    <w:rsid w:val="09661A2B"/>
    <w:rsid w:val="09C215CE"/>
    <w:rsid w:val="0A8045AB"/>
    <w:rsid w:val="0BAD25C5"/>
    <w:rsid w:val="0C0550CB"/>
    <w:rsid w:val="0CFF74AA"/>
    <w:rsid w:val="0DF84728"/>
    <w:rsid w:val="0E8B3A88"/>
    <w:rsid w:val="0F111A87"/>
    <w:rsid w:val="0FB42F26"/>
    <w:rsid w:val="0FFF5277"/>
    <w:rsid w:val="10374290"/>
    <w:rsid w:val="10714204"/>
    <w:rsid w:val="10E16AF9"/>
    <w:rsid w:val="11431844"/>
    <w:rsid w:val="119A7BB1"/>
    <w:rsid w:val="11F5719F"/>
    <w:rsid w:val="11FD1C7E"/>
    <w:rsid w:val="12791FB4"/>
    <w:rsid w:val="1335653B"/>
    <w:rsid w:val="1376235E"/>
    <w:rsid w:val="13B658FE"/>
    <w:rsid w:val="14406AE5"/>
    <w:rsid w:val="14406E45"/>
    <w:rsid w:val="145312F6"/>
    <w:rsid w:val="145F4B99"/>
    <w:rsid w:val="14CB0D21"/>
    <w:rsid w:val="14F908CF"/>
    <w:rsid w:val="150A1DA7"/>
    <w:rsid w:val="15D15B3D"/>
    <w:rsid w:val="15DB676C"/>
    <w:rsid w:val="165451F0"/>
    <w:rsid w:val="165E50FE"/>
    <w:rsid w:val="169B1EDF"/>
    <w:rsid w:val="17127B37"/>
    <w:rsid w:val="173362CA"/>
    <w:rsid w:val="18A77D1E"/>
    <w:rsid w:val="19333DD5"/>
    <w:rsid w:val="1A3A1C1C"/>
    <w:rsid w:val="1AAF0857"/>
    <w:rsid w:val="1AFA37E6"/>
    <w:rsid w:val="1B061F11"/>
    <w:rsid w:val="1B0C504D"/>
    <w:rsid w:val="1B4A0DED"/>
    <w:rsid w:val="1C3B6595"/>
    <w:rsid w:val="1D4200C7"/>
    <w:rsid w:val="1ECA420A"/>
    <w:rsid w:val="1FCB6A5D"/>
    <w:rsid w:val="203A631A"/>
    <w:rsid w:val="20773B3F"/>
    <w:rsid w:val="20983AF6"/>
    <w:rsid w:val="21072687"/>
    <w:rsid w:val="216B3B2C"/>
    <w:rsid w:val="219F7794"/>
    <w:rsid w:val="21D129B5"/>
    <w:rsid w:val="21F97EE1"/>
    <w:rsid w:val="222B6992"/>
    <w:rsid w:val="22A752D8"/>
    <w:rsid w:val="22FB04A5"/>
    <w:rsid w:val="234C306C"/>
    <w:rsid w:val="237C7F52"/>
    <w:rsid w:val="244E0766"/>
    <w:rsid w:val="24C44697"/>
    <w:rsid w:val="24EF3215"/>
    <w:rsid w:val="25001B14"/>
    <w:rsid w:val="25043AD7"/>
    <w:rsid w:val="25351A8B"/>
    <w:rsid w:val="253A0ED9"/>
    <w:rsid w:val="25437509"/>
    <w:rsid w:val="25477066"/>
    <w:rsid w:val="26223491"/>
    <w:rsid w:val="26AD03AE"/>
    <w:rsid w:val="26B5046C"/>
    <w:rsid w:val="26D919AD"/>
    <w:rsid w:val="279C4D77"/>
    <w:rsid w:val="27E729A7"/>
    <w:rsid w:val="282F46E4"/>
    <w:rsid w:val="285302B4"/>
    <w:rsid w:val="289468A5"/>
    <w:rsid w:val="28E30AA0"/>
    <w:rsid w:val="29511143"/>
    <w:rsid w:val="29962DA8"/>
    <w:rsid w:val="2997626C"/>
    <w:rsid w:val="29A50916"/>
    <w:rsid w:val="29C90293"/>
    <w:rsid w:val="29F808BF"/>
    <w:rsid w:val="2A452536"/>
    <w:rsid w:val="2A8A0990"/>
    <w:rsid w:val="2B25345C"/>
    <w:rsid w:val="2BA4105D"/>
    <w:rsid w:val="2BD17F70"/>
    <w:rsid w:val="2C8D41A4"/>
    <w:rsid w:val="2CA135A6"/>
    <w:rsid w:val="2D9C1CFE"/>
    <w:rsid w:val="2E1E5874"/>
    <w:rsid w:val="2EED266D"/>
    <w:rsid w:val="2FD667CA"/>
    <w:rsid w:val="2FE01063"/>
    <w:rsid w:val="3010249C"/>
    <w:rsid w:val="31DC7397"/>
    <w:rsid w:val="31E32E92"/>
    <w:rsid w:val="32102982"/>
    <w:rsid w:val="327C1881"/>
    <w:rsid w:val="336263FA"/>
    <w:rsid w:val="34081BA5"/>
    <w:rsid w:val="3417158A"/>
    <w:rsid w:val="344A5DB1"/>
    <w:rsid w:val="34A736D6"/>
    <w:rsid w:val="34AC6904"/>
    <w:rsid w:val="35732C29"/>
    <w:rsid w:val="35D00DC4"/>
    <w:rsid w:val="364C1CD1"/>
    <w:rsid w:val="36912EFE"/>
    <w:rsid w:val="36991DE3"/>
    <w:rsid w:val="36B302FC"/>
    <w:rsid w:val="36C62A9F"/>
    <w:rsid w:val="36D76F35"/>
    <w:rsid w:val="370B35C4"/>
    <w:rsid w:val="37570064"/>
    <w:rsid w:val="37636B33"/>
    <w:rsid w:val="380B00EE"/>
    <w:rsid w:val="386D03BE"/>
    <w:rsid w:val="38725EE6"/>
    <w:rsid w:val="38DE433B"/>
    <w:rsid w:val="38F621C6"/>
    <w:rsid w:val="39051CE8"/>
    <w:rsid w:val="3A42498F"/>
    <w:rsid w:val="3ADF0228"/>
    <w:rsid w:val="3B0645BB"/>
    <w:rsid w:val="3B0B4B82"/>
    <w:rsid w:val="3B321AD5"/>
    <w:rsid w:val="3C43618E"/>
    <w:rsid w:val="3C90523A"/>
    <w:rsid w:val="3D3F7108"/>
    <w:rsid w:val="3DB57538"/>
    <w:rsid w:val="3DC70897"/>
    <w:rsid w:val="3DF53E38"/>
    <w:rsid w:val="3E365781"/>
    <w:rsid w:val="3E386372"/>
    <w:rsid w:val="3FB730E5"/>
    <w:rsid w:val="3FF760CF"/>
    <w:rsid w:val="4059543E"/>
    <w:rsid w:val="40A77500"/>
    <w:rsid w:val="40FA07B9"/>
    <w:rsid w:val="411B4214"/>
    <w:rsid w:val="412335C8"/>
    <w:rsid w:val="41253F75"/>
    <w:rsid w:val="428504F3"/>
    <w:rsid w:val="42C50D9B"/>
    <w:rsid w:val="437D3DBB"/>
    <w:rsid w:val="4395424C"/>
    <w:rsid w:val="4479694C"/>
    <w:rsid w:val="44C42E4B"/>
    <w:rsid w:val="457A4CF6"/>
    <w:rsid w:val="45A83FC9"/>
    <w:rsid w:val="45ED559C"/>
    <w:rsid w:val="4621085C"/>
    <w:rsid w:val="46436720"/>
    <w:rsid w:val="46DF1221"/>
    <w:rsid w:val="472E6988"/>
    <w:rsid w:val="474F40E8"/>
    <w:rsid w:val="47FF308E"/>
    <w:rsid w:val="48176908"/>
    <w:rsid w:val="48B57DF5"/>
    <w:rsid w:val="490D0EF6"/>
    <w:rsid w:val="49487E25"/>
    <w:rsid w:val="498F1031"/>
    <w:rsid w:val="49B534EE"/>
    <w:rsid w:val="4A4C0700"/>
    <w:rsid w:val="4A6E1765"/>
    <w:rsid w:val="4A8F62C5"/>
    <w:rsid w:val="4ABF4202"/>
    <w:rsid w:val="4B5C1D55"/>
    <w:rsid w:val="4BCE02E0"/>
    <w:rsid w:val="4BE64749"/>
    <w:rsid w:val="4C4651A8"/>
    <w:rsid w:val="4C4B13BE"/>
    <w:rsid w:val="4D2C7E82"/>
    <w:rsid w:val="4D8E6EA9"/>
    <w:rsid w:val="4DC406A1"/>
    <w:rsid w:val="4E234B3E"/>
    <w:rsid w:val="4E2C73E0"/>
    <w:rsid w:val="4E387D54"/>
    <w:rsid w:val="4FBB38D4"/>
    <w:rsid w:val="505115D6"/>
    <w:rsid w:val="505632C9"/>
    <w:rsid w:val="50EC3A27"/>
    <w:rsid w:val="5139391C"/>
    <w:rsid w:val="51C30A8B"/>
    <w:rsid w:val="51EE4743"/>
    <w:rsid w:val="52512D60"/>
    <w:rsid w:val="52890FAD"/>
    <w:rsid w:val="53454C19"/>
    <w:rsid w:val="53524CEF"/>
    <w:rsid w:val="539D67E1"/>
    <w:rsid w:val="53B0118B"/>
    <w:rsid w:val="53BE006D"/>
    <w:rsid w:val="53E075EC"/>
    <w:rsid w:val="543148B5"/>
    <w:rsid w:val="544B382E"/>
    <w:rsid w:val="54B31770"/>
    <w:rsid w:val="55181C68"/>
    <w:rsid w:val="552325AC"/>
    <w:rsid w:val="55287483"/>
    <w:rsid w:val="55491BBE"/>
    <w:rsid w:val="554C3DA0"/>
    <w:rsid w:val="55A440AB"/>
    <w:rsid w:val="56091159"/>
    <w:rsid w:val="56365EFE"/>
    <w:rsid w:val="564845B6"/>
    <w:rsid w:val="57810A8C"/>
    <w:rsid w:val="57873AB7"/>
    <w:rsid w:val="57F25BE8"/>
    <w:rsid w:val="5813409F"/>
    <w:rsid w:val="583F22B6"/>
    <w:rsid w:val="59302BE2"/>
    <w:rsid w:val="59F64245"/>
    <w:rsid w:val="59F67932"/>
    <w:rsid w:val="5A140227"/>
    <w:rsid w:val="5A372D2F"/>
    <w:rsid w:val="5AB62569"/>
    <w:rsid w:val="5AFE1B79"/>
    <w:rsid w:val="5B2407FA"/>
    <w:rsid w:val="5BC25035"/>
    <w:rsid w:val="5BEC0645"/>
    <w:rsid w:val="5BFD3D82"/>
    <w:rsid w:val="5C75518C"/>
    <w:rsid w:val="5C822484"/>
    <w:rsid w:val="5CA62130"/>
    <w:rsid w:val="5D090C22"/>
    <w:rsid w:val="5DB03522"/>
    <w:rsid w:val="5DC852B3"/>
    <w:rsid w:val="5E096D9A"/>
    <w:rsid w:val="5E6465D0"/>
    <w:rsid w:val="5E7B194F"/>
    <w:rsid w:val="5E9A72C3"/>
    <w:rsid w:val="5EAD7F73"/>
    <w:rsid w:val="5EF12EE9"/>
    <w:rsid w:val="5F9C06F9"/>
    <w:rsid w:val="5FB03179"/>
    <w:rsid w:val="5FB04629"/>
    <w:rsid w:val="6035777D"/>
    <w:rsid w:val="60885F9A"/>
    <w:rsid w:val="611326EE"/>
    <w:rsid w:val="61933C7A"/>
    <w:rsid w:val="61A759C9"/>
    <w:rsid w:val="61A80933"/>
    <w:rsid w:val="621662BB"/>
    <w:rsid w:val="627A2A89"/>
    <w:rsid w:val="631E20EB"/>
    <w:rsid w:val="63FB4D16"/>
    <w:rsid w:val="648A1A75"/>
    <w:rsid w:val="64A21056"/>
    <w:rsid w:val="64C013F3"/>
    <w:rsid w:val="64CE21E2"/>
    <w:rsid w:val="653D7CF7"/>
    <w:rsid w:val="664A63DE"/>
    <w:rsid w:val="667626B8"/>
    <w:rsid w:val="667676E5"/>
    <w:rsid w:val="66EB47C9"/>
    <w:rsid w:val="679B4A68"/>
    <w:rsid w:val="67FD2809"/>
    <w:rsid w:val="68000861"/>
    <w:rsid w:val="68314C6A"/>
    <w:rsid w:val="68A219A6"/>
    <w:rsid w:val="693C63AA"/>
    <w:rsid w:val="69AD7733"/>
    <w:rsid w:val="69D5337F"/>
    <w:rsid w:val="6A5F4959"/>
    <w:rsid w:val="6B0B5EEF"/>
    <w:rsid w:val="6B241B07"/>
    <w:rsid w:val="6B3758A5"/>
    <w:rsid w:val="6B3C5BF7"/>
    <w:rsid w:val="6B4C5026"/>
    <w:rsid w:val="6B767554"/>
    <w:rsid w:val="6B7E7778"/>
    <w:rsid w:val="6BA403D2"/>
    <w:rsid w:val="6BD3055E"/>
    <w:rsid w:val="6BD31AC0"/>
    <w:rsid w:val="6BEC7BDF"/>
    <w:rsid w:val="6C080BE9"/>
    <w:rsid w:val="6CA8387D"/>
    <w:rsid w:val="6CDB725A"/>
    <w:rsid w:val="6D05774B"/>
    <w:rsid w:val="6D557309"/>
    <w:rsid w:val="6D9B2012"/>
    <w:rsid w:val="6DD95AC6"/>
    <w:rsid w:val="6E1A39AE"/>
    <w:rsid w:val="6E8667EB"/>
    <w:rsid w:val="6F1D262E"/>
    <w:rsid w:val="6F22360D"/>
    <w:rsid w:val="6F2B6277"/>
    <w:rsid w:val="6F3E1B20"/>
    <w:rsid w:val="6F5D7335"/>
    <w:rsid w:val="6F5E652B"/>
    <w:rsid w:val="6F777C31"/>
    <w:rsid w:val="700229F0"/>
    <w:rsid w:val="701F7A90"/>
    <w:rsid w:val="709911A7"/>
    <w:rsid w:val="716E5832"/>
    <w:rsid w:val="7211204A"/>
    <w:rsid w:val="72AA5C57"/>
    <w:rsid w:val="738B6D24"/>
    <w:rsid w:val="739A2145"/>
    <w:rsid w:val="73A31C39"/>
    <w:rsid w:val="74160A5C"/>
    <w:rsid w:val="74497041"/>
    <w:rsid w:val="74995887"/>
    <w:rsid w:val="74A60150"/>
    <w:rsid w:val="74C67BA0"/>
    <w:rsid w:val="74E538FC"/>
    <w:rsid w:val="74F3304D"/>
    <w:rsid w:val="754E25AA"/>
    <w:rsid w:val="7565021F"/>
    <w:rsid w:val="75FF07C4"/>
    <w:rsid w:val="767A76F2"/>
    <w:rsid w:val="768C30B2"/>
    <w:rsid w:val="76E06916"/>
    <w:rsid w:val="77301672"/>
    <w:rsid w:val="77DE3504"/>
    <w:rsid w:val="7862726A"/>
    <w:rsid w:val="78E735B5"/>
    <w:rsid w:val="79067B70"/>
    <w:rsid w:val="79784CEA"/>
    <w:rsid w:val="7A5C0BA2"/>
    <w:rsid w:val="7A811792"/>
    <w:rsid w:val="7ACE38A0"/>
    <w:rsid w:val="7AD6788E"/>
    <w:rsid w:val="7B593A84"/>
    <w:rsid w:val="7B792A72"/>
    <w:rsid w:val="7C113AFA"/>
    <w:rsid w:val="7C21241F"/>
    <w:rsid w:val="7C355290"/>
    <w:rsid w:val="7CBF4A45"/>
    <w:rsid w:val="7CD575BE"/>
    <w:rsid w:val="7D6B25E1"/>
    <w:rsid w:val="7D9B13E6"/>
    <w:rsid w:val="7DC56754"/>
    <w:rsid w:val="7E207787"/>
    <w:rsid w:val="7E670546"/>
    <w:rsid w:val="7EA91204"/>
    <w:rsid w:val="7EAA65C0"/>
    <w:rsid w:val="7F4E1E9F"/>
    <w:rsid w:val="7F9E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Char"/>
    <w:basedOn w:val="1"/>
    <w:semiHidden/>
    <w:qFormat/>
    <w:uiPriority w:val="0"/>
    <w:rPr>
      <w:rFonts w:ascii="Calibri" w:hAnsi="Calibri" w:eastAsia="宋体"/>
    </w:rPr>
  </w:style>
  <w:style w:type="paragraph" w:styleId="3">
    <w:name w:val="caption"/>
    <w:basedOn w:val="1"/>
    <w:next w:val="1"/>
    <w:unhideWhenUsed/>
    <w:qFormat/>
    <w:uiPriority w:val="0"/>
    <w:rPr>
      <w:rFonts w:eastAsia="黑体" w:asciiTheme="majorHAnsi" w:hAnsiTheme="majorHAnsi" w:cstheme="majorBidi"/>
      <w:sz w:val="20"/>
      <w:szCs w:val="20"/>
    </w:rPr>
  </w:style>
  <w:style w:type="paragraph" w:styleId="4">
    <w:name w:val="annotation text"/>
    <w:basedOn w:val="1"/>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footnote text"/>
    <w:basedOn w:val="1"/>
    <w:link w:val="18"/>
    <w:qFormat/>
    <w:uiPriority w:val="0"/>
    <w:pPr>
      <w:snapToGrid w:val="0"/>
      <w:jc w:val="left"/>
    </w:pPr>
    <w:rPr>
      <w:sz w:val="18"/>
      <w:szCs w:val="18"/>
    </w:rPr>
  </w:style>
  <w:style w:type="paragraph" w:styleId="10">
    <w:name w:val="toc 2"/>
    <w:basedOn w:val="1"/>
    <w:next w:val="1"/>
    <w:qFormat/>
    <w:uiPriority w:val="0"/>
    <w:pPr>
      <w:ind w:left="420" w:left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List Paragraph"/>
    <w:basedOn w:val="1"/>
    <w:qFormat/>
    <w:uiPriority w:val="34"/>
    <w:pPr>
      <w:ind w:firstLine="420" w:firstLineChars="200"/>
    </w:pPr>
  </w:style>
  <w:style w:type="character" w:customStyle="1" w:styleId="16">
    <w:name w:val="页眉 字符"/>
    <w:basedOn w:val="13"/>
    <w:link w:val="7"/>
    <w:qFormat/>
    <w:uiPriority w:val="0"/>
    <w:rPr>
      <w:rFonts w:asciiTheme="minorHAnsi" w:hAnsiTheme="minorHAnsi" w:eastAsiaTheme="minorEastAsia" w:cstheme="minorBidi"/>
      <w:kern w:val="2"/>
      <w:sz w:val="18"/>
      <w:szCs w:val="18"/>
    </w:rPr>
  </w:style>
  <w:style w:type="character" w:customStyle="1" w:styleId="17">
    <w:name w:val="批注框文本 字符"/>
    <w:basedOn w:val="13"/>
    <w:link w:val="5"/>
    <w:qFormat/>
    <w:uiPriority w:val="0"/>
    <w:rPr>
      <w:rFonts w:asciiTheme="minorHAnsi" w:hAnsiTheme="minorHAnsi" w:eastAsiaTheme="minorEastAsia" w:cstheme="minorBidi"/>
      <w:kern w:val="2"/>
      <w:sz w:val="18"/>
      <w:szCs w:val="18"/>
    </w:rPr>
  </w:style>
  <w:style w:type="character" w:customStyle="1" w:styleId="18">
    <w:name w:val="脚注文本 字符"/>
    <w:basedOn w:val="13"/>
    <w:link w:val="9"/>
    <w:qFormat/>
    <w:uiPriority w:val="0"/>
    <w:rPr>
      <w:rFonts w:asciiTheme="minorHAnsi" w:hAnsiTheme="minorHAnsi" w:eastAsiaTheme="minorEastAsia" w:cstheme="minorBidi"/>
      <w:kern w:val="2"/>
      <w:sz w:val="18"/>
      <w:szCs w:val="18"/>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font31"/>
    <w:basedOn w:val="13"/>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1361E-DDD8-4E94-822C-2CD0F1F02BEE}">
  <ds:schemaRefs/>
</ds:datastoreItem>
</file>

<file path=docProps/app.xml><?xml version="1.0" encoding="utf-8"?>
<Properties xmlns="http://schemas.openxmlformats.org/officeDocument/2006/extended-properties" xmlns:vt="http://schemas.openxmlformats.org/officeDocument/2006/docPropsVTypes">
  <Template>Normal</Template>
  <Pages>81</Pages>
  <Words>5016</Words>
  <Characters>28593</Characters>
  <Lines>238</Lines>
  <Paragraphs>67</Paragraphs>
  <TotalTime>2</TotalTime>
  <ScaleCrop>false</ScaleCrop>
  <LinksUpToDate>false</LinksUpToDate>
  <CharactersWithSpaces>33542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2020-12-11T06:14:00Z</dcterms:created>
  <dc:creator>波波</dc:creator>
  <cp:lastModifiedBy>文件收发</cp:lastModifiedBy>
  <cp:lastPrinted>2021-06-29T09:59:00Z</cp:lastPrinted>
  <dcterms:modified xsi:type="dcterms:W3CDTF">2023-10-23T03:31:00Z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