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tbl>
      <w:tblPr>
        <w:tblStyle w:val="10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3"/>
        <w:gridCol w:w="4920"/>
        <w:gridCol w:w="244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9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增城区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（第一、二、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六类）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指标内容及分值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说明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1.本科及以上（90分）；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2.大专（80分）。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1.专业技术资格（职称）：中级及以上（90分）；初级（80分）；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国家职业资格/职业技能等级：技师及以上（90分）；三级（80分)。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1.董事长/总经理/总监/校长/院长或同等级别（90分）； 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0"/>
                <w:kern w:val="0"/>
                <w:sz w:val="24"/>
                <w:szCs w:val="24"/>
              </w:rPr>
              <w:t>2.前三个纳税年度在我区缴纳个人所得税累计达1.5万元（含）以上的企业骨干、部门经理、主管、主任或同等级别人员。（80分）。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1.需单位提供任职文件。</w:t>
            </w:r>
          </w:p>
          <w:p>
            <w:pPr>
              <w:spacing w:line="360" w:lineRule="exact"/>
              <w:ind w:firstLine="309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2.一个纳税年度指当年的1月1日至12月31日，以税款所属期为准。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　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申报人签名：       单位审核人签名：        单位（加公章）：  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10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40"/>
        <w:gridCol w:w="4590"/>
        <w:gridCol w:w="2671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5" w:type="dxa"/>
            <w:gridSpan w:val="5"/>
            <w:noWrap w:val="0"/>
            <w:vAlign w:val="center"/>
          </w:tcPr>
          <w:tbl>
            <w:tblPr>
              <w:tblStyle w:val="10"/>
              <w:tblW w:w="999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0"/>
              <w:gridCol w:w="1133"/>
              <w:gridCol w:w="4920"/>
              <w:gridCol w:w="2447"/>
              <w:gridCol w:w="85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  <w:jc w:val="center"/>
              </w:trPr>
              <w:tc>
                <w:tcPr>
                  <w:tcW w:w="9990" w:type="dxa"/>
                  <w:gridSpan w:val="5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  <w:t>2023年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  <w:t>增城区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  <w:t>申报单位引进人才总量控制类入户指标计分表</w:t>
                  </w:r>
                </w:p>
                <w:p>
                  <w:pPr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  <w:t>（第四类&lt;限省级及以上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32"/>
                      <w:szCs w:val="32"/>
                    </w:rPr>
                    <w:t>孵化载体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  <w:t>企业和专精特新企业&gt;）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1" w:hRule="atLeast"/>
                <w:jc w:val="center"/>
              </w:trPr>
              <w:tc>
                <w:tcPr>
                  <w:tcW w:w="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b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  <w:t>指标</w:t>
                  </w:r>
                </w:p>
              </w:tc>
              <w:tc>
                <w:tcPr>
                  <w:tcW w:w="4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b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  <w:t>指标内容及分值</w:t>
                  </w:r>
                </w:p>
              </w:tc>
              <w:tc>
                <w:tcPr>
                  <w:tcW w:w="2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b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  <w:t>说明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b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0"/>
                      <w:szCs w:val="21"/>
                    </w:rPr>
                    <w:t>自评分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1" w:hRule="atLeast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基础项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社保年限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在申报单位连续缴纳社保月数：1个月1分，累计不超过80分。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在同一申报单位社保缴纳时间需连续不能中断，若出现在子公司或分公司缴纳社保情况，需提供相关工商证明登记材料。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1" w:hRule="atLeast"/>
                <w:jc w:val="center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加分项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>1.本科及以上（90分）；</w:t>
                  </w:r>
                </w:p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>2.大专（80分）。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只取最高分，不累计加分。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33" w:hRule="atLeast"/>
                <w:jc w:val="center"/>
              </w:trPr>
              <w:tc>
                <w:tcPr>
                  <w:tcW w:w="64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专业技术资格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>1.专业技术资格（职称）：中级及以上（90分）；初级（80分）；</w:t>
                  </w:r>
                </w:p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>2.专业技术人员职业（执业）资格（80分）。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只取最高分，不累计加分。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70" w:hRule="atLeast"/>
                <w:jc w:val="center"/>
              </w:trPr>
              <w:tc>
                <w:tcPr>
                  <w:tcW w:w="6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技术能力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>国家职业资格/职业技能等级：技师及以上（90分）；三级（80分)。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只取最高分，不累计加分。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24" w:hRule="atLeast"/>
                <w:jc w:val="center"/>
              </w:trPr>
              <w:tc>
                <w:tcPr>
                  <w:tcW w:w="6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职务级别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  <w:t xml:space="preserve">1.董事长/总经理/总监/校长/院长或同等级别（90分）； </w:t>
                  </w:r>
                </w:p>
                <w:p>
                  <w:pPr>
                    <w:spacing w:line="360" w:lineRule="exact"/>
                    <w:ind w:firstLine="470" w:firstLineChars="196"/>
                    <w:rPr>
                      <w:rFonts w:hint="eastAsia" w:ascii="仿宋_GB2312" w:hAnsi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/>
                      <w:color w:val="auto"/>
                      <w:spacing w:val="0"/>
                      <w:kern w:val="0"/>
                      <w:sz w:val="24"/>
                      <w:szCs w:val="24"/>
                    </w:rPr>
                    <w:t>2.前三个纳税年度在我区缴纳个人所得税累计达1.5万元（含）以上的企业骨干、部门经理、主管、主任或同等级别人员。（80分）。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1.需单位提供任职文件。</w:t>
                  </w:r>
                </w:p>
                <w:p>
                  <w:pPr>
                    <w:spacing w:line="360" w:lineRule="exact"/>
                    <w:ind w:firstLine="309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2.一个纳税年度指当年的1月1日至12月31日，以税款所属期为准。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 xml:space="preserve">　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5" w:hRule="atLeast"/>
                <w:jc w:val="center"/>
              </w:trPr>
              <w:tc>
                <w:tcPr>
                  <w:tcW w:w="91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合计总分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</w:rPr>
                    <w:t>　</w:t>
                  </w:r>
                  <w:r>
                    <w:rPr>
                      <w:color w:val="auto"/>
                      <w:kern w:val="0"/>
                      <w:sz w:val="24"/>
                    </w:rPr>
                    <w:t xml:space="preserve">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999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60" w:lineRule="exact"/>
                    <w:rPr>
                      <w:rFonts w:hint="eastAsia" w:eastAsia="方正小标宋简体"/>
                      <w:color w:val="auto"/>
                      <w:kern w:val="0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申报人签名：       单位审核人签名：        单位（加公章）：</w:t>
                  </w:r>
                  <w:r>
                    <w:rPr>
                      <w:rFonts w:hint="eastAsia" w:eastAsia="方正小标宋简体"/>
                      <w:color w:val="auto"/>
                      <w:kern w:val="0"/>
                    </w:rPr>
                    <w:t xml:space="preserve">  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hint="eastAsia"/>
                      <w:color w:val="auto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460" w:lineRule="exact"/>
              <w:rPr>
                <w:rFonts w:hint="eastAsia" w:ascii="仿宋_GB2312" w:hAnsi="仿宋_GB2312" w:cs="仿宋_GB2312"/>
                <w:color w:val="auto"/>
                <w:kern w:val="0"/>
              </w:rPr>
            </w:pPr>
          </w:p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增城区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（第四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&lt;除省级及以上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</w:rPr>
              <w:t>孵化载体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企业和专精特新企业之外&gt;、</w:t>
            </w:r>
          </w:p>
          <w:p>
            <w:pPr>
              <w:spacing w:line="460" w:lineRule="exact"/>
              <w:jc w:val="center"/>
              <w:rPr>
                <w:rFonts w:hint="eastAsia" w:eastAsia="方正小标宋简体"/>
                <w:color w:val="auto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五类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、七类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指标内容及分值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说明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1.本科及以上（90分）；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2.大专（80分）。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1.专业技术资格（职称）：中级及以上（90分）；初级（80分）；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2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国家职业资格/职业技能等级：技师及以上（90分）；三级（80分)。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90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申报人签名：       单位审核人签名：        单位（加公章）：</w:t>
            </w:r>
          </w:p>
          <w:p>
            <w:pPr>
              <w:spacing w:line="460" w:lineRule="exac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30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仿宋_GB2312"/>
          <w:b/>
          <w:bCs/>
          <w:color w:val="auto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58" w:gutter="0"/>
          <w:pgNumType w:fmt="decimal"/>
          <w:cols w:space="720" w:num="1"/>
          <w:docGrid w:type="lines" w:linePitch="579" w:charSpace="-7403"/>
        </w:sectPr>
      </w:pPr>
    </w:p>
    <w:p>
      <w:pPr>
        <w:rPr>
          <w:rFonts w:hint="default"/>
          <w:lang w:val="en-US" w:eastAsia="zh-CN"/>
        </w:rPr>
      </w:pP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/>
        <w:lang w:val="en-US" w:eastAsia="zh-CN"/>
      </w:rPr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BD0D9F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0332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2023-07-18T02:10:13Z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