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left="-175" w:leftChars="-85" w:right="-150" w:rightChars="-7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广州市增城区市场监督管理局2022</w:t>
      </w:r>
      <w:r>
        <w:rPr>
          <w:rFonts w:hint="eastAsia" w:ascii="方正小标宋简体" w:hAnsi="方正小标宋简体" w:eastAsia="方正小标宋简体" w:cs="方正小标宋简体"/>
          <w:sz w:val="44"/>
          <w:szCs w:val="44"/>
        </w:rPr>
        <w:t>年度行政许可实施和监督管理情况报告</w:t>
      </w:r>
    </w:p>
    <w:p>
      <w:pPr>
        <w:spacing w:line="540" w:lineRule="exact"/>
        <w:ind w:firstLine="632" w:firstLineChars="200"/>
        <w:rPr>
          <w:rFonts w:hint="eastAsia" w:ascii="仿宋_GB2312" w:eastAsia="仿宋_GB2312"/>
          <w:sz w:val="32"/>
          <w:szCs w:val="32"/>
        </w:rPr>
      </w:pPr>
    </w:p>
    <w:p>
      <w:pPr>
        <w:spacing w:line="560" w:lineRule="exact"/>
        <w:ind w:firstLine="632" w:firstLineChars="200"/>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w:t>
      </w:r>
      <w:r>
        <w:rPr>
          <w:rFonts w:eastAsia="仿宋_GB2312"/>
          <w:sz w:val="32"/>
          <w:szCs w:val="32"/>
        </w:rPr>
        <w:t>行政许可实施和监督管理情况报告如下：</w:t>
      </w:r>
    </w:p>
    <w:p>
      <w:pPr>
        <w:spacing w:line="560" w:lineRule="exact"/>
        <w:ind w:firstLine="632" w:firstLineChars="200"/>
        <w:rPr>
          <w:rFonts w:eastAsia="黑体"/>
          <w:sz w:val="32"/>
          <w:szCs w:val="32"/>
        </w:rPr>
      </w:pPr>
      <w:r>
        <w:rPr>
          <w:rFonts w:hAnsi="黑体" w:eastAsia="黑体"/>
          <w:sz w:val="32"/>
          <w:szCs w:val="32"/>
        </w:rPr>
        <w:t>一、基本情况</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eastAsia="仿宋_GB2312"/>
          <w:sz w:val="32"/>
          <w:szCs w:val="32"/>
          <w:lang w:val="en-US" w:eastAsia="zh-CN"/>
        </w:rPr>
        <w:t>我局</w:t>
      </w:r>
      <w:r>
        <w:rPr>
          <w:rFonts w:hint="eastAsia" w:ascii="仿宋_GB2312" w:hAnsi="仿宋_GB2312" w:eastAsia="仿宋_GB2312" w:cs="仿宋_GB2312"/>
          <w:sz w:val="32"/>
          <w:szCs w:val="32"/>
        </w:rPr>
        <w:t>行政许可事项数</w:t>
      </w:r>
      <w:r>
        <w:rPr>
          <w:rFonts w:hint="eastAsia" w:ascii="仿宋_GB2312" w:hAnsi="仿宋_GB2312" w:eastAsia="仿宋_GB2312" w:cs="仿宋_GB2312"/>
          <w:sz w:val="32"/>
          <w:szCs w:val="32"/>
          <w:lang w:val="en-US" w:eastAsia="zh-CN"/>
        </w:rPr>
        <w:t>共88项</w:t>
      </w:r>
      <w:r>
        <w:rPr>
          <w:rFonts w:hint="eastAsia" w:ascii="仿宋_GB2312" w:hAnsi="仿宋_GB2312" w:eastAsia="仿宋_GB2312" w:cs="仿宋_GB2312"/>
          <w:sz w:val="32"/>
          <w:szCs w:val="32"/>
        </w:rPr>
        <w:t>，均纳入我局行政权力清单，并进驻广东省政务服务事项管理系统（</w:t>
      </w:r>
      <w:r>
        <w:rPr>
          <w:rFonts w:hint="eastAsia" w:ascii="仿宋_GB2312" w:hAnsi="仿宋_GB2312" w:eastAsia="仿宋_GB2312" w:cs="仿宋_GB2312"/>
          <w:color w:val="000000"/>
          <w:sz w:val="32"/>
          <w:szCs w:val="32"/>
        </w:rPr>
        <w:t>广东政务服务网）。</w:t>
      </w:r>
      <w:r>
        <w:rPr>
          <w:rFonts w:hint="eastAsia" w:ascii="仿宋_GB2312" w:hAnsi="仿宋_GB2312" w:eastAsia="仿宋_GB2312" w:cs="仿宋_GB2312"/>
          <w:color w:val="000000"/>
          <w:sz w:val="32"/>
          <w:szCs w:val="32"/>
          <w:lang w:eastAsia="zh-CN"/>
        </w:rPr>
        <w:t>我局行政许可事项包括：</w:t>
      </w:r>
      <w:r>
        <w:rPr>
          <w:rFonts w:hint="eastAsia" w:ascii="仿宋_GB2312" w:hAnsi="仿宋_GB2312" w:eastAsia="仿宋_GB2312" w:cs="仿宋_GB2312"/>
          <w:color w:val="000000"/>
          <w:sz w:val="32"/>
          <w:szCs w:val="32"/>
        </w:rPr>
        <w:t>特种设备使用登记、企业登记注册、个体工商户登记注册、农民专业合作社登记注册、外国（地区）企业在中国境内从事生产经营活动登记、计量标准器具核准（本级权限内）和</w:t>
      </w:r>
      <w:r>
        <w:rPr>
          <w:rFonts w:hint="eastAsia" w:ascii="仿宋_GB2312" w:hAnsi="仿宋_GB2312" w:eastAsia="仿宋_GB2312" w:cs="仿宋_GB2312"/>
          <w:sz w:val="32"/>
          <w:szCs w:val="32"/>
        </w:rPr>
        <w:t>药品经营许可，医疗器械经营许可（第三类医疗器械核准），特殊药品零售、邮寄、运输和购用审批，食品生产许可，食品经营许可，食品小作坊登记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全年行</w:t>
      </w:r>
      <w:r>
        <w:rPr>
          <w:rFonts w:hint="eastAsia" w:ascii="仿宋_GB2312" w:hAnsi="仿宋_GB2312" w:eastAsia="仿宋_GB2312" w:cs="仿宋_GB2312"/>
          <w:sz w:val="32"/>
          <w:szCs w:val="32"/>
        </w:rPr>
        <w:t>政许可申请数量为</w:t>
      </w:r>
      <w:r>
        <w:rPr>
          <w:rFonts w:hint="eastAsia" w:ascii="仿宋_GB2312" w:hAnsi="仿宋" w:eastAsia="仿宋_GB2312"/>
          <w:color w:val="000000"/>
          <w:sz w:val="32"/>
          <w:szCs w:val="32"/>
          <w:lang w:val="en-US" w:eastAsia="zh-CN"/>
        </w:rPr>
        <w:t>126683</w:t>
      </w:r>
      <w:r>
        <w:rPr>
          <w:rFonts w:hint="eastAsia" w:ascii="仿宋_GB2312" w:hAnsi="仿宋_GB2312" w:eastAsia="仿宋_GB2312" w:cs="仿宋_GB2312"/>
          <w:sz w:val="32"/>
          <w:szCs w:val="32"/>
        </w:rPr>
        <w:t>宗，其中受理</w:t>
      </w:r>
      <w:r>
        <w:rPr>
          <w:rFonts w:hint="eastAsia" w:ascii="仿宋_GB2312" w:hAnsi="仿宋" w:eastAsia="仿宋_GB2312"/>
          <w:color w:val="000000"/>
          <w:sz w:val="32"/>
          <w:szCs w:val="32"/>
          <w:lang w:val="en-US" w:eastAsia="zh-CN"/>
        </w:rPr>
        <w:t>126683</w:t>
      </w:r>
      <w:r>
        <w:rPr>
          <w:rFonts w:hint="eastAsia" w:ascii="仿宋_GB2312" w:hAnsi="仿宋_GB2312" w:eastAsia="仿宋_GB2312" w:cs="仿宋_GB2312"/>
          <w:sz w:val="32"/>
          <w:szCs w:val="32"/>
        </w:rPr>
        <w:t>宗，按时办结数量</w:t>
      </w:r>
      <w:r>
        <w:rPr>
          <w:rFonts w:hint="eastAsia" w:ascii="仿宋_GB2312" w:hAnsi="仿宋" w:eastAsia="仿宋_GB2312"/>
          <w:color w:val="000000"/>
          <w:sz w:val="32"/>
          <w:szCs w:val="32"/>
          <w:lang w:val="en-US" w:eastAsia="zh-CN"/>
        </w:rPr>
        <w:t>126683</w:t>
      </w:r>
      <w:r>
        <w:rPr>
          <w:rFonts w:hint="eastAsia" w:ascii="仿宋_GB2312" w:hAnsi="仿宋_GB2312" w:eastAsia="仿宋_GB2312" w:cs="仿宋_GB2312"/>
          <w:sz w:val="32"/>
          <w:szCs w:val="32"/>
        </w:rPr>
        <w:t>宗，审批同意</w:t>
      </w:r>
      <w:r>
        <w:rPr>
          <w:rFonts w:hint="eastAsia" w:ascii="仿宋_GB2312" w:hAnsi="仿宋" w:eastAsia="仿宋_GB2312"/>
          <w:color w:val="000000"/>
          <w:sz w:val="32"/>
          <w:szCs w:val="32"/>
          <w:lang w:val="en-US" w:eastAsia="zh-CN"/>
        </w:rPr>
        <w:t>126431</w:t>
      </w:r>
      <w:r>
        <w:rPr>
          <w:rFonts w:hint="eastAsia" w:ascii="仿宋_GB2312" w:hAnsi="仿宋_GB2312" w:eastAsia="仿宋_GB2312" w:cs="仿宋_GB2312"/>
          <w:sz w:val="32"/>
          <w:szCs w:val="32"/>
        </w:rPr>
        <w:t>宗，审批不同意</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宗。未受理的主要原因是申请人提交的资料不齐全或不符合法定形式。无受理后未按时办结事项。</w:t>
      </w:r>
    </w:p>
    <w:p>
      <w:pPr>
        <w:numPr>
          <w:ilvl w:val="0"/>
          <w:numId w:val="0"/>
        </w:numPr>
        <w:ind w:firstLine="63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rPr>
        <w:t>（一）依法实施情况</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lang w:val="en-US" w:eastAsia="zh-CN"/>
        </w:rPr>
        <w:t>我局依据《行政许可法》等相关法律法规及审批权限、程序、环节、条件等办理行政许可事项，不存在变相设定和实施行政许可情况,通过创新申请受理和办理方式，有效精简优化审批流程、减少办事环节、缩短办事时限。2022年以来我局未出现因超出办理时限而被复议、诉讼撤销的审批案件。我局行政许可</w:t>
      </w:r>
      <w:r>
        <w:rPr>
          <w:rFonts w:hint="eastAsia" w:ascii="仿宋_GB2312" w:hAnsi="仿宋" w:eastAsia="仿宋_GB2312" w:cs="Times New Roman"/>
          <w:color w:val="000000"/>
          <w:kern w:val="2"/>
          <w:sz w:val="32"/>
          <w:szCs w:val="32"/>
          <w:lang w:val="en-US" w:eastAsia="zh-CN" w:bidi="ar-SA"/>
        </w:rPr>
        <w:t>事项</w:t>
      </w:r>
      <w:r>
        <w:rPr>
          <w:rFonts w:hint="eastAsia" w:ascii="仿宋_GB2312" w:hAnsi="仿宋_GB2312" w:eastAsia="仿宋_GB2312" w:cs="仿宋_GB2312"/>
          <w:sz w:val="32"/>
          <w:szCs w:val="32"/>
          <w:lang w:val="en-US" w:eastAsia="zh-CN"/>
        </w:rPr>
        <w:t>法定办结时限合计1749个工作日，承诺办结时限合计压缩到135个工作日，我局为企业提供更高效的注册登记服务，注册登记业务整体实现半天内办结，全年设立登记实现半小时内完成审批，变更、注销登记业务审核时间平均分别为0.13天、0.11天。</w:t>
      </w:r>
    </w:p>
    <w:p>
      <w:pPr>
        <w:numPr>
          <w:ilvl w:val="0"/>
          <w:numId w:val="0"/>
        </w:numPr>
        <w:ind w:firstLine="63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en-US" w:eastAsia="zh-CN"/>
        </w:rPr>
        <w:t>（二）公开公示情况。</w:t>
      </w:r>
      <w:r>
        <w:rPr>
          <w:rFonts w:hint="eastAsia" w:ascii="仿宋_GB2312" w:hAnsi="仿宋_GB2312" w:eastAsia="仿宋_GB2312" w:cs="仿宋_GB2312"/>
          <w:sz w:val="32"/>
          <w:szCs w:val="32"/>
          <w:lang w:val="en-US" w:eastAsia="zh-CN"/>
        </w:rPr>
        <w:t>我局坚持“统一标准，同步公示”的原则，按照行政审批标准化的规范要求编写办事指南，并通过广东政务服务网等公开公示行政许可事项的实施主体、依据、程序、条件、期限、申请材料、咨询投诉方式等信息。同时，我局还依法向社会公开行政许可实施结果的情况，接受广大人民群众的监督。</w:t>
      </w:r>
    </w:p>
    <w:p>
      <w:pPr>
        <w:numPr>
          <w:ilvl w:val="0"/>
          <w:numId w:val="0"/>
        </w:numPr>
        <w:ind w:firstLine="632" w:firstLineChars="200"/>
        <w:rPr>
          <w:rFonts w:hint="eastAsia" w:hAnsi="黑体" w:eastAsia="黑体" w:cs="Times New Roman"/>
          <w:sz w:val="32"/>
          <w:szCs w:val="32"/>
          <w:lang w:val="en-US" w:eastAsia="zh-CN"/>
        </w:rPr>
      </w:pPr>
      <w:r>
        <w:rPr>
          <w:rFonts w:hint="eastAsia" w:hAnsi="黑体" w:eastAsia="黑体" w:cs="Times New Roman"/>
          <w:sz w:val="32"/>
          <w:szCs w:val="32"/>
          <w:lang w:val="en-US" w:eastAsia="zh-CN"/>
        </w:rPr>
        <w:t>二、监督管理情况</w:t>
      </w:r>
    </w:p>
    <w:p>
      <w:pPr>
        <w:numPr>
          <w:ilvl w:val="0"/>
          <w:numId w:val="0"/>
        </w:num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企业公示信息抽查工作。贯彻落实《企业信息公示暂行条例》及其配套规章规定，通过开展双随机抽查，强化对企业登记事项检查和公示信息检查，督促其依法履行公示信息义务，促进诚信自律。2022年，根据广州市局下发的2022年度抽查工作计划，通过市“双随机、一公开”监管平台共抽查监管对象2892户，其中因抽查发现违法违规行为，有891户企业被列入经营异常名录，29户责令整改作进一步调查处理，并向社会公示，向公众提示交易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仿宋_GB2312" w:eastAsia="仿宋_GB2312" w:cs="Times New Roman"/>
          <w:sz w:val="32"/>
          <w:szCs w:val="32"/>
          <w:lang w:val="en-US" w:eastAsia="zh-CN"/>
        </w:rPr>
      </w:pPr>
      <w:r>
        <w:rPr>
          <w:rFonts w:hint="eastAsia" w:ascii="仿宋_GB2312" w:hAnsi="仿宋_GB2312" w:eastAsia="仿宋_GB2312" w:cs="仿宋_GB2312"/>
          <w:b w:val="0"/>
          <w:bCs w:val="0"/>
          <w:color w:val="auto"/>
          <w:sz w:val="32"/>
          <w:szCs w:val="32"/>
          <w:lang w:val="en-US" w:eastAsia="zh-CN"/>
        </w:rPr>
        <w:t>2.执法力度持续加大。</w:t>
      </w:r>
      <w:r>
        <w:rPr>
          <w:rFonts w:hint="eastAsia" w:ascii="仿宋_GB2312" w:eastAsia="仿宋_GB2312" w:cs="Times New Roman"/>
          <w:sz w:val="32"/>
          <w:szCs w:val="32"/>
          <w:lang w:val="en-US" w:eastAsia="zh-CN"/>
        </w:rPr>
        <w:t>做好全区打击侵犯知识产权和制售假冒伪劣商品工作，保护创新创造，守牢质量安全底线，严厉打击侵权假冒，依法保护知识产权权利人、消费者合法权益，营造市场化、法治化、国际化营商环境。围绕防疫用品、日化品、建材产品、农产品、食品药品及烟草制品等重点产品，加大对农村地区、商品批发市场、寄递物流场所及网络市场巡查监管，强化跨部门、跨区域执法联动，围绕重大、恶性案件，组织专案打击行动，增强打击效果。2022年我局共办结各类制售假案件715宗，开展知识产权市场执法联合行动16次，通过开展重点产品专项打假，有力净化了市场竞争环境，有效地保护专利权人和消费者的合法权益。</w:t>
      </w:r>
    </w:p>
    <w:p>
      <w:pPr>
        <w:spacing w:line="560" w:lineRule="exact"/>
        <w:ind w:firstLine="632" w:firstLineChars="200"/>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行政许可实施行为的监督情况</w:t>
      </w:r>
      <w:r>
        <w:rPr>
          <w:rFonts w:hint="eastAsia" w:ascii="仿宋_GB2312" w:hAnsi="仿宋" w:eastAsia="仿宋_GB2312"/>
          <w:color w:val="000000"/>
          <w:sz w:val="32"/>
          <w:szCs w:val="32"/>
          <w:lang w:eastAsia="zh-CN"/>
        </w:rPr>
        <w:t>。</w:t>
      </w:r>
      <w:r>
        <w:rPr>
          <w:rFonts w:hint="eastAsia" w:ascii="仿宋_GB2312" w:eastAsia="仿宋_GB2312" w:cs="Times New Roman"/>
          <w:sz w:val="32"/>
          <w:szCs w:val="32"/>
          <w:lang w:val="en-US" w:eastAsia="zh-CN"/>
        </w:rPr>
        <w:t>积极推动全面从严治党主体责任20项清单落实，深入推进“庸、懒、散、慢”“窗口腐败”等专项整治及行风建设工作。</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年度，我局纪检监察部门</w:t>
      </w:r>
      <w:r>
        <w:rPr>
          <w:rFonts w:hint="eastAsia" w:ascii="仿宋_GB2312" w:hAnsi="仿宋" w:eastAsia="仿宋_GB2312"/>
          <w:color w:val="000000"/>
          <w:sz w:val="32"/>
          <w:szCs w:val="32"/>
          <w:lang w:eastAsia="zh-CN"/>
        </w:rPr>
        <w:t>和业务指导部门</w:t>
      </w:r>
      <w:r>
        <w:rPr>
          <w:rFonts w:hint="eastAsia" w:ascii="仿宋_GB2312" w:hAnsi="仿宋" w:eastAsia="仿宋_GB2312"/>
          <w:color w:val="000000"/>
          <w:sz w:val="32"/>
          <w:szCs w:val="32"/>
        </w:rPr>
        <w:t>按照上级部门要求在网上公示公开了举报投诉方式等信息</w:t>
      </w:r>
      <w:r>
        <w:rPr>
          <w:rFonts w:hint="eastAsia" w:ascii="仿宋_GB2312" w:hAnsi="仿宋" w:eastAsia="仿宋_GB2312" w:cs="Times New Roman"/>
          <w:color w:val="000000"/>
          <w:sz w:val="32"/>
          <w:szCs w:val="32"/>
        </w:rPr>
        <w:t>，并在日常工作中不定期对从事行政许可事项活动及对行政许可实施行为进行监督检查。共收到涉及行政许可实施行为的投诉举报线索</w:t>
      </w:r>
      <w:r>
        <w:rPr>
          <w:rFonts w:hint="eastAsia" w:ascii="仿宋_GB2312" w:hAnsi="仿宋" w:eastAsia="仿宋_GB2312" w:cs="Times New Roman"/>
          <w:color w:val="000000"/>
          <w:sz w:val="32"/>
          <w:szCs w:val="32"/>
          <w:lang w:val="en-US" w:eastAsia="zh-CN"/>
        </w:rPr>
        <w:t>2</w:t>
      </w:r>
      <w:r>
        <w:rPr>
          <w:rFonts w:hint="eastAsia" w:ascii="仿宋_GB2312" w:hAnsi="仿宋" w:eastAsia="仿宋_GB2312" w:cs="Times New Roman"/>
          <w:color w:val="000000"/>
          <w:sz w:val="32"/>
          <w:szCs w:val="32"/>
        </w:rPr>
        <w:t>件，查处违法违规案件数为零。</w:t>
      </w:r>
    </w:p>
    <w:p>
      <w:pPr>
        <w:spacing w:line="560" w:lineRule="exact"/>
        <w:ind w:firstLine="632" w:firstLineChars="200"/>
        <w:rPr>
          <w:rFonts w:hint="eastAsia" w:hAnsi="黑体" w:eastAsia="黑体" w:cs="Times New Roman"/>
          <w:sz w:val="32"/>
          <w:szCs w:val="32"/>
          <w:lang w:val="en-US" w:eastAsia="zh-CN"/>
        </w:rPr>
      </w:pPr>
      <w:r>
        <w:rPr>
          <w:rFonts w:hint="eastAsia" w:hAnsi="黑体" w:eastAsia="黑体" w:cs="Times New Roman"/>
          <w:sz w:val="32"/>
          <w:szCs w:val="32"/>
          <w:lang w:val="en-US" w:eastAsia="zh-CN"/>
        </w:rPr>
        <w:t>三、实施效果情况</w:t>
      </w:r>
    </w:p>
    <w:p>
      <w:pPr>
        <w:spacing w:line="560" w:lineRule="exact"/>
        <w:ind w:firstLine="632" w:firstLineChars="200"/>
        <w:rPr>
          <w:rFonts w:hint="eastAsia" w:ascii="仿宋_GB2312" w:eastAsia="仿宋_GB2312" w:cs="Times New Roman"/>
          <w:sz w:val="32"/>
          <w:szCs w:val="32"/>
          <w:lang w:val="en-US" w:eastAsia="zh-CN"/>
        </w:rPr>
      </w:pPr>
      <w:r>
        <w:rPr>
          <w:rFonts w:hint="eastAsia" w:ascii="仿宋_GB2312" w:hAnsi="仿宋" w:eastAsia="仿宋_GB2312" w:cs="Times New Roman"/>
          <w:color w:val="000000"/>
          <w:kern w:val="2"/>
          <w:sz w:val="32"/>
          <w:szCs w:val="32"/>
          <w:lang w:val="en-US" w:eastAsia="zh-CN" w:bidi="ar-SA"/>
        </w:rPr>
        <w:t>保市场主体精准高效，服务效能得到新提高。积极推进营商环境5.0改革，深入实施“证照分离”改革、“一照通行”审批服务改革，深化简易注销登记改革，打造开办企业智慧便捷模式，推出“容缺办”“歇业制度”“穗澳通”等多项商事登记便利化措施，创新药品零售经营模式，试点“便利店+药店”跨界经营等，行政许可事项办理时限压减94.57%，即办程度92.37%，推动准入、准营、退出高效便利，持续激发市场主体活力，我区新发展市场主体增速和企业活跃度处于全市中上游水平</w:t>
      </w:r>
      <w:r>
        <w:rPr>
          <w:rFonts w:hint="eastAsia" w:ascii="仿宋_GB2312" w:eastAsia="仿宋_GB2312" w:cs="Times New Roman"/>
          <w:sz w:val="32"/>
          <w:szCs w:val="32"/>
          <w:lang w:val="en-US" w:eastAsia="zh-CN"/>
        </w:rPr>
        <w:t>。2022年，新发展市场主体3.59万户，市场主体总量达23.58万户，同比增长7%；迁移企业数量和注册资本持续保持双顺差，户数顺差1423户，注册资本顺差132.54亿元，顺差同比2021年分别扩大11.35%、81.84%。</w:t>
      </w:r>
    </w:p>
    <w:p>
      <w:pPr>
        <w:spacing w:line="560" w:lineRule="exact"/>
        <w:ind w:firstLine="632" w:firstLineChars="200"/>
        <w:rPr>
          <w:rFonts w:hint="eastAsia" w:hAnsi="黑体" w:eastAsia="黑体" w:cs="Times New Roman"/>
          <w:sz w:val="32"/>
          <w:szCs w:val="32"/>
          <w:lang w:val="en-US" w:eastAsia="zh-CN"/>
        </w:rPr>
      </w:pPr>
      <w:r>
        <w:rPr>
          <w:rFonts w:hint="eastAsia" w:hAnsi="黑体" w:eastAsia="黑体" w:cs="Times New Roman"/>
          <w:sz w:val="32"/>
          <w:szCs w:val="32"/>
          <w:lang w:val="en-US" w:eastAsia="zh-CN"/>
        </w:rPr>
        <w:t>四、创新方式情况</w:t>
      </w:r>
    </w:p>
    <w:p>
      <w:pPr>
        <w:spacing w:line="560" w:lineRule="exact"/>
        <w:ind w:firstLine="632" w:firstLineChars="200"/>
        <w:rPr>
          <w:rFonts w:hint="default"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一是深化开办企业便利度改革。深入实施“证照分离”改革、“一照通行”审批服务改革，“主题式”为企业多业态经营提供一网通办的集成服务场景，实现证照联办一网申请、一次告知，办事“跑一次”，目前已推出多个主题场景应用，涉及12个部门的25项许可审批事项。实行开办企业一网通办全覆盖，全流程电子化办理，将电子印章、电子发票等信息归集企业名下，形成专属名片，依托5G智慧服务技术，为企业提供全程数字化、可视化导办服务，打造开办企业智慧便捷模式。推行企业名称、经营范围自主标准化申报，关联拓展经营范围规范化申报与“一件事一次办”改革，智能识别并精准推荐一站式证照联办、主题式套餐等服务，实现开办企业标准化、智能化。二是深化市场主体退出机制。深化简易注销登记改革，适用范围扩大至个体工商户，推行企业注销一网通办，企业只需登录电子化系统或“一网通办”平台，“刷脸”电子签署，实现全程“零跑动”。注销登记公示时间由45天压减至20天，市场出清效率进一步提升。三是创新药品零售经营模式，试点“便利店+药店”跨界经营。深化涉企经营许可事项改革，创新药品零售经营模式，探索实施“大型连锁便利店+药品零售连锁企业”跨界融合经营模式，开展经营乙类非处方药综合改革试点工作。通过“便利店+药店”模式实践，推动传统药店向社区健康便利店转型，实现以跨界合作“小切口”撬动药品零售新业态“大发展”，持续激发市场活力和经济内生动力。</w:t>
      </w:r>
    </w:p>
    <w:p>
      <w:pPr>
        <w:spacing w:line="560" w:lineRule="exact"/>
        <w:ind w:firstLine="632" w:firstLineChars="200"/>
        <w:rPr>
          <w:rFonts w:hint="eastAsia" w:hAnsi="黑体" w:eastAsia="黑体" w:cs="Times New Roman"/>
          <w:sz w:val="32"/>
          <w:szCs w:val="32"/>
          <w:lang w:val="en-US" w:eastAsia="zh-CN"/>
        </w:rPr>
      </w:pPr>
      <w:r>
        <w:rPr>
          <w:rFonts w:hint="eastAsia" w:hAnsi="黑体" w:eastAsia="黑体" w:cs="Times New Roman"/>
          <w:sz w:val="32"/>
          <w:szCs w:val="32"/>
          <w:lang w:val="en-US" w:eastAsia="zh-CN"/>
        </w:rPr>
        <w:t>五、推行标准化情况</w:t>
      </w:r>
    </w:p>
    <w:p>
      <w:pPr>
        <w:spacing w:line="560" w:lineRule="exact"/>
        <w:ind w:firstLine="632"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对照政务服务事项“十统一”标准认真总结梳理，全面规范行政许可审批标准。一是提供清晰业务指引，我局采用统一的办事指南对外公布；对行政许可中涉及的中介服务事项进行了一次全面的梳理，按规定清理规范行政许可实施过程中的各类涉企涉民证明。</w:t>
      </w:r>
    </w:p>
    <w:p>
      <w:pPr>
        <w:spacing w:line="560" w:lineRule="exact"/>
        <w:ind w:firstLine="632" w:firstLineChars="200"/>
        <w:rPr>
          <w:rFonts w:hint="eastAsia" w:hAnsi="黑体" w:eastAsia="黑体" w:cs="Times New Roman"/>
          <w:sz w:val="32"/>
          <w:szCs w:val="32"/>
          <w:lang w:val="en-US" w:eastAsia="zh-CN"/>
        </w:rPr>
      </w:pPr>
      <w:r>
        <w:rPr>
          <w:rFonts w:hint="eastAsia" w:hAnsi="黑体" w:eastAsia="黑体" w:cs="Times New Roman"/>
          <w:sz w:val="32"/>
          <w:szCs w:val="32"/>
          <w:lang w:val="en-US" w:eastAsia="zh-CN"/>
        </w:rPr>
        <w:t>六、存在的主要问题及下一步措施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仿宋_GB2312" w:hAnsi="仿宋" w:eastAsia="仿宋_GB2312"/>
          <w:sz w:val="32"/>
          <w:szCs w:val="32"/>
          <w:lang w:val="en-US" w:eastAsia="zh-CN"/>
        </w:rPr>
      </w:pPr>
      <w:r>
        <w:rPr>
          <w:rFonts w:ascii="仿宋_GB2312" w:hAnsi="Calibri" w:eastAsia="仿宋_GB2312" w:cs="仿宋_GB2312"/>
          <w:i w:val="0"/>
          <w:caps w:val="0"/>
          <w:color w:val="000000"/>
          <w:spacing w:val="0"/>
          <w:sz w:val="32"/>
          <w:szCs w:val="32"/>
          <w:shd w:val="clear" w:color="auto" w:fill="FFFFFF"/>
        </w:rPr>
        <w:t>优化营商环境没有最好，只有更好。</w:t>
      </w:r>
      <w:r>
        <w:rPr>
          <w:rFonts w:hint="eastAsia" w:ascii="仿宋_GB2312" w:eastAsia="仿宋_GB2312" w:cs="仿宋_GB2312"/>
          <w:i w:val="0"/>
          <w:caps w:val="0"/>
          <w:color w:val="000000"/>
          <w:spacing w:val="0"/>
          <w:sz w:val="32"/>
          <w:szCs w:val="32"/>
          <w:shd w:val="clear" w:color="auto" w:fill="FFFFFF"/>
          <w:lang w:val="en-US" w:eastAsia="zh-CN"/>
        </w:rPr>
        <w:t>我局</w:t>
      </w:r>
      <w:r>
        <w:rPr>
          <w:rFonts w:hint="eastAsia" w:ascii="仿宋_GB2312" w:hAnsi="仿宋" w:eastAsia="仿宋_GB2312"/>
          <w:sz w:val="32"/>
          <w:szCs w:val="32"/>
        </w:rPr>
        <w:t>简政放权的改革措施有明显成效，但与全面深化改革的总体要求相比，与企业群众的热切期盼相比，还存在差距。</w:t>
      </w:r>
      <w:r>
        <w:rPr>
          <w:rFonts w:hint="eastAsia" w:ascii="仿宋_GB2312" w:hAnsi="仿宋" w:eastAsia="仿宋_GB2312"/>
          <w:sz w:val="32"/>
          <w:szCs w:val="32"/>
          <w:lang w:val="en-US" w:eastAsia="zh-CN"/>
        </w:rPr>
        <w:t xml:space="preserve"> </w:t>
      </w:r>
    </w:p>
    <w:p>
      <w:pPr>
        <w:spacing w:line="560" w:lineRule="exact"/>
        <w:ind w:firstLine="632" w:firstLineChars="200"/>
        <w:rPr>
          <w:rFonts w:hint="eastAsia" w:ascii="仿宋_GB2312" w:eastAsia="仿宋_GB2312" w:cs="仿宋_GB2312"/>
          <w:i w:val="0"/>
          <w:caps w:val="0"/>
          <w:color w:val="000000"/>
          <w:spacing w:val="0"/>
          <w:sz w:val="32"/>
          <w:szCs w:val="32"/>
          <w:shd w:val="clear" w:color="auto" w:fill="FFFFFF"/>
          <w:lang w:val="en-US" w:eastAsia="zh-CN"/>
        </w:rPr>
      </w:pPr>
      <w:r>
        <w:rPr>
          <w:rFonts w:ascii="仿宋_GB2312" w:hAnsi="Calibri" w:eastAsia="仿宋_GB2312" w:cs="仿宋_GB2312"/>
          <w:i w:val="0"/>
          <w:caps w:val="0"/>
          <w:color w:val="000000"/>
          <w:spacing w:val="0"/>
          <w:sz w:val="32"/>
          <w:szCs w:val="32"/>
          <w:shd w:val="clear" w:color="auto" w:fill="FFFFFF"/>
        </w:rPr>
        <w:t>新的一年我局将持续推进简政放权，</w:t>
      </w:r>
      <w:r>
        <w:rPr>
          <w:rFonts w:hint="eastAsia" w:ascii="仿宋_GB2312" w:eastAsia="仿宋_GB2312" w:cs="仿宋_GB2312"/>
          <w:i w:val="0"/>
          <w:caps w:val="0"/>
          <w:color w:val="000000"/>
          <w:spacing w:val="0"/>
          <w:sz w:val="32"/>
          <w:szCs w:val="32"/>
          <w:shd w:val="clear" w:color="auto" w:fill="FFFFFF"/>
          <w:lang w:val="en-US" w:eastAsia="zh-CN"/>
        </w:rPr>
        <w:t>提升市场主体服务效能</w:t>
      </w:r>
      <w:r>
        <w:rPr>
          <w:rFonts w:hint="eastAsia" w:ascii="仿宋_GB2312" w:hAnsi="Calibri" w:eastAsia="仿宋_GB2312" w:cs="仿宋_GB2312"/>
          <w:i w:val="0"/>
          <w:caps w:val="0"/>
          <w:color w:val="000000"/>
          <w:spacing w:val="0"/>
          <w:sz w:val="32"/>
          <w:szCs w:val="32"/>
          <w:shd w:val="clear" w:color="auto" w:fill="FFFFFF"/>
        </w:rPr>
        <w:t>，</w:t>
      </w:r>
      <w:r>
        <w:rPr>
          <w:rFonts w:hint="eastAsia" w:ascii="仿宋_GB2312" w:eastAsia="仿宋_GB2312" w:cs="仿宋_GB2312"/>
          <w:i w:val="0"/>
          <w:caps w:val="0"/>
          <w:color w:val="000000"/>
          <w:spacing w:val="0"/>
          <w:sz w:val="32"/>
          <w:szCs w:val="32"/>
          <w:shd w:val="clear" w:color="auto" w:fill="FFFFFF"/>
          <w:lang w:val="en-US" w:eastAsia="zh-CN"/>
        </w:rPr>
        <w:t>以营商环境之“优”，促经济之“稳”，谋发展之“进”。</w:t>
      </w:r>
    </w:p>
    <w:p>
      <w:pPr>
        <w:spacing w:line="560" w:lineRule="exact"/>
        <w:ind w:firstLine="632" w:firstLineChars="200"/>
        <w:rPr>
          <w:rFonts w:hint="default" w:ascii="仿宋_GB2312" w:eastAsia="仿宋_GB2312" w:cs="仿宋_GB2312"/>
          <w:i w:val="0"/>
          <w:caps w:val="0"/>
          <w:color w:val="000000"/>
          <w:spacing w:val="0"/>
          <w:sz w:val="32"/>
          <w:szCs w:val="32"/>
          <w:shd w:val="clear" w:color="auto" w:fill="FFFFFF"/>
          <w:lang w:val="en-US" w:eastAsia="zh-CN"/>
        </w:rPr>
      </w:pPr>
      <w:r>
        <w:rPr>
          <w:rFonts w:hint="eastAsia" w:ascii="仿宋_GB2312" w:hAnsi="Calibri" w:eastAsia="仿宋_GB2312" w:cs="仿宋_GB2312"/>
          <w:i w:val="0"/>
          <w:caps w:val="0"/>
          <w:color w:val="000000"/>
          <w:spacing w:val="0"/>
          <w:sz w:val="32"/>
          <w:szCs w:val="32"/>
          <w:shd w:val="clear" w:color="auto" w:fill="FFFFFF"/>
          <w:lang w:eastAsia="zh-CN"/>
        </w:rPr>
        <w:t>（</w:t>
      </w:r>
      <w:r>
        <w:rPr>
          <w:rFonts w:hint="eastAsia" w:ascii="仿宋_GB2312" w:eastAsia="仿宋_GB2312" w:cs="仿宋_GB2312"/>
          <w:i w:val="0"/>
          <w:caps w:val="0"/>
          <w:color w:val="000000"/>
          <w:spacing w:val="0"/>
          <w:sz w:val="32"/>
          <w:szCs w:val="32"/>
          <w:shd w:val="clear" w:color="auto" w:fill="FFFFFF"/>
          <w:lang w:val="en-US" w:eastAsia="zh-CN"/>
        </w:rPr>
        <w:t>一</w:t>
      </w:r>
      <w:r>
        <w:rPr>
          <w:rFonts w:hint="eastAsia" w:ascii="仿宋_GB2312" w:hAnsi="Calibri" w:eastAsia="仿宋_GB2312" w:cs="仿宋_GB2312"/>
          <w:i w:val="0"/>
          <w:caps w:val="0"/>
          <w:color w:val="000000"/>
          <w:spacing w:val="0"/>
          <w:sz w:val="32"/>
          <w:szCs w:val="32"/>
          <w:shd w:val="clear" w:color="auto" w:fill="FFFFFF"/>
          <w:lang w:eastAsia="zh-CN"/>
        </w:rPr>
        <w:t>）</w:t>
      </w:r>
      <w:r>
        <w:rPr>
          <w:rFonts w:hint="eastAsia" w:ascii="仿宋_GB2312" w:eastAsia="仿宋_GB2312" w:cs="仿宋_GB2312"/>
          <w:i w:val="0"/>
          <w:caps w:val="0"/>
          <w:color w:val="000000"/>
          <w:spacing w:val="0"/>
          <w:sz w:val="32"/>
          <w:szCs w:val="32"/>
          <w:shd w:val="clear" w:color="auto" w:fill="FFFFFF"/>
          <w:lang w:val="en-US" w:eastAsia="zh-CN"/>
        </w:rPr>
        <w:t>纵深推进商事制度改革，进一步深化开办企业便利化改革，拓展开办企业电子化综合应用场景，推行涉企经营许可事项“照后减证”和简化审批，推动“一照多址”“一证多址”改革，拓展“跨省通办”“湾区通办”领域，实施市场主体“准入即准营”，推动开办企业提速提质提效。</w:t>
      </w:r>
    </w:p>
    <w:p>
      <w:pPr>
        <w:spacing w:line="560" w:lineRule="exact"/>
        <w:ind w:firstLine="632" w:firstLineChars="200"/>
        <w:rPr>
          <w:rFonts w:hint="default" w:ascii="仿宋_GB2312" w:eastAsia="仿宋_GB2312" w:cs="仿宋_GB2312"/>
          <w:i w:val="0"/>
          <w:caps w:val="0"/>
          <w:color w:val="000000"/>
          <w:spacing w:val="0"/>
          <w:sz w:val="32"/>
          <w:szCs w:val="32"/>
          <w:shd w:val="clear" w:color="auto" w:fill="FFFFFF"/>
          <w:lang w:val="en-US" w:eastAsia="zh-CN"/>
        </w:rPr>
      </w:pPr>
      <w:r>
        <w:rPr>
          <w:rFonts w:hint="eastAsia" w:ascii="仿宋_GB2312" w:eastAsia="仿宋_GB2312" w:cs="仿宋_GB2312"/>
          <w:i w:val="0"/>
          <w:caps w:val="0"/>
          <w:color w:val="000000"/>
          <w:spacing w:val="0"/>
          <w:sz w:val="32"/>
          <w:szCs w:val="32"/>
          <w:shd w:val="clear" w:color="auto" w:fill="FFFFFF"/>
          <w:lang w:val="en-US" w:eastAsia="zh-CN"/>
        </w:rPr>
        <w:t>（二）全力支持市场主体健康发展。印发实施《广州市增城区优化企业服务全力以赴稳增长十五条措施》，构建科学高效的企业服务体系，支持企业健康发展、做大做强。细化落实支持个体工商户纾困发展系列政策措施，加大个体工商户培育扶持，推动个体私营经济高质量发展。</w:t>
      </w:r>
    </w:p>
    <w:p>
      <w:pPr>
        <w:spacing w:line="560" w:lineRule="exact"/>
        <w:ind w:firstLine="632" w:firstLineChars="200"/>
        <w:rPr>
          <w:rFonts w:hint="default" w:ascii="仿宋_GB2312" w:eastAsia="仿宋_GB2312" w:cs="仿宋_GB2312"/>
          <w:i w:val="0"/>
          <w:caps w:val="0"/>
          <w:color w:val="000000"/>
          <w:spacing w:val="0"/>
          <w:sz w:val="32"/>
          <w:szCs w:val="32"/>
          <w:shd w:val="clear" w:color="auto" w:fill="FFFFFF"/>
          <w:lang w:val="en-US" w:eastAsia="zh-CN"/>
        </w:rPr>
      </w:pPr>
      <w:r>
        <w:rPr>
          <w:rFonts w:hint="eastAsia" w:ascii="仿宋_GB2312" w:eastAsia="仿宋_GB2312" w:cs="仿宋_GB2312"/>
          <w:i w:val="0"/>
          <w:caps w:val="0"/>
          <w:color w:val="000000"/>
          <w:spacing w:val="0"/>
          <w:sz w:val="32"/>
          <w:szCs w:val="32"/>
          <w:shd w:val="clear" w:color="auto" w:fill="FFFFFF"/>
          <w:lang w:val="en-US" w:eastAsia="zh-CN"/>
        </w:rPr>
        <w:t>（三）构建现代化监管机制。全力打造智慧监管平台，开展市场智慧监管“雪亮”工程建设，推动“三品一特”监管数字化、智能化转型，重点对辖区餐饮企业、食品生产经营业户、零售药店、农贸市场、特种设备使用单位等市场主体实施全程监管、在线管理、实时决策，有效预防和控制市场风险。</w:t>
      </w:r>
    </w:p>
    <w:p>
      <w:pPr>
        <w:spacing w:line="560" w:lineRule="exact"/>
        <w:ind w:firstLine="632" w:firstLineChars="200"/>
        <w:rPr>
          <w:rFonts w:eastAsia="仿宋_GB2312"/>
          <w:sz w:val="32"/>
          <w:szCs w:val="32"/>
        </w:rPr>
      </w:pPr>
    </w:p>
    <w:p>
      <w:pPr>
        <w:spacing w:line="560" w:lineRule="exact"/>
        <w:ind w:firstLine="632" w:firstLineChars="200"/>
        <w:rPr>
          <w:rFonts w:eastAsia="仿宋_GB2312"/>
          <w:sz w:val="32"/>
          <w:szCs w:val="32"/>
        </w:rPr>
      </w:pPr>
      <w:bookmarkStart w:id="0" w:name="_GoBack"/>
      <w:bookmarkEnd w:id="0"/>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792" w:firstLineChars="120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广州市增城区市场监督管理局</w:t>
      </w:r>
    </w:p>
    <w:p>
      <w:pPr>
        <w:pStyle w:val="3"/>
        <w:rPr>
          <w:rFonts w:hint="default"/>
          <w:lang w:val="en-US" w:eastAsia="zh-CN"/>
        </w:rPr>
        <w:sectPr>
          <w:footerReference r:id="rId3" w:type="default"/>
          <w:pgSz w:w="11906" w:h="16838"/>
          <w:pgMar w:top="2098" w:right="1474" w:bottom="1984" w:left="1587" w:header="851" w:footer="1417" w:gutter="0"/>
          <w:pgNumType w:fmt="decimal"/>
          <w:cols w:space="720" w:num="1"/>
          <w:titlePg/>
          <w:rtlGutter w:val="0"/>
          <w:docGrid w:type="linesAndChars" w:linePitch="579" w:charSpace="-842"/>
        </w:sectPr>
      </w:pPr>
      <w:r>
        <w:rPr>
          <w:rFonts w:hint="eastAsia" w:ascii="仿宋_GB2312" w:hAnsi="仿宋" w:eastAsia="仿宋_GB2312"/>
          <w:color w:val="000000"/>
          <w:sz w:val="32"/>
          <w:szCs w:val="32"/>
          <w:lang w:val="en-US" w:eastAsia="zh-CN"/>
        </w:rPr>
        <w:t xml:space="preserve">                          2023年3月28日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827A3"/>
    <w:rsid w:val="2ED004C0"/>
    <w:rsid w:val="4438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p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2023-03-28T08:13:00Z</dcterms:created>
  <dc:creator>严爱萍</dc:creator>
  <cp:lastModifiedBy>刘玉如(增城)</cp:lastModifiedBy>
  <dcterms:modified xsi:type="dcterms:W3CDTF">2023-03-28T08:37:18Z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