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黑体" w:hAnsi="黑体" w:eastAsia="黑体"/>
          <w:color w:val="auto"/>
          <w:sz w:val="36"/>
          <w:szCs w:val="36"/>
          <w:lang w:eastAsia="zh-CN"/>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黑体" w:hAnsi="黑体" w:eastAsia="黑体"/>
          <w:color w:val="auto"/>
          <w:sz w:val="44"/>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44"/>
          <w:szCs w:val="36"/>
        </w:rPr>
      </w:pPr>
      <w:r>
        <w:rPr>
          <w:rFonts w:hint="eastAsia" w:ascii="黑体" w:hAnsi="黑体" w:eastAsia="黑体"/>
          <w:color w:val="auto"/>
          <w:sz w:val="44"/>
          <w:szCs w:val="36"/>
          <w:lang w:val="en-US" w:eastAsia="zh-CN"/>
        </w:rPr>
        <w:t>广州市增城区人民政府</w:t>
      </w: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宋体" w:hAnsi="宋体" w:eastAsia="黑体" w:cs="宋体"/>
          <w:b w:val="0"/>
          <w:bCs w:val="0"/>
          <w:color w:val="auto"/>
          <w:sz w:val="44"/>
          <w:szCs w:val="44"/>
          <w:lang w:val="en-US" w:eastAsia="zh-CN"/>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default" w:ascii="宋体" w:hAnsi="宋体" w:eastAsia="黑体" w:cs="宋体"/>
          <w:b w:val="0"/>
          <w:bCs w:val="0"/>
          <w:color w:val="auto"/>
          <w:sz w:val="44"/>
          <w:szCs w:val="44"/>
          <w:lang w:val="en-US" w:eastAsia="zh-CN"/>
        </w:rPr>
      </w:pPr>
      <w:r>
        <w:rPr>
          <w:rFonts w:hint="eastAsia" w:ascii="宋体" w:hAnsi="宋体" w:eastAsia="黑体" w:cs="宋体"/>
          <w:b w:val="0"/>
          <w:bCs w:val="0"/>
          <w:color w:val="auto"/>
          <w:sz w:val="44"/>
          <w:szCs w:val="44"/>
          <w:lang w:val="en-US" w:eastAsia="zh-CN"/>
        </w:rPr>
        <w:t>与</w:t>
      </w: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宋体" w:hAnsi="宋体" w:eastAsia="黑体" w:cs="宋体"/>
          <w:b w:val="0"/>
          <w:bCs w:val="0"/>
          <w:color w:val="auto"/>
          <w:sz w:val="44"/>
          <w:szCs w:val="44"/>
          <w:lang w:val="en-US" w:eastAsia="zh-CN"/>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宋体" w:hAnsi="宋体" w:eastAsia="黑体" w:cs="宋体"/>
          <w:b w:val="0"/>
          <w:bCs w:val="0"/>
          <w:color w:val="auto"/>
          <w:sz w:val="44"/>
          <w:szCs w:val="44"/>
          <w:lang w:val="en-US" w:eastAsia="zh-CN"/>
        </w:rPr>
      </w:pPr>
      <w:r>
        <w:rPr>
          <w:rFonts w:hint="eastAsia" w:ascii="宋体" w:hAnsi="宋体" w:eastAsia="黑体" w:cs="宋体"/>
          <w:b w:val="0"/>
          <w:bCs w:val="0"/>
          <w:color w:val="auto"/>
          <w:sz w:val="44"/>
          <w:szCs w:val="44"/>
          <w:lang w:val="en-US" w:eastAsia="zh-CN"/>
        </w:rPr>
        <w:t>中国银行股份有限公司</w:t>
      </w: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黑体" w:hAnsi="黑体" w:eastAsia="黑体"/>
          <w:b w:val="0"/>
          <w:bCs w:val="0"/>
          <w:color w:val="auto"/>
          <w:sz w:val="44"/>
          <w:szCs w:val="36"/>
          <w:lang w:eastAsia="zh-CN"/>
        </w:rPr>
      </w:pPr>
      <w:r>
        <w:rPr>
          <w:rFonts w:hint="eastAsia" w:ascii="宋体" w:hAnsi="宋体" w:eastAsia="黑体" w:cs="宋体"/>
          <w:b w:val="0"/>
          <w:bCs w:val="0"/>
          <w:color w:val="auto"/>
          <w:sz w:val="44"/>
          <w:szCs w:val="44"/>
          <w:lang w:val="en-US" w:eastAsia="zh-CN"/>
        </w:rPr>
        <w:t>城乡融合发展试验区广州增城分行</w:t>
      </w: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黑体" w:hAnsi="黑体" w:eastAsia="黑体"/>
          <w:color w:val="auto"/>
          <w:sz w:val="36"/>
          <w:szCs w:val="36"/>
          <w:lang w:eastAsia="zh-CN"/>
        </w:rPr>
      </w:pPr>
      <w:r>
        <w:rPr>
          <w:rFonts w:hint="eastAsia" w:ascii="方正小标宋简体" w:hAnsi="黑体" w:eastAsia="方正小标宋简体"/>
          <w:color w:val="auto"/>
          <w:sz w:val="52"/>
          <w:szCs w:val="52"/>
          <w:lang w:val="en-US" w:eastAsia="zh-CN"/>
        </w:rPr>
        <w:t>战略合作协议</w:t>
      </w: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both"/>
        <w:textAlignment w:val="auto"/>
        <w:outlineLvl w:val="9"/>
        <w:rPr>
          <w:rFonts w:ascii="黑体" w:hAnsi="黑体" w:eastAsia="黑体"/>
          <w:color w:val="auto"/>
          <w:sz w:val="36"/>
          <w:szCs w:val="36"/>
        </w:rPr>
      </w:pPr>
    </w:p>
    <w:p>
      <w:pPr>
        <w:pStyle w:val="2"/>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ascii="黑体" w:hAnsi="黑体" w:eastAsia="黑体"/>
          <w:color w:val="auto"/>
          <w:sz w:val="36"/>
          <w:szCs w:val="36"/>
        </w:rPr>
      </w:pPr>
    </w:p>
    <w:p>
      <w:pPr>
        <w:keepNext w:val="0"/>
        <w:keepLines w:val="0"/>
        <w:pageBreakBefore w:val="0"/>
        <w:kinsoku/>
        <w:wordWrap/>
        <w:overflowPunct/>
        <w:topLinePunct w:val="0"/>
        <w:bidi w:val="0"/>
        <w:snapToGrid/>
        <w:spacing w:line="600" w:lineRule="exact"/>
        <w:ind w:right="0" w:right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rPr>
        <w:t>中国·广州</w:t>
      </w:r>
    </w:p>
    <w:p>
      <w:pPr>
        <w:keepNext w:val="0"/>
        <w:keepLines w:val="0"/>
        <w:pageBreakBefore w:val="0"/>
        <w:kinsoku/>
        <w:wordWrap/>
        <w:overflowPunct/>
        <w:topLinePunct w:val="0"/>
        <w:autoSpaceDE w:val="0"/>
        <w:autoSpaceDN w:val="0"/>
        <w:bidi w:val="0"/>
        <w:adjustRightInd w:val="0"/>
        <w:snapToGrid/>
        <w:spacing w:before="156" w:beforeLines="50" w:after="156" w:afterLines="50" w:line="600" w:lineRule="exact"/>
        <w:ind w:right="0" w:rightChars="0" w:firstLine="3200" w:firstLineChars="10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sz w:val="32"/>
          <w:szCs w:val="32"/>
        </w:rPr>
        <w:t>二0二</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月</w:t>
      </w:r>
    </w:p>
    <w:p>
      <w:pPr>
        <w:keepNext w:val="0"/>
        <w:keepLines w:val="0"/>
        <w:pageBreakBefore w:val="0"/>
        <w:kinsoku/>
        <w:wordWrap/>
        <w:overflowPunct/>
        <w:topLinePunct w:val="0"/>
        <w:bidi w:val="0"/>
        <w:snapToGrid/>
        <w:spacing w:line="600" w:lineRule="exact"/>
        <w:ind w:right="0" w:rightChars="0"/>
        <w:jc w:val="both"/>
        <w:textAlignment w:val="auto"/>
        <w:outlineLvl w:val="9"/>
        <w:rPr>
          <w:rFonts w:hint="eastAsia" w:ascii="仿宋" w:hAnsi="仿宋" w:eastAsia="仿宋"/>
          <w:color w:val="auto"/>
          <w:sz w:val="36"/>
          <w:szCs w:val="36"/>
        </w:rPr>
      </w:pPr>
    </w:p>
    <w:p>
      <w:pPr>
        <w:keepNext w:val="0"/>
        <w:keepLines w:val="0"/>
        <w:pageBreakBefore w:val="0"/>
        <w:kinsoku/>
        <w:wordWrap/>
        <w:overflowPunct/>
        <w:topLinePunct w:val="0"/>
        <w:bidi w:val="0"/>
        <w:snapToGrid/>
        <w:spacing w:line="600" w:lineRule="exact"/>
        <w:ind w:right="0" w:rightChars="0"/>
        <w:jc w:val="both"/>
        <w:textAlignment w:val="auto"/>
        <w:outlineLvl w:val="9"/>
        <w:rPr>
          <w:rFonts w:hint="eastAsia" w:ascii="仿宋" w:hAnsi="仿宋" w:eastAsia="仿宋"/>
          <w:color w:val="auto"/>
          <w:sz w:val="36"/>
          <w:szCs w:val="36"/>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甲方：广州市</w:t>
      </w:r>
      <w:r>
        <w:rPr>
          <w:rFonts w:hint="eastAsia" w:ascii="仿宋_GB2312" w:hAnsi="宋体" w:eastAsia="仿宋_GB2312" w:cs="仿宋_GB2312"/>
          <w:color w:val="auto"/>
          <w:sz w:val="32"/>
          <w:szCs w:val="32"/>
          <w:lang w:val="en-US" w:eastAsia="zh-CN"/>
        </w:rPr>
        <w:t>增城区</w:t>
      </w:r>
      <w:r>
        <w:rPr>
          <w:rFonts w:hint="eastAsia" w:ascii="仿宋_GB2312" w:hAnsi="宋体" w:eastAsia="仿宋_GB2312" w:cs="仿宋_GB2312"/>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eastAsia="zh-CN"/>
        </w:rPr>
        <w:t>法定代表人：</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地址：</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邮编：</w:t>
      </w:r>
      <w:r>
        <w:rPr>
          <w:rFonts w:hint="eastAsia" w:ascii="仿宋_GB2312" w:hAnsi="宋体" w:eastAsia="仿宋_GB2312" w:cs="仿宋_GB2312"/>
          <w:color w:val="auto"/>
          <w:sz w:val="32"/>
          <w:szCs w:val="32"/>
          <w:lang w:val="en-US" w:eastAsia="zh-CN"/>
        </w:rPr>
        <w:t>511300</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960" w:hanging="960" w:hangingChars="300"/>
        <w:jc w:val="left"/>
        <w:textAlignment w:val="auto"/>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rPr>
        <w:t>乙方：中国银行</w:t>
      </w:r>
      <w:r>
        <w:rPr>
          <w:rFonts w:hint="eastAsia" w:ascii="仿宋_GB2312" w:hAnsi="宋体" w:eastAsia="仿宋_GB2312" w:cs="仿宋_GB2312"/>
          <w:color w:val="auto"/>
          <w:sz w:val="32"/>
          <w:szCs w:val="32"/>
          <w:lang w:val="en-US" w:eastAsia="zh-CN"/>
        </w:rPr>
        <w:t>股份有限公司</w:t>
      </w:r>
      <w:r>
        <w:rPr>
          <w:rFonts w:hint="eastAsia" w:ascii="仿宋_GB2312" w:hAnsi="宋体" w:eastAsia="仿宋_GB2312" w:cs="仿宋_GB2312"/>
          <w:color w:val="auto"/>
          <w:sz w:val="32"/>
          <w:szCs w:val="32"/>
        </w:rPr>
        <w:t>城乡融合发展试验区广州增城分行</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法定代表人：</w:t>
      </w:r>
      <w:r>
        <w:rPr>
          <w:rFonts w:hint="eastAsia" w:ascii="仿宋_GB2312" w:hAnsi="宋体" w:eastAsia="仿宋_GB2312" w:cs="仿宋_GB2312"/>
          <w:color w:val="auto"/>
          <w:sz w:val="32"/>
          <w:szCs w:val="32"/>
          <w:lang w:val="en-US" w:eastAsia="zh-CN"/>
        </w:rPr>
        <w:t>罗怀韵</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960" w:hanging="960" w:hangingChars="300"/>
        <w:jc w:val="left"/>
        <w:textAlignment w:val="auto"/>
        <w:rPr>
          <w:rFonts w:hint="default" w:ascii="仿宋_GB2312" w:hAnsi="宋体" w:eastAsia="仿宋_GB2312" w:cs="仿宋_GB2312"/>
          <w:color w:val="auto"/>
          <w:sz w:val="32"/>
          <w:szCs w:val="32"/>
          <w:lang w:val="en-US"/>
        </w:rPr>
      </w:pPr>
      <w:r>
        <w:rPr>
          <w:rFonts w:hint="eastAsia" w:ascii="仿宋_GB2312" w:hAnsi="宋体" w:eastAsia="仿宋_GB2312" w:cs="仿宋_GB2312"/>
          <w:color w:val="auto"/>
          <w:sz w:val="32"/>
          <w:szCs w:val="32"/>
        </w:rPr>
        <w:t>地址：广州市</w:t>
      </w:r>
      <w:r>
        <w:rPr>
          <w:rFonts w:hint="eastAsia" w:ascii="仿宋_GB2312" w:hAnsi="宋体" w:eastAsia="仿宋_GB2312" w:cs="仿宋_GB2312"/>
          <w:color w:val="auto"/>
          <w:sz w:val="32"/>
          <w:szCs w:val="32"/>
          <w:lang w:val="en-US" w:eastAsia="zh-CN"/>
        </w:rPr>
        <w:t>增城</w:t>
      </w:r>
      <w:r>
        <w:rPr>
          <w:rFonts w:hint="eastAsia" w:ascii="仿宋_GB2312" w:hAnsi="宋体" w:eastAsia="仿宋_GB2312" w:cs="仿宋_GB2312"/>
          <w:color w:val="auto"/>
          <w:sz w:val="32"/>
          <w:szCs w:val="32"/>
        </w:rPr>
        <w:t>区</w:t>
      </w:r>
      <w:r>
        <w:rPr>
          <w:rFonts w:hint="eastAsia" w:ascii="仿宋_GB2312" w:hAnsi="宋体" w:eastAsia="仿宋_GB2312" w:cs="仿宋_GB2312"/>
          <w:color w:val="auto"/>
          <w:sz w:val="32"/>
          <w:szCs w:val="32"/>
          <w:lang w:val="en-US" w:eastAsia="zh-CN"/>
        </w:rPr>
        <w:t>荔城街荔民路4号、悦民路1号、3号、5号、7号及云曦街4号16层1601-1607单元</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邮编：51</w:t>
      </w:r>
      <w:r>
        <w:rPr>
          <w:rFonts w:hint="eastAsia" w:ascii="仿宋_GB2312" w:hAnsi="宋体" w:eastAsia="仿宋_GB2312" w:cs="仿宋_GB2312"/>
          <w:color w:val="auto"/>
          <w:sz w:val="32"/>
          <w:szCs w:val="32"/>
          <w:lang w:val="en-US" w:eastAsia="zh-CN"/>
        </w:rPr>
        <w:t>130</w:t>
      </w:r>
      <w:r>
        <w:rPr>
          <w:rFonts w:hint="eastAsia" w:ascii="仿宋_GB2312" w:hAnsi="宋体" w:eastAsia="仿宋_GB2312" w:cs="仿宋_GB2312"/>
          <w:color w:val="auto"/>
          <w:sz w:val="32"/>
          <w:szCs w:val="32"/>
        </w:rPr>
        <w:t>0</w:t>
      </w:r>
    </w:p>
    <w:p>
      <w:pPr>
        <w:keepNext w:val="0"/>
        <w:keepLines w:val="0"/>
        <w:pageBreakBefore w:val="0"/>
        <w:kinsoku/>
        <w:wordWrap/>
        <w:overflowPunct/>
        <w:topLinePunct w:val="0"/>
        <w:bidi w:val="0"/>
        <w:snapToGrid/>
        <w:spacing w:line="560" w:lineRule="exact"/>
        <w:ind w:right="0" w:rightChars="0"/>
        <w:jc w:val="both"/>
        <w:textAlignment w:val="auto"/>
        <w:outlineLvl w:val="9"/>
        <w:rPr>
          <w:rFonts w:hint="eastAsia" w:ascii="仿宋_GB2312" w:hAnsi="仿宋_GB2312" w:eastAsia="仿宋_GB2312" w:cs="仿宋_GB2312"/>
          <w:color w:val="auto"/>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为进一步推动国家级城乡融合发展试验区建设，全面深化改革开放，大力提振市场信心，突出做好稳增长、稳就业、稳物价工作，推动经济运行整体好转，实现质的有效提升和量的合理增长，积极探索中国式现代化的增城路径，加快建设现代化中等规模生态城区，</w:t>
      </w:r>
      <w:r>
        <w:rPr>
          <w:rFonts w:hint="eastAsia" w:ascii="仿宋_GB2312" w:hAnsi="仿宋_GB2312" w:eastAsia="仿宋_GB2312" w:cs="仿宋_GB2312"/>
          <w:color w:val="auto"/>
          <w:sz w:val="32"/>
          <w:szCs w:val="32"/>
        </w:rPr>
        <w:t>甲、乙双方在总结前期良好合作成果的基础上，结合增城区“十四五”规划</w:t>
      </w:r>
      <w:r>
        <w:rPr>
          <w:rFonts w:hint="eastAsia" w:ascii="仿宋_GB2312" w:hAnsi="仿宋_GB2312" w:eastAsia="仿宋_GB2312" w:cs="仿宋_GB2312"/>
          <w:color w:val="auto"/>
          <w:sz w:val="32"/>
          <w:szCs w:val="32"/>
          <w:lang w:eastAsia="zh-CN"/>
        </w:rPr>
        <w:t>及广州东部枢纽相关规划</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就基础设施、现代产业、科教人才、城乡规划、乡村振兴、生态环境、社会民生等方面发展</w:t>
      </w:r>
      <w:r>
        <w:rPr>
          <w:rFonts w:hint="eastAsia" w:ascii="仿宋_GB2312" w:hAnsi="仿宋_GB2312" w:eastAsia="仿宋_GB2312" w:cs="仿宋_GB2312"/>
          <w:color w:val="auto"/>
          <w:sz w:val="32"/>
          <w:szCs w:val="32"/>
        </w:rPr>
        <w:t>对未来全方位的合作进行了友好、深入协商和探讨，本着优势互补、共谋发展、深化合作的原则，签订本战略合作协议（以下简称“本协议”）。</w:t>
      </w:r>
    </w:p>
    <w:p>
      <w:pPr>
        <w:keepNext w:val="0"/>
        <w:keepLines w:val="0"/>
        <w:pageBreakBefore w:val="0"/>
        <w:widowControl w:val="0"/>
        <w:numPr>
          <w:ilvl w:val="0"/>
          <w:numId w:val="1"/>
        </w:numPr>
        <w:tabs>
          <w:tab w:val="left" w:pos="8100"/>
        </w:tabs>
        <w:kinsoku/>
        <w:wordWrap/>
        <w:overflowPunct/>
        <w:topLinePunct w:val="0"/>
        <w:autoSpaceDE/>
        <w:autoSpaceDN/>
        <w:bidi w:val="0"/>
        <w:adjustRightInd/>
        <w:snapToGrid/>
        <w:spacing w:before="313" w:beforeLines="100" w:after="157" w:afterLines="50" w:line="560" w:lineRule="exact"/>
        <w:ind w:left="-686" w:leftChars="0" w:firstLine="686" w:firstLineChars="0"/>
        <w:jc w:val="center"/>
        <w:textAlignment w:val="auto"/>
        <w:rPr>
          <w:rFonts w:hint="eastAsia" w:ascii="黑体" w:hAnsi="黑体" w:eastAsia="黑体" w:cs="仿宋_GB2312"/>
          <w:color w:val="auto"/>
          <w:spacing w:val="11"/>
          <w:position w:val="5"/>
          <w:sz w:val="32"/>
          <w:szCs w:val="32"/>
          <w:lang w:val="en-US" w:eastAsia="zh-CN"/>
        </w:rPr>
      </w:pPr>
      <w:r>
        <w:rPr>
          <w:rFonts w:hint="eastAsia" w:ascii="黑体" w:hAnsi="黑体" w:eastAsia="黑体" w:cs="仿宋_GB2312"/>
          <w:color w:val="auto"/>
          <w:spacing w:val="11"/>
          <w:position w:val="5"/>
          <w:sz w:val="32"/>
          <w:szCs w:val="32"/>
          <w:lang w:val="en-US" w:eastAsia="zh-CN"/>
        </w:rPr>
        <w:t>合作目标</w:t>
      </w:r>
    </w:p>
    <w:p>
      <w:pPr>
        <w:keepNext w:val="0"/>
        <w:keepLines w:val="0"/>
        <w:pageBreakBefore w:val="0"/>
        <w:tabs>
          <w:tab w:val="left" w:pos="8306"/>
          <w:tab w:val="left" w:pos="8364"/>
        </w:tabs>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双方一致认为，建立长期稳定的战略合作关系符合共同利益。双方基于尊重市场、着眼长远、合规运作、互惠互利、共同发展的原则，</w:t>
      </w:r>
      <w:r>
        <w:rPr>
          <w:rFonts w:hint="eastAsia" w:ascii="仿宋_GB2312" w:hAnsi="仿宋_GB2312" w:eastAsia="仿宋_GB2312" w:cs="仿宋_GB2312"/>
          <w:sz w:val="32"/>
          <w:szCs w:val="32"/>
          <w:lang w:eastAsia="zh-CN"/>
        </w:rPr>
        <w:t>在</w:t>
      </w:r>
      <w:r>
        <w:rPr>
          <w:rFonts w:hint="eastAsia" w:ascii="仿宋_GB2312" w:hAnsi="宋体" w:eastAsia="仿宋_GB2312" w:cs="仿宋_GB2312"/>
          <w:color w:val="auto"/>
          <w:sz w:val="32"/>
          <w:szCs w:val="32"/>
        </w:rPr>
        <w:t>符合国家宏观经济政策、产业政策、区域发展政策和信贷政策</w:t>
      </w:r>
      <w:r>
        <w:rPr>
          <w:rFonts w:hint="eastAsia" w:ascii="仿宋_GB2312" w:hAnsi="宋体" w:eastAsia="仿宋_GB2312" w:cs="仿宋_GB2312"/>
          <w:color w:val="auto"/>
          <w:sz w:val="32"/>
          <w:szCs w:val="32"/>
          <w:lang w:eastAsia="zh-CN"/>
        </w:rPr>
        <w:t>的前提下，</w:t>
      </w:r>
      <w:r>
        <w:rPr>
          <w:rFonts w:hint="eastAsia" w:ascii="仿宋_GB2312" w:hAnsi="仿宋_GB2312" w:eastAsia="仿宋_GB2312" w:cs="仿宋_GB2312"/>
          <w:sz w:val="32"/>
          <w:szCs w:val="32"/>
        </w:rPr>
        <w:t>深入开展政银合作，巩固双方合作成果，深化扩展双方合作领域，达到推动发展、</w:t>
      </w:r>
      <w:r>
        <w:rPr>
          <w:rFonts w:hint="eastAsia" w:ascii="仿宋_GB2312" w:hAnsi="仿宋_GB2312" w:eastAsia="仿宋_GB2312" w:cs="仿宋_GB2312"/>
          <w:sz w:val="32"/>
          <w:szCs w:val="32"/>
          <w:lang w:eastAsia="zh-CN"/>
        </w:rPr>
        <w:t>实现共赢</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目标</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tabs>
          <w:tab w:val="left" w:pos="8100"/>
        </w:tabs>
        <w:kinsoku/>
        <w:wordWrap/>
        <w:overflowPunct/>
        <w:topLinePunct w:val="0"/>
        <w:autoSpaceDE/>
        <w:autoSpaceDN/>
        <w:bidi w:val="0"/>
        <w:adjustRightInd/>
        <w:snapToGrid/>
        <w:spacing w:before="313" w:beforeLines="100" w:after="157" w:afterLines="50" w:line="560" w:lineRule="exact"/>
        <w:ind w:left="-686" w:leftChars="0" w:firstLine="686" w:firstLineChars="0"/>
        <w:jc w:val="center"/>
        <w:textAlignment w:val="auto"/>
        <w:rPr>
          <w:rFonts w:hint="eastAsia" w:ascii="黑体" w:hAnsi="黑体" w:eastAsia="黑体" w:cs="仿宋_GB2312"/>
          <w:color w:val="auto"/>
          <w:spacing w:val="11"/>
          <w:position w:val="5"/>
          <w:sz w:val="32"/>
          <w:szCs w:val="32"/>
          <w:lang w:val="en-US" w:eastAsia="zh-CN"/>
        </w:rPr>
      </w:pPr>
      <w:r>
        <w:rPr>
          <w:rFonts w:hint="eastAsia" w:ascii="黑体" w:hAnsi="黑体" w:eastAsia="黑体" w:cs="仿宋_GB2312"/>
          <w:color w:val="auto"/>
          <w:spacing w:val="11"/>
          <w:position w:val="5"/>
          <w:sz w:val="32"/>
          <w:szCs w:val="32"/>
          <w:lang w:val="en-US" w:eastAsia="zh-CN"/>
        </w:rPr>
        <w:t>合作内容</w:t>
      </w:r>
    </w:p>
    <w:p>
      <w:pPr>
        <w:keepNext w:val="0"/>
        <w:keepLines w:val="0"/>
        <w:pageBreakBefore w:val="0"/>
        <w:kinsoku/>
        <w:wordWrap/>
        <w:overflowPunct/>
        <w:topLinePunct w:val="0"/>
        <w:bidi w:val="0"/>
        <w:snapToGrid/>
        <w:spacing w:line="560" w:lineRule="exact"/>
        <w:ind w:right="0" w:rightChars="0" w:firstLine="642"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甲、乙双方建立全方位政银战略合作关系，甲方支持乙方在增城区经济社会建设中发挥主力银行的作用，在政府职责范围内，为乙方参与重点建设项目</w:t>
      </w:r>
      <w:r>
        <w:rPr>
          <w:rFonts w:hint="eastAsia" w:ascii="仿宋_GB2312" w:hAnsi="仿宋_GB2312" w:eastAsia="仿宋_GB2312" w:cs="仿宋_GB2312"/>
          <w:sz w:val="32"/>
          <w:szCs w:val="32"/>
          <w:lang w:val="en-US" w:eastAsia="zh-CN"/>
        </w:rPr>
        <w:t>金融</w:t>
      </w:r>
      <w:r>
        <w:rPr>
          <w:rFonts w:hint="eastAsia" w:ascii="仿宋_GB2312" w:hAnsi="仿宋_GB2312" w:eastAsia="仿宋_GB2312" w:cs="仿宋_GB2312"/>
          <w:sz w:val="32"/>
          <w:szCs w:val="32"/>
        </w:rPr>
        <w:t>工作提供支持。乙方将甲方及其重点引进的企业及人才作为重要客户，在国家政策、法律法规允许的范围内，充分利用自身服务资源和产品优势，积极支持甲方招商引资工作，提供金融硬件配套，并为重点引进企业及引进人才提供全方位、便捷、优惠的金融服务，全力支持地方经济发展。</w:t>
      </w:r>
    </w:p>
    <w:p>
      <w:pPr>
        <w:keepNext w:val="0"/>
        <w:keepLines w:val="0"/>
        <w:pageBreakBefore w:val="0"/>
        <w:kinsoku/>
        <w:wordWrap/>
        <w:overflowPunct/>
        <w:topLinePunct w:val="0"/>
        <w:bidi w:val="0"/>
        <w:snapToGrid/>
        <w:spacing w:line="560" w:lineRule="exact"/>
        <w:ind w:right="0" w:rightChars="0" w:firstLine="624"/>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三</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乙方作为甲方的金融业务核心合作伙伴，充分发挥全球化</w:t>
      </w:r>
      <w:r>
        <w:rPr>
          <w:rFonts w:hint="eastAsia" w:ascii="仿宋_GB2312" w:hAnsi="仿宋_GB2312" w:eastAsia="仿宋_GB2312" w:cs="仿宋_GB2312"/>
          <w:sz w:val="32"/>
          <w:szCs w:val="32"/>
          <w:lang w:val="en-US" w:eastAsia="zh-CN"/>
        </w:rPr>
        <w:t>综合化</w:t>
      </w:r>
      <w:r>
        <w:rPr>
          <w:rFonts w:hint="eastAsia" w:ascii="仿宋_GB2312" w:hAnsi="仿宋_GB2312" w:eastAsia="仿宋_GB2312" w:cs="仿宋_GB2312"/>
          <w:sz w:val="32"/>
          <w:szCs w:val="32"/>
        </w:rPr>
        <w:t>金融服务的优势，积极为甲方提供全面的金融解决方案，在符合法律法规、相关政策及内部风险管理制度的前提下，</w:t>
      </w:r>
      <w:r>
        <w:rPr>
          <w:rFonts w:hint="eastAsia" w:ascii="仿宋_GB2312" w:hAnsi="仿宋_GB2312" w:eastAsia="仿宋_GB2312" w:cs="仿宋_GB2312"/>
          <w:sz w:val="32"/>
          <w:szCs w:val="32"/>
          <w:lang w:val="en-US" w:eastAsia="zh-CN"/>
        </w:rPr>
        <w:t>包括但不限于在以下领域</w:t>
      </w:r>
      <w:r>
        <w:rPr>
          <w:rFonts w:hint="eastAsia" w:ascii="仿宋_GB2312" w:hAnsi="仿宋_GB2312" w:eastAsia="仿宋_GB2312" w:cs="仿宋_GB2312"/>
          <w:sz w:val="32"/>
          <w:szCs w:val="32"/>
        </w:rPr>
        <w:t>为甲方提供优质高效的金融及非金融服务</w:t>
      </w:r>
      <w:r>
        <w:rPr>
          <w:rFonts w:hint="eastAsia" w:ascii="仿宋_GB2312" w:hAnsi="仿宋_GB2312" w:eastAsia="仿宋_GB2312" w:cs="仿宋_GB2312"/>
          <w:sz w:val="32"/>
          <w:szCs w:val="32"/>
          <w:lang w:eastAsia="zh-CN"/>
        </w:rPr>
        <w:t>：</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lang w:eastAsia="zh-CN"/>
        </w:rPr>
        <w:t>（</w:t>
      </w:r>
      <w:r>
        <w:rPr>
          <w:rFonts w:hint="eastAsia" w:ascii="仿宋_GB2312" w:hAnsi="宋体" w:eastAsia="仿宋_GB2312" w:cs="仿宋_GB2312"/>
          <w:b/>
          <w:color w:val="auto"/>
          <w:sz w:val="32"/>
          <w:szCs w:val="32"/>
          <w:lang w:val="en-US" w:eastAsia="zh-CN"/>
        </w:rPr>
        <w:t>一</w:t>
      </w:r>
      <w:r>
        <w:rPr>
          <w:rFonts w:hint="eastAsia" w:ascii="仿宋_GB2312" w:hAnsi="宋体" w:eastAsia="仿宋_GB2312" w:cs="仿宋_GB2312"/>
          <w:b/>
          <w:color w:val="auto"/>
          <w:sz w:val="32"/>
          <w:szCs w:val="32"/>
          <w:lang w:eastAsia="zh-CN"/>
        </w:rPr>
        <w:t>）</w:t>
      </w:r>
      <w:r>
        <w:rPr>
          <w:rFonts w:hint="eastAsia" w:ascii="仿宋_GB2312" w:hAnsi="宋体" w:eastAsia="仿宋_GB2312" w:cs="仿宋_GB2312"/>
          <w:b/>
          <w:color w:val="auto"/>
          <w:sz w:val="32"/>
          <w:szCs w:val="32"/>
        </w:rPr>
        <w:t>信贷资金支持</w:t>
      </w:r>
    </w:p>
    <w:p>
      <w:pPr>
        <w:keepNext w:val="0"/>
        <w:keepLines w:val="0"/>
        <w:pageBreakBefore w:val="0"/>
        <w:tabs>
          <w:tab w:val="left" w:pos="450"/>
        </w:tabs>
        <w:kinsoku/>
        <w:wordWrap/>
        <w:overflowPunct/>
        <w:topLinePunct w:val="0"/>
        <w:autoSpaceDE w:val="0"/>
        <w:autoSpaceDN w:val="0"/>
        <w:bidi w:val="0"/>
        <w:adjustRightInd w:val="0"/>
        <w:snapToGrid/>
        <w:spacing w:line="560" w:lineRule="exact"/>
        <w:ind w:left="0" w:leftChars="0" w:right="0" w:rightChars="0" w:firstLine="640" w:firstLineChars="200"/>
        <w:textAlignment w:val="auto"/>
        <w:outlineLvl w:val="9"/>
        <w:rPr>
          <w:rFonts w:hint="eastAsia" w:ascii="仿宋_GB2312" w:hAnsi="宋体" w:eastAsia="仿宋_GB2312" w:cs="仿宋_GB2312"/>
          <w:color w:val="auto"/>
          <w:sz w:val="32"/>
          <w:szCs w:val="32"/>
          <w:lang w:eastAsia="zh-CN"/>
        </w:rPr>
      </w:pPr>
      <w:r>
        <w:rPr>
          <w:rFonts w:hint="eastAsia" w:ascii="仿宋_GB2312" w:hAnsi="仿宋_GB2312" w:eastAsia="仿宋_GB2312" w:cs="仿宋_GB2312"/>
          <w:b w:val="0"/>
          <w:bCs/>
          <w:color w:val="auto"/>
          <w:sz w:val="32"/>
          <w:szCs w:val="32"/>
        </w:rPr>
        <w:t>根据国家宏观经济政策、产业政策、区域发展政策和金融监管政策，在符合国家相关法律、法规及乙方的内部管理规章制度和履行规定的信贷审批流程的前提下，乙方向甲方辖区内各类经济实体、重点项目、基础设施建设工程、城市更新、</w:t>
      </w:r>
      <w:r>
        <w:rPr>
          <w:rFonts w:hint="eastAsia" w:ascii="仿宋_GB2312" w:hAnsi="仿宋_GB2312" w:eastAsia="仿宋_GB2312" w:cs="仿宋_GB2312"/>
          <w:b w:val="0"/>
          <w:bCs/>
          <w:color w:val="auto"/>
          <w:sz w:val="32"/>
          <w:szCs w:val="32"/>
          <w:lang w:eastAsia="zh-CN"/>
        </w:rPr>
        <w:t>科技金融、</w:t>
      </w:r>
      <w:r>
        <w:rPr>
          <w:rFonts w:hint="eastAsia" w:ascii="仿宋_GB2312" w:hAnsi="仿宋_GB2312" w:eastAsia="仿宋_GB2312" w:cs="仿宋_GB2312"/>
          <w:b w:val="0"/>
          <w:bCs/>
          <w:color w:val="auto"/>
          <w:sz w:val="32"/>
          <w:szCs w:val="32"/>
        </w:rPr>
        <w:t>绿色金融、</w:t>
      </w:r>
      <w:r>
        <w:rPr>
          <w:rFonts w:hint="eastAsia" w:ascii="仿宋_GB2312" w:hAnsi="仿宋_GB2312" w:eastAsia="仿宋_GB2312" w:cs="仿宋_GB2312"/>
          <w:b w:val="0"/>
          <w:bCs/>
          <w:color w:val="auto"/>
          <w:sz w:val="32"/>
          <w:szCs w:val="32"/>
          <w:lang w:eastAsia="zh-CN"/>
        </w:rPr>
        <w:t>普惠金融、产业金融、</w:t>
      </w:r>
      <w:r>
        <w:rPr>
          <w:rFonts w:hint="eastAsia" w:ascii="仿宋_GB2312" w:hAnsi="仿宋_GB2312" w:eastAsia="仿宋_GB2312" w:cs="仿宋_GB2312"/>
          <w:b w:val="0"/>
          <w:bCs/>
          <w:color w:val="auto"/>
          <w:sz w:val="32"/>
          <w:szCs w:val="32"/>
        </w:rPr>
        <w:t>重点产业链供应链、民生产业等提供等值500亿元人民币的信贷支持额度，具体信贷支持额度以乙方最终审批结果为准。</w:t>
      </w:r>
      <w:r>
        <w:rPr>
          <w:rFonts w:hint="eastAsia" w:ascii="仿宋_GB2312" w:hAnsi="宋体" w:eastAsia="仿宋_GB2312" w:cs="仿宋_GB2312"/>
          <w:color w:val="auto"/>
          <w:sz w:val="32"/>
          <w:szCs w:val="32"/>
          <w:lang w:eastAsia="zh-CN"/>
        </w:rPr>
        <w:t>为</w:t>
      </w:r>
      <w:r>
        <w:rPr>
          <w:rFonts w:hint="eastAsia" w:ascii="仿宋_GB2312" w:hAnsi="宋体" w:eastAsia="仿宋_GB2312" w:cs="仿宋_GB2312"/>
          <w:color w:val="auto"/>
          <w:sz w:val="32"/>
          <w:szCs w:val="32"/>
          <w:lang w:val="en-US" w:eastAsia="zh-CN"/>
        </w:rPr>
        <w:t>增城区</w:t>
      </w:r>
      <w:r>
        <w:rPr>
          <w:rFonts w:hint="eastAsia" w:ascii="仿宋_GB2312" w:hAnsi="宋体" w:eastAsia="仿宋_GB2312" w:cs="仿宋_GB2312"/>
          <w:color w:val="auto"/>
          <w:sz w:val="32"/>
          <w:szCs w:val="32"/>
          <w:lang w:eastAsia="zh-CN"/>
        </w:rPr>
        <w:t>推进基础设施现代化、产业转型升级、节能环保和生态建设、企业“走出去”和跨境发展、普惠金融发展、科技型企业发展等领域项目，提供全面的融资、融智支持。</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eastAsia" w:ascii="仿宋_GB2312" w:hAnsi="宋体" w:eastAsia="仿宋_GB2312" w:cs="仿宋_GB2312"/>
          <w:b/>
          <w:color w:val="auto"/>
          <w:sz w:val="32"/>
          <w:szCs w:val="32"/>
          <w:lang w:eastAsia="zh-CN"/>
        </w:rPr>
      </w:pPr>
      <w:r>
        <w:rPr>
          <w:rFonts w:hint="eastAsia" w:ascii="仿宋_GB2312" w:hAnsi="宋体" w:eastAsia="仿宋_GB2312" w:cs="仿宋_GB2312"/>
          <w:b/>
          <w:color w:val="auto"/>
          <w:sz w:val="32"/>
          <w:szCs w:val="32"/>
          <w:lang w:eastAsia="zh-CN"/>
        </w:rPr>
        <w:t>（二）重点领域建设</w:t>
      </w:r>
    </w:p>
    <w:p>
      <w:pPr>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eastAsia="仿宋_GB2312" w:cs="仿宋_GB2312"/>
          <w:color w:val="auto"/>
          <w:sz w:val="32"/>
          <w:szCs w:val="32"/>
          <w:lang w:eastAsia="zh-CN"/>
        </w:rPr>
      </w:pPr>
      <w:r>
        <w:rPr>
          <w:rFonts w:hint="eastAsia" w:ascii="仿宋_GB2312" w:hAnsi="宋体" w:eastAsia="仿宋_GB2312" w:cs="仿宋_GB2312"/>
          <w:color w:val="auto"/>
          <w:sz w:val="32"/>
          <w:szCs w:val="32"/>
          <w:lang w:eastAsia="zh-CN"/>
        </w:rPr>
        <w:t>乙方</w:t>
      </w:r>
      <w:r>
        <w:rPr>
          <w:rFonts w:hint="eastAsia" w:ascii="仿宋_GB2312" w:hAnsi="宋体" w:eastAsia="仿宋_GB2312" w:cs="仿宋_GB2312"/>
          <w:color w:val="auto"/>
          <w:sz w:val="32"/>
          <w:szCs w:val="32"/>
          <w:lang w:val="en-US" w:eastAsia="zh-CN"/>
        </w:rPr>
        <w:t>将</w:t>
      </w:r>
      <w:r>
        <w:rPr>
          <w:rFonts w:hint="eastAsia" w:ascii="仿宋_GB2312" w:hAnsi="宋体" w:eastAsia="仿宋_GB2312" w:cs="仿宋_GB2312"/>
          <w:color w:val="auto"/>
          <w:sz w:val="32"/>
          <w:szCs w:val="32"/>
          <w:lang w:eastAsia="zh-CN"/>
        </w:rPr>
        <w:t>积极推动</w:t>
      </w:r>
      <w:r>
        <w:rPr>
          <w:rFonts w:hint="eastAsia" w:ascii="仿宋_GB2312" w:hAnsi="宋体" w:eastAsia="仿宋_GB2312" w:cs="仿宋_GB2312"/>
          <w:color w:val="auto"/>
          <w:sz w:val="32"/>
          <w:szCs w:val="32"/>
          <w:lang w:val="en-US" w:eastAsia="zh-CN"/>
        </w:rPr>
        <w:t>增城区</w:t>
      </w:r>
      <w:r>
        <w:rPr>
          <w:rFonts w:hint="eastAsia" w:ascii="仿宋_GB2312" w:hAnsi="宋体" w:eastAsia="仿宋_GB2312" w:cs="仿宋_GB2312"/>
          <w:color w:val="auto"/>
          <w:sz w:val="32"/>
          <w:szCs w:val="32"/>
          <w:lang w:eastAsia="zh-CN"/>
        </w:rPr>
        <w:t>基础设施建设和实体经济发展，包括但不限于</w:t>
      </w:r>
      <w:r>
        <w:rPr>
          <w:rFonts w:hint="eastAsia" w:ascii="仿宋_GB2312" w:hAnsi="宋体" w:eastAsia="仿宋_GB2312" w:cs="仿宋_GB2312"/>
          <w:color w:val="auto"/>
          <w:sz w:val="32"/>
          <w:szCs w:val="32"/>
          <w:lang w:val="en-US" w:eastAsia="zh-CN"/>
        </w:rPr>
        <w:t>基础设施</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现代产业</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城市更新、</w:t>
      </w:r>
      <w:r>
        <w:rPr>
          <w:rFonts w:hint="eastAsia" w:ascii="仿宋_GB2312" w:hAnsi="宋体" w:eastAsia="仿宋_GB2312" w:cs="仿宋_GB2312"/>
          <w:color w:val="auto"/>
          <w:sz w:val="32"/>
          <w:szCs w:val="32"/>
          <w:lang w:eastAsia="zh-CN"/>
        </w:rPr>
        <w:t>产业园区、实体制造等领域，全力服务多个重点园区平台，为入驻</w:t>
      </w:r>
      <w:r>
        <w:rPr>
          <w:rFonts w:hint="eastAsia" w:ascii="仿宋_GB2312" w:hAnsi="宋体" w:eastAsia="仿宋_GB2312" w:cs="仿宋_GB2312"/>
          <w:color w:val="auto"/>
          <w:sz w:val="32"/>
          <w:szCs w:val="32"/>
          <w:lang w:val="en-US" w:eastAsia="zh-CN"/>
        </w:rPr>
        <w:t>企业提供投融资支持。同时</w:t>
      </w:r>
      <w:r>
        <w:rPr>
          <w:rFonts w:hint="eastAsia" w:ascii="仿宋_GB2312" w:hAnsi="宋体" w:eastAsia="仿宋_GB2312" w:cs="仿宋_GB2312"/>
          <w:color w:val="auto"/>
          <w:sz w:val="32"/>
          <w:szCs w:val="32"/>
          <w:lang w:eastAsia="zh-CN"/>
        </w:rPr>
        <w:t>积极在城市更新、资产证券化、供应链金融、并购融资、</w:t>
      </w:r>
      <w:r>
        <w:rPr>
          <w:rFonts w:hint="eastAsia" w:ascii="仿宋_GB2312" w:hAnsi="宋体" w:eastAsia="仿宋_GB2312" w:cs="仿宋_GB2312"/>
          <w:color w:val="auto"/>
          <w:sz w:val="32"/>
          <w:szCs w:val="32"/>
          <w:lang w:val="en-US" w:eastAsia="zh-CN"/>
        </w:rPr>
        <w:t>前期贷款</w:t>
      </w:r>
      <w:r>
        <w:rPr>
          <w:rFonts w:hint="eastAsia" w:ascii="仿宋_GB2312" w:hAnsi="宋体" w:eastAsia="仿宋_GB2312" w:cs="仿宋_GB2312"/>
          <w:color w:val="auto"/>
          <w:sz w:val="32"/>
          <w:szCs w:val="32"/>
          <w:lang w:eastAsia="zh-CN"/>
        </w:rPr>
        <w:t>等领域加强支持，为区内重点领域提供最优质的综合金融服务。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default" w:ascii="仿宋_GB2312" w:hAnsi="宋体" w:eastAsia="仿宋_GB2312" w:cs="仿宋_GB2312"/>
          <w:b/>
          <w:color w:val="auto"/>
          <w:sz w:val="32"/>
          <w:szCs w:val="32"/>
          <w:lang w:val="en-US" w:eastAsia="zh-CN"/>
        </w:rPr>
      </w:pPr>
      <w:r>
        <w:rPr>
          <w:rFonts w:hint="eastAsia" w:ascii="仿宋_GB2312" w:hAnsi="宋体" w:eastAsia="仿宋_GB2312" w:cs="仿宋_GB2312"/>
          <w:b/>
          <w:color w:val="auto"/>
          <w:sz w:val="32"/>
          <w:szCs w:val="32"/>
          <w:lang w:val="en-US" w:eastAsia="zh-CN"/>
        </w:rPr>
        <w:t>（三）基础设施基金配套融资服务</w:t>
      </w:r>
    </w:p>
    <w:p>
      <w:pPr>
        <w:keepNext w:val="0"/>
        <w:keepLines w:val="0"/>
        <w:pageBreakBefore w:val="0"/>
        <w:widowControl w:val="0"/>
        <w:numPr>
          <w:ilvl w:val="0"/>
          <w:numId w:val="0"/>
        </w:numPr>
        <w:kinsoku/>
        <w:overflowPunct/>
        <w:topLinePunct w:val="0"/>
        <w:autoSpaceDE/>
        <w:autoSpaceDN/>
        <w:bidi w:val="0"/>
        <w:adjustRightInd/>
        <w:snapToGrid/>
        <w:spacing w:beforeLines="0" w:afterLines="0" w:line="560" w:lineRule="exact"/>
        <w:ind w:firstLine="640" w:firstLineChars="20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乙方将重点跟进网络型基础设施、产业升级基础设施、城市基础设施、农业农村基础设施及国家安全基础设施这五大基础设施重点领域、重大科技创新等领域及其他可由地方政府专项债券投资的项目，与甲方保持密切协同，通过靠前服务、靶向发力，建立更紧密、更深入、更高效的银政企合作机制，加紧推进项目对接和政策实施，包括但不限于提供账户开立、配套融资、共组银团等金融服务，支持实体经济高质量发展，为基础设施基金投资项目提供配套融资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default" w:ascii="仿宋_GB2312" w:hAnsi="宋体" w:eastAsia="仿宋_GB2312" w:cs="仿宋_GB2312"/>
          <w:b/>
          <w:color w:val="auto"/>
          <w:sz w:val="32"/>
          <w:szCs w:val="32"/>
          <w:lang w:val="en-US" w:eastAsia="zh-CN"/>
        </w:rPr>
      </w:pPr>
      <w:r>
        <w:rPr>
          <w:rFonts w:hint="eastAsia" w:ascii="仿宋_GB2312" w:hAnsi="宋体" w:eastAsia="仿宋_GB2312" w:cs="仿宋_GB2312"/>
          <w:b/>
          <w:color w:val="auto"/>
          <w:sz w:val="32"/>
          <w:szCs w:val="32"/>
          <w:lang w:val="en-US" w:eastAsia="zh-CN"/>
        </w:rPr>
        <w:t>（四）科技企业全生命周期服务</w:t>
      </w:r>
    </w:p>
    <w:p>
      <w:pPr>
        <w:pStyle w:val="5"/>
        <w:keepNext w:val="0"/>
        <w:keepLines w:val="0"/>
        <w:pageBreakBefore w:val="0"/>
        <w:widowControl w:val="0"/>
        <w:kinsoku/>
        <w:overflowPunct/>
        <w:topLinePunct w:val="0"/>
        <w:autoSpaceDE/>
        <w:autoSpaceDN/>
        <w:bidi w:val="0"/>
        <w:adjustRightInd/>
        <w:snapToGrid/>
        <w:spacing w:beforeLines="0" w:after="0" w:line="560" w:lineRule="exact"/>
        <w:ind w:left="0" w:leftChars="0" w:firstLine="640" w:firstLineChars="200"/>
        <w:jc w:val="left"/>
        <w:textAlignment w:val="auto"/>
        <w:rPr>
          <w:rFonts w:hint="eastAsia" w:ascii="仿宋_GB2312" w:hAnsi="宋体" w:eastAsia="仿宋_GB2312" w:cs="仿宋_GB2312"/>
          <w:color w:val="auto"/>
          <w:kern w:val="2"/>
          <w:sz w:val="32"/>
          <w:szCs w:val="32"/>
          <w:lang w:val="en-US" w:eastAsia="zh-CN" w:bidi="ar-SA"/>
        </w:rPr>
      </w:pPr>
      <w:r>
        <w:rPr>
          <w:rFonts w:hint="eastAsia" w:ascii="仿宋_GB2312" w:hAnsi="宋体" w:eastAsia="仿宋_GB2312" w:cs="仿宋_GB2312"/>
          <w:color w:val="auto"/>
          <w:kern w:val="2"/>
          <w:sz w:val="32"/>
          <w:szCs w:val="32"/>
          <w:lang w:val="en-US" w:eastAsia="zh-CN" w:bidi="ar-SA"/>
        </w:rPr>
        <w:t>乙方将依托自身在科技金融领域中的优势，贴合市场的授信政策，针对科技企业提供全生命周期服务，与甲方共同推动增城区科技发展由量的增长跃向质的提升。</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eastAsia" w:ascii="仿宋_GB2312" w:hAnsi="宋体" w:eastAsia="仿宋_GB2312" w:cs="仿宋_GB2312"/>
          <w:b/>
          <w:color w:val="auto"/>
          <w:sz w:val="32"/>
          <w:szCs w:val="32"/>
          <w:lang w:eastAsia="zh-CN"/>
        </w:rPr>
      </w:pPr>
      <w:r>
        <w:rPr>
          <w:rFonts w:hint="eastAsia" w:ascii="仿宋_GB2312" w:hAnsi="宋体" w:eastAsia="仿宋_GB2312" w:cs="仿宋_GB2312"/>
          <w:b/>
          <w:color w:val="auto"/>
          <w:sz w:val="32"/>
          <w:szCs w:val="32"/>
        </w:rPr>
        <w:t>（</w:t>
      </w:r>
      <w:r>
        <w:rPr>
          <w:rFonts w:hint="eastAsia" w:ascii="仿宋_GB2312" w:hAnsi="宋体" w:eastAsia="仿宋_GB2312" w:cs="仿宋_GB2312"/>
          <w:b/>
          <w:color w:val="auto"/>
          <w:sz w:val="32"/>
          <w:szCs w:val="32"/>
          <w:lang w:val="en-US" w:eastAsia="zh-CN"/>
        </w:rPr>
        <w:t>五</w:t>
      </w:r>
      <w:r>
        <w:rPr>
          <w:rFonts w:hint="eastAsia" w:ascii="仿宋_GB2312" w:hAnsi="宋体" w:eastAsia="仿宋_GB2312" w:cs="仿宋_GB2312"/>
          <w:b/>
          <w:color w:val="auto"/>
          <w:sz w:val="32"/>
          <w:szCs w:val="32"/>
        </w:rPr>
        <w:t>）普惠贷款服务</w:t>
      </w:r>
      <w:bookmarkStart w:id="0" w:name="_GoBack"/>
      <w:bookmarkEnd w:id="0"/>
    </w:p>
    <w:p>
      <w:pPr>
        <w:keepNext w:val="0"/>
        <w:keepLines w:val="0"/>
        <w:pageBreakBefore w:val="0"/>
        <w:widowControl w:val="0"/>
        <w:kinsoku/>
        <w:overflowPunct/>
        <w:topLinePunct w:val="0"/>
        <w:autoSpaceDE/>
        <w:autoSpaceDN/>
        <w:bidi w:val="0"/>
        <w:adjustRightInd/>
        <w:snapToGrid/>
        <w:spacing w:beforeLines="0" w:afterLines="0" w:line="560" w:lineRule="exact"/>
        <w:ind w:firstLine="640" w:firstLineChars="200"/>
        <w:textAlignment w:val="auto"/>
        <w:rPr>
          <w:rFonts w:hint="eastAsia"/>
          <w:color w:val="auto"/>
        </w:rPr>
      </w:pPr>
      <w:r>
        <w:rPr>
          <w:rFonts w:hint="eastAsia" w:ascii="仿宋_GB2312" w:eastAsia="仿宋_GB2312" w:cs="仿宋_GB2312"/>
          <w:b w:val="0"/>
          <w:bCs w:val="0"/>
          <w:color w:val="auto"/>
          <w:sz w:val="32"/>
          <w:szCs w:val="32"/>
        </w:rPr>
        <w:t>乙方积极主动融入扶持实体经济、乡村振兴战略</w:t>
      </w:r>
      <w:r>
        <w:rPr>
          <w:rFonts w:hint="eastAsia" w:ascii="仿宋_GB2312" w:eastAsia="仿宋_GB2312" w:cs="仿宋_GB2312"/>
          <w:b w:val="0"/>
          <w:bCs w:val="0"/>
          <w:color w:val="auto"/>
          <w:sz w:val="32"/>
          <w:szCs w:val="32"/>
          <w:lang w:eastAsia="zh-CN"/>
        </w:rPr>
        <w:t>和</w:t>
      </w:r>
      <w:r>
        <w:rPr>
          <w:rFonts w:hint="eastAsia" w:ascii="仿宋_GB2312" w:eastAsia="仿宋_GB2312" w:cs="仿宋_GB2312"/>
          <w:b w:val="0"/>
          <w:bCs w:val="0"/>
          <w:color w:val="auto"/>
          <w:sz w:val="32"/>
          <w:szCs w:val="32"/>
          <w:highlight w:val="none"/>
          <w:lang w:eastAsia="zh-CN"/>
        </w:rPr>
        <w:t>“百县千镇万村高质量发展工程”建设</w:t>
      </w:r>
      <w:r>
        <w:rPr>
          <w:rFonts w:hint="eastAsia" w:ascii="仿宋_GB2312" w:eastAsia="仿宋_GB2312" w:cs="仿宋_GB2312"/>
          <w:b w:val="0"/>
          <w:bCs w:val="0"/>
          <w:color w:val="auto"/>
          <w:sz w:val="32"/>
          <w:szCs w:val="32"/>
        </w:rPr>
        <w:t>，紧扣</w:t>
      </w:r>
      <w:r>
        <w:rPr>
          <w:rFonts w:hint="eastAsia" w:ascii="仿宋_GB2312" w:eastAsia="仿宋_GB2312" w:cs="仿宋_GB2312"/>
          <w:b w:val="0"/>
          <w:bCs w:val="0"/>
          <w:color w:val="auto"/>
          <w:sz w:val="32"/>
          <w:szCs w:val="32"/>
          <w:lang w:val="en-US" w:eastAsia="zh-CN"/>
        </w:rPr>
        <w:t>增城区</w:t>
      </w:r>
      <w:r>
        <w:rPr>
          <w:rFonts w:hint="eastAsia" w:ascii="仿宋_GB2312" w:eastAsia="仿宋_GB2312" w:cs="仿宋_GB2312"/>
          <w:b w:val="0"/>
          <w:bCs w:val="0"/>
          <w:color w:val="auto"/>
          <w:sz w:val="32"/>
          <w:szCs w:val="32"/>
        </w:rPr>
        <w:t>发展规划，配合甲方支持小微实体经济、现代化农业发展，加大对制造业、城乡融合经济支持力度，重点以科技金融为核心</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rPr>
        <w:t>依托“粤菜师傅”“广东技工”“南粤家政”三项工程、双十战略集群、汽车供应链、医疗、外贸、惠农、人才创新等领域，打造多样化、批量化的普惠金融业务场景，</w:t>
      </w:r>
      <w:r>
        <w:rPr>
          <w:rFonts w:hint="eastAsia" w:ascii="仿宋_GB2312" w:eastAsia="仿宋_GB2312" w:cs="仿宋_GB2312"/>
          <w:b w:val="0"/>
          <w:bCs w:val="0"/>
          <w:color w:val="auto"/>
          <w:sz w:val="32"/>
          <w:szCs w:val="32"/>
          <w:lang w:val="en-US" w:eastAsia="zh-CN"/>
        </w:rPr>
        <w:t>提升为增城区内企业</w:t>
      </w:r>
      <w:r>
        <w:rPr>
          <w:rFonts w:hint="eastAsia" w:ascii="仿宋_GB2312" w:eastAsia="仿宋_GB2312" w:cs="仿宋_GB2312"/>
          <w:b w:val="0"/>
          <w:bCs w:val="0"/>
          <w:color w:val="auto"/>
          <w:sz w:val="32"/>
          <w:szCs w:val="32"/>
        </w:rPr>
        <w:t>普惠金融</w:t>
      </w:r>
      <w:r>
        <w:rPr>
          <w:rFonts w:hint="eastAsia" w:ascii="仿宋_GB2312" w:eastAsia="仿宋_GB2312" w:cs="仿宋_GB2312"/>
          <w:b w:val="0"/>
          <w:bCs w:val="0"/>
          <w:color w:val="auto"/>
          <w:sz w:val="32"/>
          <w:szCs w:val="32"/>
          <w:lang w:val="en-US" w:eastAsia="zh-CN"/>
        </w:rPr>
        <w:t>服务力度</w:t>
      </w:r>
      <w:r>
        <w:rPr>
          <w:rFonts w:hint="eastAsia" w:ascii="仿宋_GB2312" w:eastAsia="仿宋_GB2312" w:cs="仿宋_GB2312"/>
          <w:b w:val="0"/>
          <w:bCs w:val="0"/>
          <w:color w:val="auto"/>
          <w:sz w:val="32"/>
          <w:szCs w:val="32"/>
        </w:rPr>
        <w:t>。</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default" w:ascii="仿宋_GB2312" w:hAnsi="宋体" w:eastAsia="仿宋_GB2312" w:cs="仿宋_GB2312"/>
          <w:b/>
          <w:color w:val="auto"/>
          <w:sz w:val="32"/>
          <w:szCs w:val="32"/>
          <w:lang w:val="en-US" w:eastAsia="zh-CN"/>
        </w:rPr>
      </w:pPr>
      <w:r>
        <w:rPr>
          <w:rFonts w:hint="eastAsia" w:ascii="仿宋_GB2312" w:hAnsi="宋体" w:eastAsia="仿宋_GB2312" w:cs="仿宋_GB2312"/>
          <w:b/>
          <w:color w:val="auto"/>
          <w:sz w:val="32"/>
          <w:szCs w:val="32"/>
        </w:rPr>
        <w:t>（</w:t>
      </w:r>
      <w:r>
        <w:rPr>
          <w:rFonts w:hint="eastAsia" w:ascii="仿宋_GB2312" w:hAnsi="宋体" w:eastAsia="仿宋_GB2312" w:cs="仿宋_GB2312"/>
          <w:b/>
          <w:color w:val="auto"/>
          <w:sz w:val="32"/>
          <w:szCs w:val="32"/>
          <w:lang w:val="en-US" w:eastAsia="zh-CN"/>
        </w:rPr>
        <w:t>六</w:t>
      </w:r>
      <w:r>
        <w:rPr>
          <w:rFonts w:hint="eastAsia" w:ascii="仿宋_GB2312" w:hAnsi="宋体" w:eastAsia="仿宋_GB2312" w:cs="仿宋_GB2312"/>
          <w:b/>
          <w:color w:val="auto"/>
          <w:sz w:val="32"/>
          <w:szCs w:val="32"/>
        </w:rPr>
        <w:t>）</w:t>
      </w:r>
      <w:r>
        <w:rPr>
          <w:rFonts w:hint="eastAsia" w:ascii="仿宋_GB2312" w:hAnsi="宋体" w:eastAsia="仿宋_GB2312" w:cs="仿宋_GB2312"/>
          <w:b/>
          <w:color w:val="auto"/>
          <w:sz w:val="32"/>
          <w:szCs w:val="32"/>
          <w:lang w:val="en-US" w:eastAsia="zh-CN"/>
        </w:rPr>
        <w:t>行政事业机构合作</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highlight w:val="none"/>
        </w:rPr>
      </w:pPr>
      <w:r>
        <w:rPr>
          <w:rFonts w:hint="eastAsia" w:ascii="仿宋_GB2312" w:hAnsi="仿宋_GB2312" w:eastAsia="仿宋_GB2312" w:cs="仿宋_GB2312"/>
          <w:b w:val="0"/>
          <w:bCs/>
          <w:color w:val="auto"/>
          <w:sz w:val="32"/>
          <w:szCs w:val="32"/>
          <w:lang w:val="en-US" w:eastAsia="zh-CN"/>
        </w:rPr>
        <w:t>乙方为甲方及其行政事业单位提供全方位高效优质金融服务，在国库集中支付、代理非税征收、账户资金管理、个人金融等业务方面，提供个性化、完善、快捷的金融服务。乙方将根据省、市发展规划和战略，对于财政、公检法、规自、卫生、教育等领域单位客户，研发特色创新金融系统，面向单位客户提供财务管理、资金调拨、分级授权、数据统计等全面一体的个性化金融及信息管理服务，将全力支持甲方提升增城区政务服务的效能，塑造人民满意的服务型政府形象。同时，乙方将紧抓民生工程，双方通过互相发挥渠道优势，共同推进增城区电子政务发展，方便群众办事的同时也进一步扩大乙方服务社区群众的效果，共同完善增城区社区金融服务体系，提升服务质效。</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default" w:ascii="仿宋_GB2312" w:hAnsi="宋体" w:eastAsia="仿宋_GB2312" w:cs="仿宋_GB2312"/>
          <w:b/>
          <w:color w:val="auto"/>
          <w:sz w:val="32"/>
          <w:szCs w:val="32"/>
          <w:lang w:val="en-US" w:eastAsia="zh-CN"/>
        </w:rPr>
      </w:pPr>
      <w:r>
        <w:rPr>
          <w:rFonts w:hint="eastAsia" w:ascii="仿宋_GB2312" w:hAnsi="宋体" w:eastAsia="仿宋_GB2312" w:cs="仿宋_GB2312"/>
          <w:b/>
          <w:color w:val="auto"/>
          <w:sz w:val="32"/>
          <w:szCs w:val="32"/>
          <w:lang w:val="en-US" w:eastAsia="zh-CN"/>
        </w:rPr>
        <w:t>（七）多元化综合业务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乙方将配合甲方，积极协调金融监管部门，充分整合</w:t>
      </w:r>
      <w:r>
        <w:rPr>
          <w:rFonts w:hint="eastAsia" w:ascii="仿宋_GB2312" w:hAnsi="宋体" w:eastAsia="仿宋_GB2312" w:cs="仿宋_GB2312"/>
          <w:color w:val="auto"/>
          <w:sz w:val="32"/>
          <w:szCs w:val="32"/>
        </w:rPr>
        <w:t>商业银行、投资银行、</w:t>
      </w:r>
      <w:r>
        <w:rPr>
          <w:rFonts w:hint="eastAsia" w:ascii="仿宋_GB2312" w:hAnsi="宋体" w:eastAsia="仿宋_GB2312" w:cs="仿宋_GB2312"/>
          <w:color w:val="auto"/>
          <w:sz w:val="32"/>
          <w:szCs w:val="32"/>
          <w:lang w:val="en-US" w:eastAsia="zh-CN"/>
        </w:rPr>
        <w:t>理财、</w:t>
      </w:r>
      <w:r>
        <w:rPr>
          <w:rFonts w:hint="eastAsia" w:ascii="仿宋_GB2312" w:hAnsi="宋体" w:eastAsia="仿宋_GB2312" w:cs="仿宋_GB2312"/>
          <w:color w:val="auto"/>
          <w:sz w:val="32"/>
          <w:szCs w:val="32"/>
        </w:rPr>
        <w:t>证券、保险、基金等综合平台</w:t>
      </w:r>
      <w:r>
        <w:rPr>
          <w:rFonts w:hint="eastAsia" w:ascii="仿宋_GB2312" w:hAnsi="宋体" w:eastAsia="仿宋_GB2312" w:cs="仿宋_GB2312"/>
          <w:color w:val="auto"/>
          <w:sz w:val="32"/>
          <w:szCs w:val="32"/>
          <w:lang w:val="en-US" w:eastAsia="zh-CN"/>
        </w:rPr>
        <w:t>资源，为增城区内企业提供多元化综合服务，包括但不限于：</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1</w:t>
      </w:r>
      <w:r>
        <w:rPr>
          <w:rFonts w:hint="eastAsia" w:ascii="仿宋_GB2312" w:hAnsi="宋体" w:eastAsia="仿宋_GB2312" w:cs="仿宋_GB2312"/>
          <w:color w:val="auto"/>
          <w:sz w:val="32"/>
          <w:szCs w:val="32"/>
        </w:rPr>
        <w:t>、债券服务。乙方及乙方下属证券经营机构，为甲方投融资主体及其他市场主体发行超短期融资券、短期融资券、中期票据、非公开定向债务融资工具、企业债券、公司债券等提供承销服务，推动政府投融资模式创新，支持</w:t>
      </w:r>
      <w:r>
        <w:rPr>
          <w:rFonts w:hint="eastAsia" w:ascii="仿宋_GB2312" w:hAnsi="宋体" w:eastAsia="仿宋_GB2312" w:cs="仿宋_GB2312"/>
          <w:color w:val="auto"/>
          <w:sz w:val="32"/>
          <w:szCs w:val="32"/>
          <w:lang w:val="en-US" w:eastAsia="zh-CN"/>
        </w:rPr>
        <w:t>增城区</w:t>
      </w:r>
      <w:r>
        <w:rPr>
          <w:rFonts w:hint="eastAsia" w:ascii="仿宋_GB2312" w:hAnsi="宋体" w:eastAsia="仿宋_GB2312" w:cs="仿宋_GB2312"/>
          <w:color w:val="auto"/>
          <w:sz w:val="32"/>
          <w:szCs w:val="32"/>
        </w:rPr>
        <w:t>内国有企业及民营企业多渠道筹集资金，促进直接融资市场发展。</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2</w:t>
      </w:r>
      <w:r>
        <w:rPr>
          <w:rFonts w:hint="eastAsia" w:ascii="仿宋_GB2312" w:hAnsi="宋体" w:eastAsia="仿宋_GB2312" w:cs="仿宋_GB2312"/>
          <w:color w:val="auto"/>
          <w:sz w:val="32"/>
          <w:szCs w:val="32"/>
        </w:rPr>
        <w:t>、上市服务。乙方发挥国际化的投资银行服务优势，通过丰富的境内外资本市场经验，为甲方所辖具有上市需求的各市场主体提供股票发行、承销等IPO过程中的全过程投行业务服务和上市后的股本融资服务。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3</w:t>
      </w:r>
      <w:r>
        <w:rPr>
          <w:rFonts w:hint="eastAsia" w:ascii="仿宋_GB2312" w:hAnsi="宋体" w:eastAsia="仿宋_GB2312" w:cs="仿宋_GB2312"/>
          <w:color w:val="auto"/>
          <w:sz w:val="32"/>
          <w:szCs w:val="32"/>
        </w:rPr>
        <w:t>、保险服务。乙方发挥集团多元化经营优势，为甲方相关企业单位及个人提供财产险、责任险、信用险、健康险等多种保险类服务，为企业及个人打造品牌专业化组合，保证高质量的服务水平。</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lang w:val="en-US" w:eastAsia="zh-CN"/>
        </w:rPr>
        <w:t>4</w:t>
      </w:r>
      <w:r>
        <w:rPr>
          <w:rFonts w:hint="eastAsia" w:ascii="仿宋_GB2312" w:hAnsi="宋体" w:eastAsia="仿宋_GB2312" w:cs="仿宋_GB2312"/>
          <w:color w:val="auto"/>
          <w:sz w:val="32"/>
          <w:szCs w:val="32"/>
        </w:rPr>
        <w:t>、理财服务。乙方通过产品组合与创新，为甲方重点企业提供投资及融资类的金融服务，通过理财产品等模式满足企业的投、融资需求，增强企业对于财富管理的效果，使企业效益最大化。</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default" w:ascii="仿宋_GB2312" w:hAnsi="宋体" w:eastAsia="仿宋_GB2312" w:cs="仿宋_GB2312"/>
          <w:b/>
          <w:color w:val="auto"/>
          <w:sz w:val="32"/>
          <w:szCs w:val="32"/>
          <w:lang w:val="en-US" w:eastAsia="zh-CN"/>
        </w:rPr>
      </w:pPr>
      <w:r>
        <w:rPr>
          <w:rFonts w:hint="eastAsia" w:ascii="仿宋_GB2312" w:hAnsi="宋体" w:eastAsia="仿宋_GB2312" w:cs="仿宋_GB2312"/>
          <w:b/>
          <w:color w:val="auto"/>
          <w:sz w:val="32"/>
          <w:szCs w:val="32"/>
          <w:lang w:val="en-US" w:eastAsia="zh-CN"/>
        </w:rPr>
        <w:t>（八）跨境金融服务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default"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highlight w:val="none"/>
          <w:lang w:val="en-US" w:eastAsia="zh-CN"/>
        </w:rPr>
        <w:t>乙方支持甲方推动广州东部公铁联运枢纽发展，以打造综合保税区、公用型保税物流中心等海关特殊监管区域为契机，发展离岸融，</w:t>
      </w:r>
      <w:r>
        <w:rPr>
          <w:rFonts w:hint="eastAsia" w:ascii="仿宋_GB2312" w:hAnsi="宋体" w:eastAsia="仿宋_GB2312" w:cs="仿宋_GB2312"/>
          <w:color w:val="auto"/>
          <w:sz w:val="32"/>
          <w:szCs w:val="32"/>
          <w:lang w:val="en-US" w:eastAsia="zh-CN"/>
        </w:rPr>
        <w:t>乙方将依托自身在贸易金融领域中的传统优势、国际金融市场卓著的信誉以及完善的国际交易网络系统，充分发挥百年持续经营中形成的服务网络遍布全球、多元化、一体化金融服务平台的独特经营优势，整合物流、资金流和信息流，大力支持增城区企业“走出去”拓展海外市场，为企业境外投融资、兼并收购、工程承包、跨国经营等提供特色金融服务，促进增城区外贸平稳增长。包括但不限于：</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1、贸易金融。乙方将不断加强在贸易金融领域产品研究开发，与信用保险公司等第三方机构联动，推出并丰富出口货物、服务、境外承包工程等系列融资避险产品，帮助出口企业有效规避相关商业信用、汇率、国别、政治等风险，为“走出去”企业提供“融资、避险”一站式服务。把握政府大力扶持进口企业的政策导向，为进口企业提供资信增强、融资支持、市场咨询等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2、履约担保。乙方将继续发挥在对外承包工程保函风险专项资金业务独家承办方面的服务优势，加大对境外承包工程企业的支持力度，提高风险资金使用率，在保证国家财政资金安全的前提下推动业务稳步发展。乙方为境内企业的境外分支机构向当地银行申请授信和融资提供担保，支持企业“走出去”拓展海外市场、承建各类工程项目。</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3、境外投融资。乙方调动海内外机构的金融服务力量，加强海内外机构的联动合作和追踪服务，为有海外直接投资需求的“走出去”企业提供海外人民币发债、发股、境外银团、境外人民币贷款等融资服务；乙方为有跨国兼并收购需求的“走出去”企业提供项目咨询、并购顾问和贷款支持等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4、境内外资金撮合。乙方依托中银集团境内外投融资的成本和通道优势，充分利用全口径跨境融资宏观审慎管理等政策优势，为“走出去”企业提供全球资金撮合服务，优选全球低成本融资资金，主推国内企业打开全球国际市场。</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val="en-US" w:eastAsia="zh-CN"/>
        </w:rPr>
        <w:t>5、资信增值。乙方凭借遍布全球的广泛网络机构和丰富的海外业务经验，为“走出去”企业海外投资项目提供投资环境、政策分析报告及买方资信调查等服务，并在企业向当地中国银行分支机构申请融资时，提供客户推荐、信贷证明、跨境人民币结算等延伸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2" w:firstLineChars="200"/>
        <w:textAlignment w:val="auto"/>
        <w:rPr>
          <w:rFonts w:hint="eastAsia" w:ascii="仿宋_GB2312" w:hAnsi="宋体" w:eastAsia="仿宋_GB2312" w:cs="仿宋_GB2312"/>
          <w:b/>
          <w:color w:val="auto"/>
          <w:sz w:val="32"/>
          <w:szCs w:val="32"/>
          <w:lang w:eastAsia="zh-CN"/>
        </w:rPr>
      </w:pPr>
      <w:r>
        <w:rPr>
          <w:rFonts w:hint="eastAsia" w:ascii="仿宋_GB2312" w:hAnsi="宋体" w:eastAsia="仿宋_GB2312" w:cs="仿宋_GB2312"/>
          <w:b/>
          <w:color w:val="auto"/>
          <w:sz w:val="32"/>
          <w:szCs w:val="32"/>
        </w:rPr>
        <w:t>（</w:t>
      </w:r>
      <w:r>
        <w:rPr>
          <w:rFonts w:hint="eastAsia" w:ascii="仿宋_GB2312" w:hAnsi="宋体" w:eastAsia="仿宋_GB2312" w:cs="仿宋_GB2312"/>
          <w:b/>
          <w:color w:val="auto"/>
          <w:sz w:val="32"/>
          <w:szCs w:val="32"/>
          <w:lang w:val="en-US" w:eastAsia="zh-CN"/>
        </w:rPr>
        <w:t>九</w:t>
      </w:r>
      <w:r>
        <w:rPr>
          <w:rFonts w:hint="eastAsia" w:ascii="仿宋_GB2312" w:hAnsi="宋体" w:eastAsia="仿宋_GB2312" w:cs="仿宋_GB2312"/>
          <w:b/>
          <w:color w:val="auto"/>
          <w:sz w:val="32"/>
          <w:szCs w:val="32"/>
        </w:rPr>
        <w:t>）粤港澳金融合作</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宋体" w:eastAsia="仿宋_GB2312" w:cs="仿宋_GB2312"/>
          <w:color w:val="auto"/>
          <w:sz w:val="32"/>
          <w:szCs w:val="32"/>
          <w:lang w:val="en-US" w:eastAsia="zh-CN"/>
        </w:rPr>
        <w:t>乙方依托中银集团多元化、国际化优势，积极参与粤港澳深度合作，在粤港澳金融市场要素双向开放与联通中发挥积极作用。重点支持港澳企业产业升级的需求，推动融资、融资性保函、四方协议等业务在更大范围的运用推广。强化增值型综合金融服务，结合投行、保险需求，联动粤港澳机构开展直接投资、项目运营等增值服务。</w:t>
      </w:r>
    </w:p>
    <w:p>
      <w:pPr>
        <w:keepNext w:val="0"/>
        <w:keepLines w:val="0"/>
        <w:pageBreakBefore w:val="0"/>
        <w:widowControl w:val="0"/>
        <w:kinsoku/>
        <w:overflowPunct/>
        <w:topLinePunct w:val="0"/>
        <w:autoSpaceDE/>
        <w:autoSpaceDN/>
        <w:bidi w:val="0"/>
        <w:adjustRightInd/>
        <w:snapToGrid/>
        <w:spacing w:beforeLines="0" w:afterLines="0" w:line="560" w:lineRule="exact"/>
        <w:ind w:firstLine="640"/>
        <w:textAlignment w:val="auto"/>
        <w:rPr>
          <w:rFonts w:hint="eastAsia"/>
          <w:lang w:val="en-US" w:eastAsia="zh-CN"/>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甲方</w:t>
      </w:r>
      <w:r>
        <w:rPr>
          <w:rFonts w:hint="eastAsia" w:ascii="仿宋_GB2312" w:hAnsi="仿宋_GB2312" w:eastAsia="仿宋_GB2312" w:cs="仿宋_GB2312"/>
          <w:sz w:val="32"/>
          <w:szCs w:val="32"/>
        </w:rPr>
        <w:t>在符合法律、法规前提下，发挥在政策、信息、资源等方面的优势，为乙方提供良好的社会环境、市场环境及政策支持，</w:t>
      </w:r>
      <w:r>
        <w:rPr>
          <w:rFonts w:hint="eastAsia" w:ascii="仿宋_GB2312" w:hAnsi="宋体" w:eastAsia="仿宋_GB2312" w:cs="仿宋_GB2312"/>
          <w:color w:val="auto"/>
          <w:sz w:val="32"/>
          <w:szCs w:val="32"/>
          <w:lang w:val="en-US" w:eastAsia="zh-CN"/>
        </w:rPr>
        <w:t>多渠道、全方位支持乙方参与甲方各项金融业务，包括财政统发、国库集中支付等业务代理资格和金融服务的招投标工作及配套金融服务。</w:t>
      </w:r>
    </w:p>
    <w:p>
      <w:pPr>
        <w:keepNext w:val="0"/>
        <w:keepLines w:val="0"/>
        <w:pageBreakBefore w:val="0"/>
        <w:widowControl w:val="0"/>
        <w:numPr>
          <w:ilvl w:val="0"/>
          <w:numId w:val="1"/>
        </w:numPr>
        <w:tabs>
          <w:tab w:val="left" w:pos="8100"/>
        </w:tabs>
        <w:kinsoku/>
        <w:wordWrap/>
        <w:overflowPunct/>
        <w:topLinePunct w:val="0"/>
        <w:autoSpaceDE/>
        <w:autoSpaceDN/>
        <w:bidi w:val="0"/>
        <w:adjustRightInd/>
        <w:snapToGrid/>
        <w:spacing w:before="313" w:beforeLines="100" w:after="157" w:afterLines="50" w:line="560" w:lineRule="exact"/>
        <w:ind w:left="-686" w:leftChars="0" w:firstLine="686" w:firstLineChars="0"/>
        <w:jc w:val="center"/>
        <w:textAlignment w:val="auto"/>
        <w:rPr>
          <w:rFonts w:hint="eastAsia" w:ascii="黑体" w:hAnsi="黑体" w:eastAsia="黑体" w:cs="仿宋_GB2312"/>
          <w:color w:val="auto"/>
          <w:spacing w:val="11"/>
          <w:position w:val="5"/>
          <w:sz w:val="32"/>
          <w:szCs w:val="32"/>
          <w:lang w:val="en-US" w:eastAsia="zh-CN"/>
        </w:rPr>
      </w:pPr>
      <w:r>
        <w:rPr>
          <w:rFonts w:hint="eastAsia" w:ascii="黑体" w:hAnsi="黑体" w:eastAsia="黑体" w:cs="仿宋_GB2312"/>
          <w:color w:val="auto"/>
          <w:spacing w:val="11"/>
          <w:position w:val="5"/>
          <w:sz w:val="32"/>
          <w:szCs w:val="32"/>
          <w:lang w:val="en-US" w:eastAsia="zh-CN"/>
        </w:rPr>
        <w:t>合作机制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4"/>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建立协调联络机制。根据工作需要，双方适时开展工作交流，相关负责同志不定期就重要议题和紧急事项专题会商推动，协调解决重要问题，通报有关工作进展情况。双方各自负责系统内的工作协调，采取必要措施，加强信息沟通，推动相关工作落实。</w:t>
      </w:r>
    </w:p>
    <w:p>
      <w:pPr>
        <w:keepNext w:val="0"/>
        <w:keepLines w:val="0"/>
        <w:pageBreakBefore w:val="0"/>
        <w:widowControl w:val="0"/>
        <w:numPr>
          <w:ilvl w:val="0"/>
          <w:numId w:val="1"/>
        </w:numPr>
        <w:tabs>
          <w:tab w:val="left" w:pos="8100"/>
        </w:tabs>
        <w:kinsoku/>
        <w:wordWrap/>
        <w:overflowPunct/>
        <w:topLinePunct w:val="0"/>
        <w:autoSpaceDE/>
        <w:autoSpaceDN/>
        <w:bidi w:val="0"/>
        <w:adjustRightInd/>
        <w:snapToGrid/>
        <w:spacing w:before="313" w:beforeLines="100" w:after="157" w:afterLines="50" w:line="560" w:lineRule="exact"/>
        <w:ind w:left="-686" w:leftChars="0" w:firstLine="686" w:firstLineChars="0"/>
        <w:jc w:val="center"/>
        <w:textAlignment w:val="auto"/>
        <w:rPr>
          <w:rFonts w:hint="eastAsia" w:ascii="黑体" w:hAnsi="黑体" w:eastAsia="黑体" w:cs="仿宋_GB2312"/>
          <w:color w:val="auto"/>
          <w:spacing w:val="11"/>
          <w:position w:val="5"/>
          <w:sz w:val="32"/>
          <w:szCs w:val="32"/>
          <w:lang w:val="en-US" w:eastAsia="zh-CN"/>
        </w:rPr>
      </w:pPr>
      <w:r>
        <w:rPr>
          <w:rFonts w:hint="eastAsia" w:ascii="黑体" w:hAnsi="黑体" w:eastAsia="黑体" w:cs="仿宋_GB2312"/>
          <w:color w:val="auto"/>
          <w:spacing w:val="11"/>
          <w:position w:val="5"/>
          <w:sz w:val="32"/>
          <w:szCs w:val="32"/>
          <w:lang w:val="en-US" w:eastAsia="zh-CN"/>
        </w:rPr>
        <w:t>附则</w:t>
      </w:r>
    </w:p>
    <w:p>
      <w:pPr>
        <w:keepNext w:val="0"/>
        <w:keepLines w:val="0"/>
        <w:pageBreakBefore w:val="0"/>
        <w:widowControl w:val="0"/>
        <w:kinsoku/>
        <w:overflowPunct/>
        <w:topLinePunct w:val="0"/>
        <w:autoSpaceDE/>
        <w:autoSpaceDN/>
        <w:bidi w:val="0"/>
        <w:spacing w:beforeLines="0" w:afterLines="0"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六</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除甲、乙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另有约定外，合作过程中甲、乙双方</w:t>
      </w:r>
      <w:r>
        <w:rPr>
          <w:rFonts w:hint="eastAsia" w:ascii="仿宋_GB2312" w:hAnsi="仿宋_GB2312" w:eastAsia="仿宋_GB2312" w:cs="仿宋_GB2312"/>
          <w:color w:val="auto"/>
          <w:sz w:val="32"/>
          <w:szCs w:val="32"/>
          <w:lang w:eastAsia="zh-CN"/>
        </w:rPr>
        <w:t>及其工作人员</w:t>
      </w:r>
      <w:r>
        <w:rPr>
          <w:rFonts w:hint="eastAsia" w:ascii="仿宋_GB2312" w:hAnsi="仿宋_GB2312" w:eastAsia="仿宋_GB2312" w:cs="仿宋_GB2312"/>
          <w:color w:val="auto"/>
          <w:sz w:val="32"/>
          <w:szCs w:val="32"/>
        </w:rPr>
        <w:t>有义务依法为对方严守商业秘密和保密信息,包括但不限于</w:t>
      </w:r>
      <w:r>
        <w:rPr>
          <w:rFonts w:hint="eastAsia" w:ascii="仿宋_GB2312" w:hAnsi="仿宋_GB2312" w:eastAsia="仿宋_GB2312" w:cs="仿宋_GB2312"/>
          <w:color w:val="auto"/>
          <w:sz w:val="32"/>
          <w:szCs w:val="32"/>
          <w:lang w:eastAsia="zh-CN"/>
        </w:rPr>
        <w:t>合作过程中形成的或接触到</w:t>
      </w:r>
      <w:r>
        <w:rPr>
          <w:rFonts w:hint="eastAsia" w:ascii="仿宋_GB2312" w:hAnsi="仿宋_GB2312" w:eastAsia="仿宋_GB2312" w:cs="仿宋_GB2312"/>
          <w:color w:val="auto"/>
          <w:sz w:val="32"/>
          <w:szCs w:val="32"/>
        </w:rPr>
        <w:t>的客户资料、商业计划、涉密经营数据等。除法律法规、监管规则另有规定外，未经对方许可，不得泄露或对甲、乙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以外主体提供任何有关对方业务经营或客户等相关的资料和信息。甲、乙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保密义务在本协议解除或终止后仍然有效。</w:t>
      </w:r>
    </w:p>
    <w:p>
      <w:pPr>
        <w:keepNext w:val="0"/>
        <w:keepLines w:val="0"/>
        <w:pageBreakBefore w:val="0"/>
        <w:widowControl w:val="0"/>
        <w:kinsoku/>
        <w:overflowPunct/>
        <w:topLinePunct w:val="0"/>
        <w:autoSpaceDE/>
        <w:autoSpaceDN/>
        <w:bidi w:val="0"/>
        <w:spacing w:beforeLines="0" w:afterLines="0" w:line="560" w:lineRule="exact"/>
        <w:ind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关于保密的事项、范围、期限、存储涉密信息资料的方式、违约责任等具体事由，可由各方指定的关联机构或联系机构在合作推进的过程中及时予以特别约定。</w:t>
      </w:r>
    </w:p>
    <w:p>
      <w:pPr>
        <w:keepNext w:val="0"/>
        <w:keepLines w:val="0"/>
        <w:pageBreakBefore w:val="0"/>
        <w:widowControl w:val="0"/>
        <w:kinsoku/>
        <w:overflowPunct/>
        <w:topLinePunct w:val="0"/>
        <w:autoSpaceDE/>
        <w:autoSpaceDN/>
        <w:bidi w:val="0"/>
        <w:spacing w:beforeLines="0" w:afterLines="0"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七</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color w:val="auto"/>
          <w:sz w:val="32"/>
          <w:szCs w:val="32"/>
        </w:rPr>
        <w:t xml:space="preserve"> 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承诺，遵守本协议的各项约定。甲、乙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及下属机构根据本战略合作协议开展具体项目合作时，应另行签订具体项目协议。具体项目协议与本协议约定不一致的，以具体项目协议为准。本战略合作协议的解除或终止，不影响本战略合作协议有效期内所签订的各项具体项目协议的法律效力。</w:t>
      </w:r>
    </w:p>
    <w:p>
      <w:pPr>
        <w:keepNext w:val="0"/>
        <w:keepLines w:val="0"/>
        <w:pageBreakBefore w:val="0"/>
        <w:widowControl w:val="0"/>
        <w:kinsoku/>
        <w:overflowPunct/>
        <w:topLinePunct w:val="0"/>
        <w:autoSpaceDE/>
        <w:autoSpaceDN/>
        <w:bidi w:val="0"/>
        <w:spacing w:beforeLines="0" w:afterLines="0" w:line="560" w:lineRule="exact"/>
        <w:ind w:firstLine="629"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八</w:t>
      </w:r>
      <w:r>
        <w:rPr>
          <w:rFonts w:hint="eastAsia" w:ascii="仿宋_GB2312" w:hAnsi="仿宋_GB2312" w:eastAsia="仿宋_GB2312" w:cs="仿宋_GB2312"/>
          <w:b/>
          <w:color w:val="auto"/>
          <w:sz w:val="32"/>
          <w:szCs w:val="32"/>
        </w:rPr>
        <w:t>条</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color w:val="auto"/>
          <w:sz w:val="32"/>
          <w:szCs w:val="32"/>
        </w:rPr>
        <w:t>本协议涉及的所有事项应在符合法律、法规、规章、行政规范性文件以及相关政策规定、在政府的职权范围内且符合各方的业务审批条件和办理程序的前提下进行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overflowPunct/>
        <w:topLinePunct w:val="0"/>
        <w:autoSpaceDE/>
        <w:autoSpaceDN/>
        <w:bidi w:val="0"/>
        <w:spacing w:beforeLines="0" w:afterLines="0"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w:t>
      </w: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条</w:t>
      </w:r>
      <w:r>
        <w:rPr>
          <w:rFonts w:hint="eastAsia" w:ascii="仿宋_GB2312" w:eastAsia="仿宋_GB2312" w:cs="仿宋"/>
          <w:color w:val="auto"/>
          <w:sz w:val="32"/>
          <w:szCs w:val="32"/>
          <w:lang w:val="en-US" w:eastAsia="zh-CN"/>
        </w:rPr>
        <w:t xml:space="preserve"> </w:t>
      </w:r>
      <w:r>
        <w:rPr>
          <w:rFonts w:hint="eastAsia" w:ascii="仿宋_GB2312" w:hAnsi="仿宋_GB2312" w:eastAsia="仿宋_GB2312" w:cs="仿宋_GB2312"/>
          <w:color w:val="auto"/>
          <w:sz w:val="32"/>
          <w:szCs w:val="32"/>
        </w:rPr>
        <w:t>本协议一式</w:t>
      </w:r>
      <w:r>
        <w:rPr>
          <w:rFonts w:hint="eastAsia" w:ascii="仿宋_GB2312" w:hAnsi="仿宋_GB2312" w:eastAsia="仿宋_GB2312" w:cs="仿宋_GB2312"/>
          <w:color w:val="auto"/>
          <w:sz w:val="32"/>
          <w:szCs w:val="32"/>
          <w:u w:val="single"/>
          <w:lang w:val="en-US" w:eastAsia="zh-CN"/>
        </w:rPr>
        <w:t>肆</w:t>
      </w:r>
      <w:r>
        <w:rPr>
          <w:rFonts w:hint="eastAsia" w:ascii="仿宋_GB2312" w:hAnsi="仿宋_GB2312" w:eastAsia="仿宋_GB2312" w:cs="仿宋_GB2312"/>
          <w:color w:val="auto"/>
          <w:sz w:val="32"/>
          <w:szCs w:val="32"/>
          <w:u w:val="single"/>
        </w:rPr>
        <w:t>份</w:t>
      </w:r>
      <w:r>
        <w:rPr>
          <w:rFonts w:hint="eastAsia" w:ascii="仿宋_GB2312" w:hAnsi="仿宋_GB2312" w:eastAsia="仿宋_GB2312" w:cs="仿宋_GB2312"/>
          <w:color w:val="auto"/>
          <w:sz w:val="32"/>
          <w:szCs w:val="32"/>
        </w:rPr>
        <w:t>，双方各执</w:t>
      </w:r>
      <w:r>
        <w:rPr>
          <w:rFonts w:hint="eastAsia" w:ascii="仿宋_GB2312" w:hAnsi="仿宋_GB2312" w:eastAsia="仿宋_GB2312" w:cs="仿宋_GB2312"/>
          <w:color w:val="auto"/>
          <w:sz w:val="32"/>
          <w:szCs w:val="32"/>
          <w:u w:val="single"/>
          <w:lang w:val="en-US" w:eastAsia="zh-CN"/>
        </w:rPr>
        <w:t>贰</w:t>
      </w:r>
      <w:r>
        <w:rPr>
          <w:rFonts w:hint="eastAsia" w:ascii="仿宋_GB2312" w:hAnsi="仿宋_GB2312" w:eastAsia="仿宋_GB2312" w:cs="仿宋_GB2312"/>
          <w:color w:val="auto"/>
          <w:sz w:val="32"/>
          <w:szCs w:val="32"/>
          <w:u w:val="single"/>
        </w:rPr>
        <w:t>份</w:t>
      </w:r>
      <w:r>
        <w:rPr>
          <w:rFonts w:hint="eastAsia" w:ascii="仿宋_GB2312" w:hAnsi="仿宋_GB2312" w:eastAsia="仿宋_GB2312" w:cs="仿宋_GB2312"/>
          <w:color w:val="auto"/>
          <w:sz w:val="32"/>
          <w:szCs w:val="32"/>
        </w:rPr>
        <w:t>，本协议自甲、乙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法定代表人或授权代表</w:t>
      </w:r>
      <w:r>
        <w:rPr>
          <w:rFonts w:hint="eastAsia" w:ascii="仿宋_GB2312" w:hAnsi="仿宋_GB2312" w:eastAsia="仿宋_GB2312" w:cs="仿宋_GB2312"/>
          <w:color w:val="auto"/>
          <w:sz w:val="32"/>
          <w:szCs w:val="32"/>
          <w:lang w:val="en-US" w:eastAsia="zh-CN"/>
        </w:rPr>
        <w:t>签章</w:t>
      </w:r>
      <w:r>
        <w:rPr>
          <w:rFonts w:hint="eastAsia" w:ascii="仿宋_GB2312" w:hAnsi="仿宋_GB2312" w:eastAsia="仿宋_GB2312" w:cs="仿宋_GB2312"/>
          <w:color w:val="auto"/>
          <w:sz w:val="32"/>
          <w:szCs w:val="32"/>
        </w:rPr>
        <w:t>并加盖公章之日起生效, 有效期五年。本协议履行期间，甲、乙</w:t>
      </w:r>
      <w:r>
        <w:rPr>
          <w:rFonts w:hint="eastAsia" w:ascii="仿宋_GB2312" w:hAnsi="仿宋_GB2312" w:eastAsia="仿宋_GB2312" w:cs="仿宋_GB2312"/>
          <w:color w:val="auto"/>
          <w:sz w:val="32"/>
          <w:szCs w:val="32"/>
          <w:lang w:eastAsia="zh-CN"/>
        </w:rPr>
        <w:t>双方</w:t>
      </w:r>
      <w:r>
        <w:rPr>
          <w:rFonts w:hint="eastAsia" w:ascii="仿宋_GB2312" w:hAnsi="仿宋_GB2312" w:eastAsia="仿宋_GB2312" w:cs="仿宋_GB2312"/>
          <w:color w:val="auto"/>
          <w:sz w:val="32"/>
          <w:szCs w:val="32"/>
        </w:rPr>
        <w:t>如有未尽事宜或需变更、调整的事项，可另行协商签订补充协议。</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auto"/>
          <w:sz w:val="32"/>
          <w:szCs w:val="32"/>
        </w:rPr>
      </w:pPr>
    </w:p>
    <w:tbl>
      <w:tblPr>
        <w:tblStyle w:val="9"/>
        <w:tblW w:w="8957" w:type="dxa"/>
        <w:tblInd w:w="-176" w:type="dxa"/>
        <w:tblLayout w:type="fixed"/>
        <w:tblCellMar>
          <w:top w:w="0" w:type="dxa"/>
          <w:left w:w="108" w:type="dxa"/>
          <w:bottom w:w="0" w:type="dxa"/>
          <w:right w:w="108" w:type="dxa"/>
        </w:tblCellMar>
      </w:tblPr>
      <w:tblGrid>
        <w:gridCol w:w="4877"/>
        <w:gridCol w:w="4080"/>
      </w:tblGrid>
      <w:tr>
        <w:tblPrEx>
          <w:tblCellMar>
            <w:top w:w="0" w:type="dxa"/>
            <w:left w:w="108" w:type="dxa"/>
            <w:bottom w:w="0" w:type="dxa"/>
            <w:right w:w="108" w:type="dxa"/>
          </w:tblCellMar>
        </w:tblPrEx>
        <w:trPr>
          <w:trHeight w:val="3855" w:hRule="atLeast"/>
        </w:trPr>
        <w:tc>
          <w:tcPr>
            <w:tcW w:w="4877" w:type="dxa"/>
            <w:noWrap w:val="0"/>
            <w:vAlign w:val="top"/>
          </w:tcPr>
          <w:p>
            <w:pPr>
              <w:spacing w:beforeLines="0" w:afterLines="0" w:line="560" w:lineRule="exact"/>
              <w:rPr>
                <w:rFonts w:hint="eastAsia" w:ascii="仿宋_GB2312" w:hAnsi="New Century Schoolbook" w:eastAsia="仿宋_GB2312"/>
                <w:color w:val="auto"/>
                <w:sz w:val="32"/>
                <w:szCs w:val="32"/>
              </w:rPr>
            </w:pPr>
            <w:r>
              <w:rPr>
                <w:rFonts w:hint="eastAsia" w:ascii="仿宋_GB2312" w:hAnsi="New Century Schoolbook" w:eastAsia="仿宋_GB2312"/>
                <w:color w:val="auto"/>
                <w:sz w:val="32"/>
                <w:szCs w:val="32"/>
              </w:rPr>
              <w:t>（本页为签署页）</w:t>
            </w:r>
          </w:p>
          <w:p>
            <w:pPr>
              <w:spacing w:beforeLines="0" w:afterLines="0" w:line="560" w:lineRule="exact"/>
              <w:rPr>
                <w:rFonts w:hint="eastAsia" w:ascii="仿宋" w:hAnsi="仿宋" w:eastAsia="仿宋"/>
                <w:color w:val="auto"/>
                <w:sz w:val="32"/>
                <w:szCs w:val="32"/>
              </w:rPr>
            </w:pPr>
          </w:p>
          <w:p>
            <w:pPr>
              <w:spacing w:beforeLines="0" w:afterLines="0" w:line="560" w:lineRule="exact"/>
              <w:rPr>
                <w:rFonts w:hint="eastAsia" w:ascii="宋体" w:hAnsi="宋体"/>
                <w:b/>
                <w:color w:val="auto"/>
                <w:sz w:val="56"/>
                <w:szCs w:val="32"/>
              </w:rPr>
            </w:pPr>
            <w:r>
              <w:rPr>
                <w:rFonts w:hint="eastAsia" w:ascii="仿宋" w:hAnsi="仿宋" w:eastAsia="仿宋"/>
                <w:color w:val="auto"/>
                <w:sz w:val="32"/>
                <w:szCs w:val="32"/>
              </w:rPr>
              <w:t>甲方：广州市增城区人民政府</w:t>
            </w:r>
          </w:p>
          <w:p>
            <w:pPr>
              <w:spacing w:beforeLines="0" w:afterLines="0" w:line="560" w:lineRule="exact"/>
              <w:rPr>
                <w:rFonts w:hint="eastAsia" w:ascii="仿宋" w:hAnsi="仿宋" w:eastAsia="仿宋"/>
                <w:color w:val="auto"/>
                <w:sz w:val="32"/>
                <w:szCs w:val="32"/>
              </w:rPr>
            </w:pPr>
          </w:p>
          <w:p>
            <w:pPr>
              <w:spacing w:beforeLines="0" w:afterLines="0" w:line="560" w:lineRule="exact"/>
              <w:rPr>
                <w:rFonts w:ascii="仿宋" w:hAnsi="仿宋" w:eastAsia="仿宋"/>
                <w:color w:val="auto"/>
                <w:sz w:val="32"/>
                <w:szCs w:val="32"/>
              </w:rPr>
            </w:pPr>
          </w:p>
          <w:p>
            <w:pPr>
              <w:spacing w:beforeLines="0" w:afterLines="0" w:line="560" w:lineRule="exact"/>
              <w:rPr>
                <w:rFonts w:hint="eastAsia" w:ascii="仿宋" w:hAnsi="仿宋" w:eastAsia="仿宋"/>
                <w:color w:val="auto"/>
                <w:sz w:val="32"/>
                <w:szCs w:val="32"/>
              </w:rPr>
            </w:pPr>
          </w:p>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（签章）</w:t>
            </w:r>
          </w:p>
        </w:tc>
        <w:tc>
          <w:tcPr>
            <w:tcW w:w="4080" w:type="dxa"/>
            <w:noWrap w:val="0"/>
            <w:vAlign w:val="top"/>
          </w:tcPr>
          <w:p>
            <w:pPr>
              <w:spacing w:beforeLines="0" w:afterLines="0" w:line="560" w:lineRule="exact"/>
              <w:rPr>
                <w:rFonts w:hint="eastAsia" w:ascii="仿宋" w:hAnsi="仿宋" w:eastAsia="仿宋"/>
                <w:color w:val="auto"/>
                <w:sz w:val="32"/>
                <w:szCs w:val="32"/>
              </w:rPr>
            </w:pPr>
          </w:p>
          <w:p>
            <w:pPr>
              <w:spacing w:beforeLines="0" w:afterLines="0" w:line="560" w:lineRule="exact"/>
              <w:jc w:val="left"/>
              <w:rPr>
                <w:rFonts w:hint="eastAsia" w:ascii="仿宋_GB2312" w:hAnsi="宋体" w:eastAsia="仿宋_GB2312"/>
                <w:bCs/>
                <w:color w:val="auto"/>
                <w:kern w:val="28"/>
                <w:sz w:val="32"/>
                <w:szCs w:val="32"/>
              </w:rPr>
            </w:pPr>
          </w:p>
          <w:p>
            <w:pPr>
              <w:spacing w:beforeLines="0" w:afterLines="0" w:line="560" w:lineRule="exact"/>
              <w:jc w:val="left"/>
              <w:rPr>
                <w:rFonts w:hint="eastAsia" w:ascii="仿宋_GB2312" w:hAnsi="宋体" w:eastAsia="仿宋_GB2312"/>
                <w:bCs/>
                <w:color w:val="auto"/>
                <w:kern w:val="28"/>
                <w:sz w:val="32"/>
                <w:szCs w:val="32"/>
              </w:rPr>
            </w:pPr>
            <w:r>
              <w:rPr>
                <w:rFonts w:hint="eastAsia" w:ascii="仿宋_GB2312" w:hAnsi="宋体" w:eastAsia="仿宋_GB2312"/>
                <w:bCs/>
                <w:color w:val="auto"/>
                <w:kern w:val="28"/>
                <w:sz w:val="32"/>
                <w:szCs w:val="32"/>
              </w:rPr>
              <w:t>乙方：中国银行股份有限公司城乡融合发展试验区广州增城分行</w:t>
            </w:r>
          </w:p>
          <w:p>
            <w:pPr>
              <w:spacing w:beforeLines="0" w:afterLines="0" w:line="560" w:lineRule="exact"/>
              <w:jc w:val="both"/>
              <w:rPr>
                <w:rFonts w:hint="eastAsia" w:ascii="仿宋_GB2312" w:eastAsia="仿宋_GB2312" w:cs="仿宋_GB2312"/>
                <w:color w:val="auto"/>
                <w:sz w:val="32"/>
                <w:szCs w:val="32"/>
              </w:rPr>
            </w:pPr>
          </w:p>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（签章）</w:t>
            </w:r>
          </w:p>
        </w:tc>
      </w:tr>
      <w:tr>
        <w:tblPrEx>
          <w:tblCellMar>
            <w:top w:w="0" w:type="dxa"/>
            <w:left w:w="108" w:type="dxa"/>
            <w:bottom w:w="0" w:type="dxa"/>
            <w:right w:w="108" w:type="dxa"/>
          </w:tblCellMar>
        </w:tblPrEx>
        <w:trPr>
          <w:trHeight w:val="3441" w:hRule="atLeast"/>
        </w:trPr>
        <w:tc>
          <w:tcPr>
            <w:tcW w:w="4877" w:type="dxa"/>
            <w:noWrap w:val="0"/>
            <w:vAlign w:val="center"/>
          </w:tcPr>
          <w:p>
            <w:pPr>
              <w:spacing w:beforeLines="0" w:afterLines="0" w:line="560" w:lineRule="exact"/>
              <w:rPr>
                <w:rFonts w:hint="eastAsia" w:ascii="仿宋" w:hAnsi="仿宋" w:eastAsia="仿宋"/>
                <w:color w:val="auto"/>
                <w:sz w:val="32"/>
                <w:szCs w:val="32"/>
              </w:rPr>
            </w:pPr>
            <w:r>
              <w:rPr>
                <w:rFonts w:hint="eastAsia" w:ascii="仿宋" w:hAnsi="仿宋" w:eastAsia="仿宋"/>
                <w:color w:val="auto"/>
                <w:sz w:val="32"/>
                <w:szCs w:val="32"/>
              </w:rPr>
              <w:t>甲方</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eastAsia="zh-CN"/>
              </w:rPr>
              <w:t>或</w:t>
            </w:r>
            <w:r>
              <w:rPr>
                <w:rFonts w:hint="eastAsia" w:ascii="仿宋" w:hAnsi="仿宋" w:eastAsia="仿宋"/>
                <w:color w:val="auto"/>
                <w:sz w:val="32"/>
                <w:szCs w:val="32"/>
              </w:rPr>
              <w:t>授权代</w:t>
            </w:r>
          </w:p>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表：</w:t>
            </w:r>
          </w:p>
        </w:tc>
        <w:tc>
          <w:tcPr>
            <w:tcW w:w="4080" w:type="dxa"/>
            <w:noWrap w:val="0"/>
            <w:vAlign w:val="center"/>
          </w:tcPr>
          <w:p>
            <w:pPr>
              <w:spacing w:beforeLines="0" w:afterLines="0" w:line="560" w:lineRule="exact"/>
              <w:rPr>
                <w:rFonts w:hint="eastAsia" w:ascii="仿宋" w:hAnsi="仿宋" w:eastAsia="仿宋"/>
                <w:color w:val="auto"/>
                <w:sz w:val="32"/>
                <w:szCs w:val="32"/>
              </w:rPr>
            </w:pPr>
            <w:r>
              <w:rPr>
                <w:rFonts w:hint="eastAsia" w:ascii="仿宋" w:hAnsi="仿宋" w:eastAsia="仿宋"/>
                <w:color w:val="auto"/>
                <w:sz w:val="32"/>
                <w:szCs w:val="32"/>
              </w:rPr>
              <w:t>乙方法定代表人</w:t>
            </w:r>
            <w:r>
              <w:rPr>
                <w:rFonts w:hint="eastAsia" w:ascii="仿宋" w:hAnsi="仿宋" w:eastAsia="仿宋"/>
                <w:color w:val="auto"/>
                <w:sz w:val="32"/>
                <w:szCs w:val="32"/>
                <w:lang w:eastAsia="zh-CN"/>
              </w:rPr>
              <w:t>或</w:t>
            </w:r>
            <w:r>
              <w:rPr>
                <w:rFonts w:hint="eastAsia" w:ascii="仿宋" w:hAnsi="仿宋" w:eastAsia="仿宋"/>
                <w:color w:val="auto"/>
                <w:sz w:val="32"/>
                <w:szCs w:val="32"/>
              </w:rPr>
              <w:t>授权代</w:t>
            </w:r>
          </w:p>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表：</w:t>
            </w:r>
          </w:p>
        </w:tc>
      </w:tr>
      <w:tr>
        <w:tblPrEx>
          <w:tblCellMar>
            <w:top w:w="0" w:type="dxa"/>
            <w:left w:w="108" w:type="dxa"/>
            <w:bottom w:w="0" w:type="dxa"/>
            <w:right w:w="108" w:type="dxa"/>
          </w:tblCellMar>
        </w:tblPrEx>
        <w:trPr>
          <w:trHeight w:val="961" w:hRule="atLeast"/>
        </w:trPr>
        <w:tc>
          <w:tcPr>
            <w:tcW w:w="4877" w:type="dxa"/>
            <w:noWrap w:val="0"/>
            <w:vAlign w:val="center"/>
          </w:tcPr>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　　　年　　月　　日</w:t>
            </w:r>
          </w:p>
        </w:tc>
        <w:tc>
          <w:tcPr>
            <w:tcW w:w="4080" w:type="dxa"/>
            <w:noWrap w:val="0"/>
            <w:vAlign w:val="center"/>
          </w:tcPr>
          <w:p>
            <w:pPr>
              <w:spacing w:beforeLines="0" w:afterLines="0" w:line="560" w:lineRule="exact"/>
              <w:rPr>
                <w:rFonts w:ascii="仿宋" w:hAnsi="仿宋" w:eastAsia="仿宋"/>
                <w:color w:val="auto"/>
                <w:sz w:val="32"/>
                <w:szCs w:val="32"/>
              </w:rPr>
            </w:pPr>
            <w:r>
              <w:rPr>
                <w:rFonts w:hint="eastAsia" w:ascii="仿宋" w:hAnsi="仿宋" w:eastAsia="仿宋"/>
                <w:color w:val="auto"/>
                <w:sz w:val="32"/>
                <w:szCs w:val="32"/>
              </w:rPr>
              <w:t>　　　年　　月　　日</w:t>
            </w:r>
          </w:p>
        </w:tc>
      </w:tr>
    </w:tbl>
    <w:p>
      <w:pPr>
        <w:keepNext w:val="0"/>
        <w:keepLines w:val="0"/>
        <w:pageBreakBefore w:val="0"/>
        <w:kinsoku/>
        <w:wordWrap/>
        <w:overflowPunct/>
        <w:topLinePunct w:val="0"/>
        <w:bidi w:val="0"/>
        <w:snapToGrid/>
        <w:spacing w:line="600" w:lineRule="exact"/>
        <w:ind w:right="0" w:rightChars="0"/>
        <w:textAlignment w:val="auto"/>
        <w:outlineLvl w:val="9"/>
        <w:rPr>
          <w:rFonts w:hint="eastAsia" w:ascii="仿宋_GB2312" w:hAnsi="仿宋_GB2312" w:eastAsia="仿宋_GB2312" w:cs="仿宋_GB2312"/>
          <w:color w:val="auto"/>
          <w:sz w:val="32"/>
          <w:szCs w:val="32"/>
        </w:rPr>
      </w:pPr>
    </w:p>
    <w:sectPr>
      <w:headerReference r:id="rId3" w:type="default"/>
      <w:footerReference r:id="rId4" w:type="default"/>
      <w:pgSz w:w="11906" w:h="16838"/>
      <w:pgMar w:top="1134" w:right="1800" w:bottom="1134"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New Century Schoolbook">
    <w:altName w:val="Times New Roman"/>
    <w:panose1 w:val="02040603050505020303"/>
    <w:charset w:val="00"/>
    <w:family w:val="roman"/>
    <w:pitch w:val="default"/>
    <w:sig w:usb0="00000000" w:usb1="00000000" w:usb2="00000000" w:usb3="00000000" w:csb0="00000093"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r2XUwgEAAGkDAAAOAAAAAAAAAAEAIAAA&#10;ADQBAABkcnMvZTJvRG9jLnhtbFBLBQYAAAAABgAGAFkBAABo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44C0"/>
    <w:multiLevelType w:val="singleLevel"/>
    <w:tmpl w:val="805E44C0"/>
    <w:lvl w:ilvl="0" w:tentative="0">
      <w:start w:val="1"/>
      <w:numFmt w:val="chineseCounting"/>
      <w:suff w:val="space"/>
      <w:lvlText w:val="第%1章"/>
      <w:lvlJc w:val="left"/>
      <w:pPr>
        <w:ind w:left="-6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MWQ1ZmE2NDFiMGI0ZThjMzZiZDlmYzE5MGZkNTIifQ=="/>
  </w:docVars>
  <w:rsids>
    <w:rsidRoot w:val="00000000"/>
    <w:rsid w:val="01C71580"/>
    <w:rsid w:val="02071BEE"/>
    <w:rsid w:val="0224088B"/>
    <w:rsid w:val="02AB1E13"/>
    <w:rsid w:val="02F254D6"/>
    <w:rsid w:val="03886EA6"/>
    <w:rsid w:val="03CD45E9"/>
    <w:rsid w:val="055918C1"/>
    <w:rsid w:val="05F83FD5"/>
    <w:rsid w:val="06D371C2"/>
    <w:rsid w:val="07787A7B"/>
    <w:rsid w:val="07FF0BAE"/>
    <w:rsid w:val="080D2635"/>
    <w:rsid w:val="08265257"/>
    <w:rsid w:val="08F05648"/>
    <w:rsid w:val="09A51184"/>
    <w:rsid w:val="0A096FE4"/>
    <w:rsid w:val="0A3E3B3F"/>
    <w:rsid w:val="0A573E1F"/>
    <w:rsid w:val="0B072C96"/>
    <w:rsid w:val="0C2B2D4E"/>
    <w:rsid w:val="0C543356"/>
    <w:rsid w:val="0C6B58DA"/>
    <w:rsid w:val="0D197A99"/>
    <w:rsid w:val="0DA3476E"/>
    <w:rsid w:val="0EAE5CC2"/>
    <w:rsid w:val="0F3C61BE"/>
    <w:rsid w:val="0F49076D"/>
    <w:rsid w:val="100548A9"/>
    <w:rsid w:val="103916A4"/>
    <w:rsid w:val="11801C3E"/>
    <w:rsid w:val="119D7F6A"/>
    <w:rsid w:val="120148AD"/>
    <w:rsid w:val="12DD4AF8"/>
    <w:rsid w:val="143826BE"/>
    <w:rsid w:val="14870C42"/>
    <w:rsid w:val="160F3814"/>
    <w:rsid w:val="17214E3E"/>
    <w:rsid w:val="17CF69A9"/>
    <w:rsid w:val="180C58B7"/>
    <w:rsid w:val="18FE615C"/>
    <w:rsid w:val="19025ECE"/>
    <w:rsid w:val="19590744"/>
    <w:rsid w:val="19630895"/>
    <w:rsid w:val="1967274D"/>
    <w:rsid w:val="19C1014B"/>
    <w:rsid w:val="1A1D2EA2"/>
    <w:rsid w:val="1A320416"/>
    <w:rsid w:val="1A5A0C8E"/>
    <w:rsid w:val="1AAB7C32"/>
    <w:rsid w:val="1BFE07A3"/>
    <w:rsid w:val="1C197A6B"/>
    <w:rsid w:val="1C242D0A"/>
    <w:rsid w:val="1C932DED"/>
    <w:rsid w:val="1D3A4661"/>
    <w:rsid w:val="1D533413"/>
    <w:rsid w:val="1E090BA8"/>
    <w:rsid w:val="1EA14125"/>
    <w:rsid w:val="1EA20DD4"/>
    <w:rsid w:val="1EAB7E2E"/>
    <w:rsid w:val="1F833C45"/>
    <w:rsid w:val="2039491F"/>
    <w:rsid w:val="20437138"/>
    <w:rsid w:val="20DB096F"/>
    <w:rsid w:val="218264D0"/>
    <w:rsid w:val="22451955"/>
    <w:rsid w:val="226755B7"/>
    <w:rsid w:val="231C7894"/>
    <w:rsid w:val="23621E38"/>
    <w:rsid w:val="244A7DCD"/>
    <w:rsid w:val="25177C7C"/>
    <w:rsid w:val="25884A5F"/>
    <w:rsid w:val="25D34489"/>
    <w:rsid w:val="2685541B"/>
    <w:rsid w:val="26C41C7E"/>
    <w:rsid w:val="26EF19BA"/>
    <w:rsid w:val="286C4D7D"/>
    <w:rsid w:val="28943577"/>
    <w:rsid w:val="2A032D5E"/>
    <w:rsid w:val="2A7D0215"/>
    <w:rsid w:val="2B0D6415"/>
    <w:rsid w:val="2B595ACB"/>
    <w:rsid w:val="2B5E0024"/>
    <w:rsid w:val="2BD06601"/>
    <w:rsid w:val="2BE32681"/>
    <w:rsid w:val="2C3B6F67"/>
    <w:rsid w:val="2D35110F"/>
    <w:rsid w:val="2E917EC8"/>
    <w:rsid w:val="2E9A3398"/>
    <w:rsid w:val="2EAD02B0"/>
    <w:rsid w:val="2EE00A14"/>
    <w:rsid w:val="2F1F1EF7"/>
    <w:rsid w:val="2F900882"/>
    <w:rsid w:val="2FA818A7"/>
    <w:rsid w:val="302F3F87"/>
    <w:rsid w:val="306D58C2"/>
    <w:rsid w:val="30781808"/>
    <w:rsid w:val="308633A5"/>
    <w:rsid w:val="31635B61"/>
    <w:rsid w:val="316C3D05"/>
    <w:rsid w:val="318A0A0E"/>
    <w:rsid w:val="31975DEE"/>
    <w:rsid w:val="320E382B"/>
    <w:rsid w:val="333C07CE"/>
    <w:rsid w:val="347D3C85"/>
    <w:rsid w:val="375E7627"/>
    <w:rsid w:val="37664E27"/>
    <w:rsid w:val="377C1857"/>
    <w:rsid w:val="37952637"/>
    <w:rsid w:val="37F033D4"/>
    <w:rsid w:val="387F12CE"/>
    <w:rsid w:val="38BE3C70"/>
    <w:rsid w:val="38F5613A"/>
    <w:rsid w:val="390377AF"/>
    <w:rsid w:val="39CC2767"/>
    <w:rsid w:val="3A390894"/>
    <w:rsid w:val="3A3C2294"/>
    <w:rsid w:val="3A562711"/>
    <w:rsid w:val="3B16085D"/>
    <w:rsid w:val="3BD40424"/>
    <w:rsid w:val="3C12097B"/>
    <w:rsid w:val="3C37397E"/>
    <w:rsid w:val="3C3F748A"/>
    <w:rsid w:val="3C623361"/>
    <w:rsid w:val="3D065EF4"/>
    <w:rsid w:val="3D231C22"/>
    <w:rsid w:val="3D6C5811"/>
    <w:rsid w:val="3D9A4E9F"/>
    <w:rsid w:val="3F132820"/>
    <w:rsid w:val="3F4E6184"/>
    <w:rsid w:val="3F8E1903"/>
    <w:rsid w:val="40D100C2"/>
    <w:rsid w:val="41C7193F"/>
    <w:rsid w:val="41F30597"/>
    <w:rsid w:val="422A17F4"/>
    <w:rsid w:val="42F35743"/>
    <w:rsid w:val="4418160D"/>
    <w:rsid w:val="442C180F"/>
    <w:rsid w:val="44567382"/>
    <w:rsid w:val="45401E19"/>
    <w:rsid w:val="45444E95"/>
    <w:rsid w:val="456A3D6A"/>
    <w:rsid w:val="45E2627A"/>
    <w:rsid w:val="47C95F24"/>
    <w:rsid w:val="47DF038D"/>
    <w:rsid w:val="47F52856"/>
    <w:rsid w:val="48606207"/>
    <w:rsid w:val="495C3C27"/>
    <w:rsid w:val="496E399C"/>
    <w:rsid w:val="4B14528A"/>
    <w:rsid w:val="4B2252FC"/>
    <w:rsid w:val="4C3429B7"/>
    <w:rsid w:val="4CDC0078"/>
    <w:rsid w:val="4D122E13"/>
    <w:rsid w:val="4D277A96"/>
    <w:rsid w:val="4DB01F22"/>
    <w:rsid w:val="4E0A0B78"/>
    <w:rsid w:val="4E501E54"/>
    <w:rsid w:val="4EBE4366"/>
    <w:rsid w:val="4F6C2452"/>
    <w:rsid w:val="4F927D85"/>
    <w:rsid w:val="4FAE0365"/>
    <w:rsid w:val="50254A1E"/>
    <w:rsid w:val="50481A8A"/>
    <w:rsid w:val="50CB15E2"/>
    <w:rsid w:val="50F343A1"/>
    <w:rsid w:val="523C7DEA"/>
    <w:rsid w:val="52A229A3"/>
    <w:rsid w:val="535C42C6"/>
    <w:rsid w:val="539F13ED"/>
    <w:rsid w:val="53F62BC8"/>
    <w:rsid w:val="548959F6"/>
    <w:rsid w:val="54F36036"/>
    <w:rsid w:val="550E3F42"/>
    <w:rsid w:val="552405E1"/>
    <w:rsid w:val="558145F2"/>
    <w:rsid w:val="55D62EAF"/>
    <w:rsid w:val="562468CA"/>
    <w:rsid w:val="566D507B"/>
    <w:rsid w:val="58224D77"/>
    <w:rsid w:val="59171D04"/>
    <w:rsid w:val="591C368D"/>
    <w:rsid w:val="59394868"/>
    <w:rsid w:val="5A4F26DC"/>
    <w:rsid w:val="5A8B4857"/>
    <w:rsid w:val="5BC21A99"/>
    <w:rsid w:val="5BFE297D"/>
    <w:rsid w:val="5D825EA9"/>
    <w:rsid w:val="5E2B3B7E"/>
    <w:rsid w:val="5E301F2E"/>
    <w:rsid w:val="5E3A1DF1"/>
    <w:rsid w:val="5E844624"/>
    <w:rsid w:val="5E8B02BF"/>
    <w:rsid w:val="5E9F427B"/>
    <w:rsid w:val="5EA03A89"/>
    <w:rsid w:val="5ECC3140"/>
    <w:rsid w:val="5EEC7B1E"/>
    <w:rsid w:val="5EF74537"/>
    <w:rsid w:val="5F3DBA7D"/>
    <w:rsid w:val="5F832602"/>
    <w:rsid w:val="5FD79BB5"/>
    <w:rsid w:val="5FEB0E1E"/>
    <w:rsid w:val="605F64CA"/>
    <w:rsid w:val="60F9410B"/>
    <w:rsid w:val="61135631"/>
    <w:rsid w:val="613B7161"/>
    <w:rsid w:val="61727776"/>
    <w:rsid w:val="61C53E10"/>
    <w:rsid w:val="624E6603"/>
    <w:rsid w:val="62695C0F"/>
    <w:rsid w:val="628A21B5"/>
    <w:rsid w:val="641509F3"/>
    <w:rsid w:val="64AD1367"/>
    <w:rsid w:val="6513717A"/>
    <w:rsid w:val="654F4FBA"/>
    <w:rsid w:val="65603655"/>
    <w:rsid w:val="65DD5622"/>
    <w:rsid w:val="65E240AB"/>
    <w:rsid w:val="66026169"/>
    <w:rsid w:val="66CE4706"/>
    <w:rsid w:val="66DC4669"/>
    <w:rsid w:val="67073DC9"/>
    <w:rsid w:val="67196FBE"/>
    <w:rsid w:val="67F42F9D"/>
    <w:rsid w:val="69706E65"/>
    <w:rsid w:val="6AF12914"/>
    <w:rsid w:val="6AF15983"/>
    <w:rsid w:val="6B620979"/>
    <w:rsid w:val="6B7D6433"/>
    <w:rsid w:val="6B9D59B8"/>
    <w:rsid w:val="6BFF44D6"/>
    <w:rsid w:val="6C855FB1"/>
    <w:rsid w:val="6CAD6BDB"/>
    <w:rsid w:val="6DF22F0E"/>
    <w:rsid w:val="6EB52FDF"/>
    <w:rsid w:val="6F77706E"/>
    <w:rsid w:val="6FDD3FC0"/>
    <w:rsid w:val="70433159"/>
    <w:rsid w:val="70712796"/>
    <w:rsid w:val="70BB02EB"/>
    <w:rsid w:val="712A1D74"/>
    <w:rsid w:val="724F1657"/>
    <w:rsid w:val="72BC0EE9"/>
    <w:rsid w:val="72E70458"/>
    <w:rsid w:val="72E7302F"/>
    <w:rsid w:val="732B7071"/>
    <w:rsid w:val="73B95842"/>
    <w:rsid w:val="73FF81A9"/>
    <w:rsid w:val="749A7324"/>
    <w:rsid w:val="74CC300B"/>
    <w:rsid w:val="74D72B76"/>
    <w:rsid w:val="759D5D2A"/>
    <w:rsid w:val="75A107F2"/>
    <w:rsid w:val="76630250"/>
    <w:rsid w:val="7697383A"/>
    <w:rsid w:val="77467EF5"/>
    <w:rsid w:val="77995D6A"/>
    <w:rsid w:val="786021E2"/>
    <w:rsid w:val="78822642"/>
    <w:rsid w:val="788A4951"/>
    <w:rsid w:val="79200FF4"/>
    <w:rsid w:val="79385F42"/>
    <w:rsid w:val="794B159A"/>
    <w:rsid w:val="79561E5D"/>
    <w:rsid w:val="79E7521E"/>
    <w:rsid w:val="7A7714EC"/>
    <w:rsid w:val="7AFF76D3"/>
    <w:rsid w:val="7B265A4F"/>
    <w:rsid w:val="7B2948CA"/>
    <w:rsid w:val="7D1A64A4"/>
    <w:rsid w:val="7D376F0E"/>
    <w:rsid w:val="7DDB2DAE"/>
    <w:rsid w:val="7FBB060A"/>
    <w:rsid w:val="7FE704EF"/>
    <w:rsid w:val="7FF76877"/>
    <w:rsid w:val="9FFC7B7C"/>
    <w:rsid w:val="CEEED0C6"/>
    <w:rsid w:val="F73F8ED3"/>
    <w:rsid w:val="F7E70A27"/>
    <w:rsid w:val="F7FF0A8F"/>
    <w:rsid w:val="FF4E06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rPr>
  </w:style>
  <w:style w:type="paragraph" w:styleId="4">
    <w:name w:val="Body Text Indent"/>
    <w:basedOn w:val="1"/>
    <w:qFormat/>
    <w:uiPriority w:val="0"/>
    <w:pPr>
      <w:spacing w:line="360" w:lineRule="auto"/>
      <w:ind w:firstLine="640" w:firstLineChars="200"/>
    </w:pPr>
    <w:rPr>
      <w:rFonts w:ascii="仿宋_GB2312"/>
      <w:szCs w:val="32"/>
    </w:rPr>
  </w:style>
  <w:style w:type="paragraph" w:styleId="5">
    <w:name w:val="Body Text Indent 2"/>
    <w:basedOn w:val="1"/>
    <w:qFormat/>
    <w:uiPriority w:val="0"/>
    <w:pPr>
      <w:spacing w:after="120" w:afterLines="0" w:line="480" w:lineRule="auto"/>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qFormat/>
    <w:uiPriority w:val="0"/>
    <w:rPr>
      <w:rFonts w:ascii="Times New Roman" w:hAnsi="Times New Roman" w:eastAsia="宋体" w:cs="Times New Roman"/>
    </w:rPr>
  </w:style>
  <w:style w:type="paragraph" w:customStyle="1" w:styleId="12">
    <w:name w:val="Body text|1"/>
    <w:basedOn w:val="1"/>
    <w:qFormat/>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swt</dc:creator>
  <cp:lastModifiedBy>Fei.Z</cp:lastModifiedBy>
  <cp:lastPrinted>2023-03-23T08:16:00Z</cp:lastPrinted>
  <dcterms:modified xsi:type="dcterms:W3CDTF">2023-04-04T14:53:38Z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9E3227F9AA77452BBE8C5DE6627C2B7C_13</vt:lpwstr>
  </property>
</Properties>
</file>