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outlineLvl w:val="0"/>
        <w:rPr>
          <w:rFonts w:hint="eastAsia" w:ascii="方正小标宋简体" w:hAnsi="宋体" w:eastAsia="方正小标宋简体" w:cs="方正小标宋简体"/>
          <w:color w:val="auto"/>
          <w:sz w:val="44"/>
          <w:szCs w:val="44"/>
        </w:rPr>
      </w:pPr>
      <w:r>
        <w:rPr>
          <w:rFonts w:hint="eastAsia" w:ascii="方正小标宋简体" w:hAnsi="宋体" w:eastAsia="方正小标宋简体" w:cs="方正小标宋简体"/>
          <w:color w:val="auto"/>
          <w:sz w:val="44"/>
          <w:szCs w:val="44"/>
        </w:rPr>
        <w:t>增城区促进高端专业服务业发展实施</w:t>
      </w:r>
    </w:p>
    <w:p>
      <w:pPr>
        <w:spacing w:line="570" w:lineRule="exact"/>
        <w:jc w:val="center"/>
        <w:outlineLvl w:val="0"/>
        <w:rPr>
          <w:rFonts w:hint="eastAsia" w:ascii="方正小标宋简体" w:eastAsia="方正小标宋简体"/>
          <w:color w:val="auto"/>
          <w:sz w:val="44"/>
          <w:szCs w:val="44"/>
          <w:lang w:eastAsia="zh-CN"/>
        </w:rPr>
      </w:pPr>
      <w:r>
        <w:rPr>
          <w:rFonts w:hint="eastAsia" w:ascii="方正小标宋简体" w:hAnsi="宋体" w:eastAsia="方正小标宋简体" w:cs="方正小标宋简体"/>
          <w:color w:val="auto"/>
          <w:sz w:val="44"/>
          <w:szCs w:val="44"/>
        </w:rPr>
        <w:t>办法</w:t>
      </w:r>
      <w:r>
        <w:rPr>
          <w:rFonts w:hint="eastAsia" w:ascii="方正小标宋简体" w:hAnsi="宋体" w:eastAsia="方正小标宋简体" w:cs="方正小标宋简体"/>
          <w:color w:val="auto"/>
          <w:sz w:val="44"/>
          <w:szCs w:val="44"/>
          <w:lang w:eastAsia="zh-CN"/>
        </w:rPr>
        <w:t>（修订版）</w:t>
      </w:r>
    </w:p>
    <w:p>
      <w:pPr>
        <w:keepNext w:val="0"/>
        <w:keepLines w:val="0"/>
        <w:pageBreakBefore w:val="0"/>
        <w:widowControl w:val="0"/>
        <w:kinsoku/>
        <w:wordWrap/>
        <w:overflowPunct/>
        <w:topLinePunct w:val="0"/>
        <w:autoSpaceDE/>
        <w:autoSpaceDN/>
        <w:bidi w:val="0"/>
        <w:adjustRightInd/>
        <w:snapToGrid/>
        <w:spacing w:after="157" w:afterLines="50" w:line="570" w:lineRule="exact"/>
        <w:textAlignment w:val="auto"/>
        <w:rPr>
          <w:rFonts w:hint="default" w:ascii="仿宋_GB2312" w:eastAsia="仿宋_GB2312"/>
          <w:color w:val="auto"/>
          <w:lang w:val="en-US" w:eastAsia="zh-CN"/>
        </w:rPr>
      </w:pPr>
      <w:r>
        <w:rPr>
          <w:rFonts w:hint="eastAsia" w:ascii="仿宋_GB2312"/>
          <w:color w:val="auto"/>
          <w:lang w:val="en-US" w:eastAsia="zh-CN"/>
        </w:rPr>
        <w:t xml:space="preserve">             （公开征求意见稿）</w:t>
      </w:r>
    </w:p>
    <w:p>
      <w:pPr>
        <w:pStyle w:val="4"/>
        <w:keepNext w:val="0"/>
        <w:keepLines w:val="0"/>
        <w:numPr>
          <w:ilvl w:val="0"/>
          <w:numId w:val="0"/>
        </w:numPr>
        <w:spacing w:line="570" w:lineRule="exact"/>
        <w:ind w:leftChars="0"/>
        <w:jc w:val="center"/>
        <w:rPr>
          <w:rFonts w:hint="eastAsia"/>
          <w:color w:val="auto"/>
        </w:rPr>
      </w:pPr>
      <w:r>
        <w:rPr>
          <w:rFonts w:hint="eastAsia"/>
          <w:color w:val="auto"/>
          <w:lang w:val="en-US" w:eastAsia="zh-CN"/>
        </w:rPr>
        <w:t xml:space="preserve">第一章 </w:t>
      </w:r>
      <w:r>
        <w:rPr>
          <w:rFonts w:hint="eastAsia"/>
          <w:color w:val="auto"/>
        </w:rPr>
        <w:t>总则</w:t>
      </w:r>
      <w:bookmarkStart w:id="0" w:name="_GoBack"/>
      <w:bookmarkEnd w:id="0"/>
    </w:p>
    <w:p>
      <w:pPr>
        <w:spacing w:line="570" w:lineRule="exact"/>
        <w:rPr>
          <w:color w:val="auto"/>
        </w:rPr>
      </w:pPr>
    </w:p>
    <w:p>
      <w:pPr>
        <w:spacing w:line="570" w:lineRule="exact"/>
        <w:ind w:firstLine="704" w:firstLineChars="200"/>
        <w:rPr>
          <w:rFonts w:ascii="仿宋_GB2312" w:hAnsi="仿宋_GB2312" w:cs="仿宋_GB2312"/>
          <w:color w:val="auto"/>
        </w:rPr>
      </w:pPr>
      <w:r>
        <w:rPr>
          <w:rFonts w:hint="eastAsia" w:ascii="黑体" w:hAnsi="黑体" w:eastAsia="黑体" w:cs="仿宋_GB2312"/>
          <w:bCs/>
          <w:color w:val="auto"/>
        </w:rPr>
        <w:t>第一条</w:t>
      </w:r>
      <w:r>
        <w:rPr>
          <w:rFonts w:ascii="黑体" w:hAnsi="黑体" w:eastAsia="黑体" w:cs="仿宋_GB2312"/>
          <w:bCs/>
          <w:color w:val="auto"/>
        </w:rPr>
        <w:t xml:space="preserve"> </w:t>
      </w:r>
      <w:r>
        <w:rPr>
          <w:rFonts w:hint="eastAsia" w:ascii="仿宋_GB2312" w:hAnsi="仿宋_GB2312" w:cs="仿宋_GB2312"/>
          <w:color w:val="auto"/>
        </w:rPr>
        <w:t>为贯彻落实《粤港澳大湾区发展规划纲要》关于加快发展现代服务业的工作部署，奋力推动广州实现老城市新活力、“四个出新出彩”</w:t>
      </w:r>
      <w:r>
        <w:rPr>
          <w:rFonts w:hint="eastAsia" w:ascii="仿宋_GB2312" w:hAnsi="仿宋_GB2312" w:cs="仿宋_GB2312"/>
          <w:color w:val="auto"/>
          <w:lang w:eastAsia="zh-CN"/>
        </w:rPr>
        <w:t>，</w:t>
      </w:r>
      <w:r>
        <w:rPr>
          <w:rFonts w:hint="eastAsia" w:ascii="仿宋_GB2312" w:hAnsi="仿宋_GB2312" w:cs="仿宋_GB2312"/>
          <w:color w:val="auto"/>
        </w:rPr>
        <w:t>全面提升我区高端专业服务业发展水平，</w:t>
      </w:r>
      <w:r>
        <w:rPr>
          <w:rFonts w:hint="eastAsia" w:ascii="仿宋_GB2312" w:hAnsi="仿宋_GB2312" w:cs="仿宋_GB2312"/>
          <w:color w:val="auto"/>
          <w:lang w:eastAsia="zh-CN"/>
        </w:rPr>
        <w:t>根据</w:t>
      </w:r>
      <w:r>
        <w:rPr>
          <w:rFonts w:hint="eastAsia" w:ascii="仿宋_GB2312" w:hAnsi="仿宋_GB2312" w:cs="仿宋_GB2312"/>
          <w:color w:val="auto"/>
        </w:rPr>
        <w:t>我区实际，特制定本办法。</w:t>
      </w:r>
    </w:p>
    <w:p>
      <w:pPr>
        <w:spacing w:line="570" w:lineRule="exact"/>
        <w:ind w:firstLine="704" w:firstLineChars="200"/>
        <w:rPr>
          <w:rFonts w:ascii="仿宋_GB2312" w:hAnsi="仿宋_GB2312" w:cs="仿宋_GB2312"/>
          <w:b/>
          <w:color w:val="auto"/>
          <w:kern w:val="0"/>
        </w:rPr>
      </w:pPr>
      <w:r>
        <w:rPr>
          <w:rFonts w:hint="eastAsia" w:ascii="黑体" w:hAnsi="黑体" w:eastAsia="黑体" w:cs="仿宋_GB2312"/>
          <w:bCs/>
          <w:color w:val="auto"/>
        </w:rPr>
        <w:t>第二条</w:t>
      </w:r>
      <w:r>
        <w:rPr>
          <w:rFonts w:ascii="黑体" w:hAnsi="黑体" w:eastAsia="黑体" w:cs="仿宋_GB2312"/>
          <w:bCs/>
          <w:color w:val="auto"/>
        </w:rPr>
        <w:t xml:space="preserve"> </w:t>
      </w:r>
      <w:r>
        <w:rPr>
          <w:rFonts w:hint="eastAsia" w:ascii="仿宋_GB2312" w:hAnsi="仿宋_GB2312" w:cs="仿宋_GB2312"/>
          <w:color w:val="auto"/>
        </w:rPr>
        <w:t>本办法所扶持的高端专业服务业包括互联网和相关服务、软件和信息技术服务、法律服务、会计审计及税务服务、咨询服务、广告服务、人力资源服务、会议展览及相关服务、科学研究和技术服务、科技创新服务、组织综合管理服务、文体创意及娱乐、其他服务等十三大类，具体行业目录见《增城区高端专业服务业重点发展领域分类表》。</w:t>
      </w:r>
    </w:p>
    <w:p>
      <w:pPr>
        <w:spacing w:line="570" w:lineRule="exact"/>
        <w:ind w:firstLine="704" w:firstLineChars="200"/>
        <w:rPr>
          <w:rFonts w:hint="eastAsia" w:ascii="仿宋_GB2312" w:hAnsi="仿宋_GB2312" w:cs="仿宋_GB2312"/>
          <w:color w:val="auto"/>
        </w:rPr>
      </w:pPr>
      <w:r>
        <w:rPr>
          <w:rFonts w:hint="eastAsia" w:ascii="黑体" w:hAnsi="黑体" w:eastAsia="黑体" w:cs="仿宋_GB2312"/>
          <w:bCs/>
          <w:color w:val="auto"/>
        </w:rPr>
        <w:t>第三条</w:t>
      </w:r>
      <w:r>
        <w:rPr>
          <w:rFonts w:ascii="黑体" w:hAnsi="黑体" w:eastAsia="黑体" w:cs="仿宋_GB2312"/>
          <w:bCs/>
          <w:color w:val="auto"/>
        </w:rPr>
        <w:t xml:space="preserve"> </w:t>
      </w:r>
      <w:r>
        <w:rPr>
          <w:rFonts w:hint="eastAsia" w:ascii="仿宋_GB2312" w:hAnsi="仿宋_GB2312" w:cs="仿宋_GB2312"/>
          <w:color w:val="auto"/>
        </w:rPr>
        <w:t>本办法适用于</w:t>
      </w:r>
      <w:r>
        <w:rPr>
          <w:rFonts w:hint="eastAsia" w:ascii="仿宋_GB2312" w:hAnsi="仿宋_GB2312" w:eastAsia="仿宋_GB2312" w:cs="Times New Roman"/>
          <w:color w:val="auto"/>
          <w:kern w:val="2"/>
          <w:sz w:val="32"/>
          <w:szCs w:val="32"/>
          <w:lang w:eastAsia="zh-CN"/>
        </w:rPr>
        <w:t>经营关系</w:t>
      </w:r>
      <w:r>
        <w:rPr>
          <w:rFonts w:hint="eastAsia" w:ascii="仿宋_GB2312" w:hAnsi="仿宋_GB2312" w:cs="仿宋_GB2312"/>
          <w:color w:val="auto"/>
        </w:rPr>
        <w:t>、税务征管关系及统计关系在我区的高端专业服务企业和机构，原有企业新设分支机构、变更名称、分拆业务或者招商项目未达到承诺要求的均</w:t>
      </w:r>
      <w:r>
        <w:rPr>
          <w:rFonts w:hint="eastAsia" w:ascii="Times New Roman" w:hAnsi="Times New Roman"/>
          <w:color w:val="auto"/>
        </w:rPr>
        <w:t>不纳入政策支持范畴</w:t>
      </w:r>
      <w:r>
        <w:rPr>
          <w:rFonts w:hint="eastAsia" w:ascii="仿宋_GB2312" w:hAnsi="仿宋_GB2312" w:cs="仿宋_GB2312"/>
          <w:color w:val="auto"/>
        </w:rPr>
        <w:t>。</w:t>
      </w:r>
    </w:p>
    <w:p>
      <w:pPr>
        <w:spacing w:line="570" w:lineRule="exact"/>
        <w:ind w:firstLine="624" w:firstLineChars="200"/>
        <w:rPr>
          <w:rFonts w:hint="eastAsia"/>
          <w:color w:val="auto"/>
          <w:kern w:val="0"/>
          <w:sz w:val="28"/>
          <w:szCs w:val="28"/>
          <w:lang w:val="en-US" w:eastAsia="zh-CN"/>
        </w:rPr>
      </w:pPr>
      <w:r>
        <w:rPr>
          <w:rFonts w:hint="eastAsia"/>
          <w:color w:val="auto"/>
          <w:kern w:val="0"/>
          <w:sz w:val="28"/>
          <w:szCs w:val="28"/>
          <w:lang w:val="en-US" w:eastAsia="zh-CN"/>
        </w:rPr>
        <w:t>（修订内容：删除原政策关于“承诺10年内不迁离本区、不改变在本区的纳税义务、不减少注册资本”，更为符合公平竞争审查要求。）</w:t>
      </w:r>
    </w:p>
    <w:p>
      <w:pPr>
        <w:numPr>
          <w:ilvl w:val="0"/>
          <w:numId w:val="0"/>
        </w:numPr>
        <w:spacing w:line="570" w:lineRule="exact"/>
        <w:ind w:firstLine="704" w:firstLineChars="200"/>
        <w:rPr>
          <w:rFonts w:hint="default" w:ascii="仿宋_GB2312" w:hAnsi="仿宋_GB2312" w:eastAsia="仿宋_GB2312" w:cs="仿宋_GB2312"/>
          <w:color w:val="auto"/>
          <w:kern w:val="0"/>
          <w:lang w:val="en-US" w:eastAsia="zh-CN"/>
        </w:rPr>
      </w:pPr>
      <w:r>
        <w:rPr>
          <w:rFonts w:hint="eastAsia" w:ascii="黑体" w:hAnsi="黑体" w:eastAsia="黑体" w:cs="黑体"/>
          <w:color w:val="auto"/>
          <w:lang w:val="en-US" w:eastAsia="zh-CN"/>
        </w:rPr>
        <w:t xml:space="preserve">第四条 </w:t>
      </w:r>
      <w:r>
        <w:rPr>
          <w:rFonts w:hint="eastAsia" w:ascii="仿宋_GB2312" w:hAnsi="仿宋_GB2312" w:cs="仿宋_GB2312"/>
          <w:color w:val="auto"/>
        </w:rPr>
        <w:t>本办法所需资金由</w:t>
      </w:r>
      <w:r>
        <w:rPr>
          <w:rFonts w:hint="eastAsia" w:ascii="仿宋_GB2312" w:hAnsi="仿宋_GB2312" w:cs="仿宋_GB2312"/>
          <w:color w:val="auto"/>
          <w:kern w:val="0"/>
        </w:rPr>
        <w:t>区级财政统筹安排，开发区政研室、区科工商信局、区财政局、区审计局、各镇街、申报人、用款单位和第三方中介机构按职责分工共同做好专项资金管理和监督工作。</w:t>
      </w:r>
    </w:p>
    <w:p>
      <w:pPr>
        <w:pStyle w:val="4"/>
        <w:keepNext w:val="0"/>
        <w:keepLines w:val="0"/>
        <w:spacing w:line="570" w:lineRule="exact"/>
        <w:ind w:firstLine="632"/>
        <w:jc w:val="center"/>
        <w:rPr>
          <w:color w:val="auto"/>
        </w:rPr>
      </w:pPr>
    </w:p>
    <w:p>
      <w:pPr>
        <w:pStyle w:val="4"/>
        <w:keepNext w:val="0"/>
        <w:keepLines w:val="0"/>
        <w:spacing w:line="570" w:lineRule="exact"/>
        <w:ind w:firstLine="0" w:firstLineChars="0"/>
        <w:jc w:val="center"/>
        <w:rPr>
          <w:color w:val="auto"/>
        </w:rPr>
      </w:pPr>
      <w:r>
        <w:rPr>
          <w:rFonts w:hint="eastAsia"/>
          <w:color w:val="auto"/>
        </w:rPr>
        <w:t>第二章</w:t>
      </w:r>
      <w:r>
        <w:rPr>
          <w:color w:val="auto"/>
        </w:rPr>
        <w:t xml:space="preserve"> </w:t>
      </w:r>
      <w:r>
        <w:rPr>
          <w:rFonts w:hint="eastAsia"/>
          <w:color w:val="auto"/>
        </w:rPr>
        <w:t>政策内容</w:t>
      </w:r>
    </w:p>
    <w:p>
      <w:pPr>
        <w:spacing w:line="570" w:lineRule="exact"/>
        <w:ind w:firstLine="707" w:firstLineChars="200"/>
        <w:rPr>
          <w:rFonts w:hint="eastAsia" w:ascii="仿宋_GB2312" w:hAnsi="仿宋_GB2312" w:cs="仿宋_GB2312"/>
          <w:b/>
          <w:bCs/>
          <w:color w:val="auto"/>
        </w:rPr>
      </w:pPr>
    </w:p>
    <w:p>
      <w:pPr>
        <w:spacing w:line="570" w:lineRule="exact"/>
        <w:ind w:firstLine="704" w:firstLineChars="200"/>
        <w:rPr>
          <w:rFonts w:ascii="仿宋_GB2312" w:hAnsi="仿宋_GB2312" w:cs="仿宋_GB2312"/>
          <w:bCs/>
          <w:color w:val="auto"/>
        </w:rPr>
      </w:pPr>
      <w:r>
        <w:rPr>
          <w:rFonts w:hint="eastAsia" w:ascii="黑体" w:hAnsi="黑体" w:eastAsia="黑体" w:cs="仿宋_GB2312"/>
          <w:bCs/>
          <w:color w:val="auto"/>
        </w:rPr>
        <w:t>第五条</w:t>
      </w:r>
      <w:r>
        <w:rPr>
          <w:rFonts w:ascii="黑体" w:hAnsi="黑体" w:eastAsia="黑体" w:cs="仿宋_GB2312"/>
          <w:bCs/>
          <w:color w:val="auto"/>
        </w:rPr>
        <w:t xml:space="preserve"> </w:t>
      </w:r>
      <w:r>
        <w:rPr>
          <w:rFonts w:hint="eastAsia" w:ascii="仿宋_GB2312" w:hAnsi="仿宋_GB2312" w:cs="仿宋_GB2312"/>
          <w:bCs/>
          <w:color w:val="auto"/>
        </w:rPr>
        <w:t>加快引进国内国际优质企业</w:t>
      </w:r>
    </w:p>
    <w:p>
      <w:pPr>
        <w:spacing w:line="570" w:lineRule="exact"/>
        <w:ind w:firstLine="704" w:firstLineChars="200"/>
        <w:rPr>
          <w:color w:val="auto"/>
          <w:kern w:val="0"/>
        </w:rPr>
      </w:pPr>
      <w:r>
        <w:rPr>
          <w:rFonts w:hint="eastAsia" w:ascii="仿宋_GB2312" w:hAnsi="仿宋_GB2312" w:cs="仿宋_GB2312"/>
          <w:color w:val="auto"/>
        </w:rPr>
        <w:t>（一）</w:t>
      </w:r>
      <w:r>
        <w:rPr>
          <w:rFonts w:hint="eastAsia"/>
          <w:color w:val="auto"/>
          <w:kern w:val="0"/>
        </w:rPr>
        <w:t>对于</w:t>
      </w:r>
      <w:r>
        <w:rPr>
          <w:rFonts w:hint="eastAsia" w:ascii="仿宋_GB2312" w:eastAsia="仿宋_GB2312"/>
          <w:color w:val="auto"/>
          <w:szCs w:val="32"/>
        </w:rPr>
        <w:t>当年</w:t>
      </w:r>
      <w:r>
        <w:rPr>
          <w:rFonts w:hint="eastAsia" w:ascii="仿宋_GB2312" w:eastAsia="仿宋_GB2312"/>
          <w:color w:val="auto"/>
          <w:szCs w:val="32"/>
          <w:lang w:eastAsia="zh-CN"/>
        </w:rPr>
        <w:t>新开业并</w:t>
      </w:r>
      <w:r>
        <w:rPr>
          <w:rFonts w:hint="eastAsia" w:ascii="仿宋_GB2312" w:eastAsia="仿宋_GB2312"/>
          <w:color w:val="auto"/>
          <w:szCs w:val="32"/>
        </w:rPr>
        <w:t>入统的</w:t>
      </w:r>
      <w:r>
        <w:rPr>
          <w:rFonts w:hint="eastAsia"/>
          <w:color w:val="auto"/>
          <w:kern w:val="0"/>
        </w:rPr>
        <w:t>高端专业服务企业，按照</w:t>
      </w:r>
      <w:r>
        <w:rPr>
          <w:rFonts w:hint="eastAsia"/>
          <w:color w:val="auto"/>
          <w:kern w:val="0"/>
          <w:lang w:eastAsia="zh-CN"/>
        </w:rPr>
        <w:t>不超过</w:t>
      </w:r>
      <w:r>
        <w:rPr>
          <w:rFonts w:hint="eastAsia"/>
          <w:color w:val="auto"/>
          <w:kern w:val="0"/>
        </w:rPr>
        <w:t>当年营业收入</w:t>
      </w:r>
      <w:r>
        <w:rPr>
          <w:rFonts w:hint="eastAsia"/>
          <w:color w:val="auto"/>
          <w:kern w:val="0"/>
          <w:lang w:eastAsia="zh-CN"/>
        </w:rPr>
        <w:t>的</w:t>
      </w:r>
      <w:r>
        <w:rPr>
          <w:rFonts w:hint="eastAsia" w:ascii="仿宋_GB2312" w:hAnsi="仿宋_GB2312" w:eastAsia="仿宋_GB2312" w:cs="仿宋_GB2312"/>
          <w:color w:val="auto"/>
          <w:kern w:val="0"/>
          <w:lang w:val="en-US" w:eastAsia="zh-CN"/>
        </w:rPr>
        <w:t>2.5%</w:t>
      </w:r>
      <w:r>
        <w:rPr>
          <w:rFonts w:hint="eastAsia" w:ascii="仿宋_GB2312" w:hAnsi="仿宋_GB2312" w:cs="仿宋_GB2312"/>
          <w:color w:val="auto"/>
          <w:kern w:val="0"/>
          <w:lang w:val="en-US" w:eastAsia="zh-CN"/>
        </w:rPr>
        <w:t>给予一次性奖励</w:t>
      </w:r>
      <w:r>
        <w:rPr>
          <w:rFonts w:hint="eastAsia" w:ascii="仿宋_GB2312" w:hAnsi="仿宋_GB2312" w:eastAsia="仿宋_GB2312" w:cs="仿宋_GB2312"/>
          <w:color w:val="auto"/>
          <w:kern w:val="0"/>
          <w:lang w:val="en-US" w:eastAsia="zh-CN"/>
        </w:rPr>
        <w:t>，</w:t>
      </w:r>
      <w:r>
        <w:rPr>
          <w:rFonts w:hint="eastAsia"/>
          <w:color w:val="auto"/>
          <w:kern w:val="0"/>
        </w:rPr>
        <w:t>不设最高奖励限制</w:t>
      </w:r>
      <w:r>
        <w:rPr>
          <w:rFonts w:hint="eastAsia"/>
          <w:color w:val="auto"/>
          <w:kern w:val="0"/>
          <w:lang w:eastAsia="zh-CN"/>
        </w:rPr>
        <w:t>。</w:t>
      </w:r>
    </w:p>
    <w:p>
      <w:pPr>
        <w:spacing w:line="570" w:lineRule="exact"/>
        <w:ind w:firstLine="704" w:firstLineChars="200"/>
        <w:rPr>
          <w:rFonts w:hint="eastAsia"/>
          <w:color w:val="auto"/>
          <w:kern w:val="0"/>
        </w:rPr>
      </w:pPr>
      <w:r>
        <w:rPr>
          <w:rFonts w:hint="eastAsia"/>
          <w:color w:val="auto"/>
          <w:kern w:val="0"/>
        </w:rPr>
        <w:t>（</w:t>
      </w:r>
      <w:r>
        <w:rPr>
          <w:rFonts w:hint="eastAsia"/>
          <w:color w:val="auto"/>
          <w:kern w:val="0"/>
          <w:lang w:eastAsia="zh-CN"/>
        </w:rPr>
        <w:t>二</w:t>
      </w:r>
      <w:r>
        <w:rPr>
          <w:rFonts w:hint="eastAsia"/>
          <w:color w:val="auto"/>
          <w:kern w:val="0"/>
        </w:rPr>
        <w:t>）对于当年新增</w:t>
      </w:r>
      <w:r>
        <w:rPr>
          <w:rFonts w:hint="eastAsia"/>
          <w:color w:val="auto"/>
          <w:kern w:val="0"/>
          <w:lang w:eastAsia="zh-CN"/>
        </w:rPr>
        <w:t>营业收入</w:t>
      </w:r>
      <w:r>
        <w:rPr>
          <w:rFonts w:hint="eastAsia"/>
          <w:color w:val="auto"/>
          <w:kern w:val="0"/>
        </w:rPr>
        <w:t>达</w:t>
      </w:r>
      <w:r>
        <w:rPr>
          <w:rFonts w:hint="eastAsia" w:ascii="仿宋_GB2312" w:hAnsi="仿宋_GB2312" w:cs="仿宋_GB2312"/>
          <w:color w:val="auto"/>
          <w:kern w:val="0"/>
        </w:rPr>
        <w:t>到</w:t>
      </w:r>
      <w:r>
        <w:rPr>
          <w:rFonts w:ascii="仿宋_GB2312" w:hAnsi="仿宋_GB2312" w:cs="仿宋_GB2312"/>
          <w:color w:val="auto"/>
          <w:kern w:val="0"/>
        </w:rPr>
        <w:t>5</w:t>
      </w:r>
      <w:r>
        <w:rPr>
          <w:rFonts w:hint="eastAsia" w:ascii="仿宋_GB2312" w:hAnsi="仿宋_GB2312" w:cs="仿宋_GB2312"/>
          <w:color w:val="auto"/>
          <w:kern w:val="0"/>
        </w:rPr>
        <w:t>亿</w:t>
      </w:r>
      <w:r>
        <w:rPr>
          <w:rFonts w:hint="eastAsia"/>
          <w:color w:val="auto"/>
          <w:kern w:val="0"/>
        </w:rPr>
        <w:t>元以上的高端专业服务企业，</w:t>
      </w:r>
      <w:r>
        <w:rPr>
          <w:rFonts w:hint="eastAsia"/>
          <w:color w:val="auto"/>
          <w:kern w:val="0"/>
          <w:lang w:eastAsia="zh-CN"/>
        </w:rPr>
        <w:t>按照不超过</w:t>
      </w:r>
      <w:r>
        <w:rPr>
          <w:rFonts w:hint="eastAsia"/>
          <w:color w:val="auto"/>
          <w:kern w:val="0"/>
        </w:rPr>
        <w:t>当年</w:t>
      </w:r>
      <w:r>
        <w:rPr>
          <w:rFonts w:hint="eastAsia"/>
          <w:color w:val="auto"/>
          <w:kern w:val="0"/>
          <w:lang w:eastAsia="zh-CN"/>
        </w:rPr>
        <w:t>新增</w:t>
      </w:r>
      <w:r>
        <w:rPr>
          <w:rFonts w:hint="eastAsia"/>
          <w:color w:val="auto"/>
          <w:kern w:val="0"/>
        </w:rPr>
        <w:t>营业收入</w:t>
      </w:r>
      <w:r>
        <w:rPr>
          <w:rFonts w:hint="eastAsia"/>
          <w:color w:val="auto"/>
          <w:kern w:val="0"/>
          <w:lang w:eastAsia="zh-CN"/>
        </w:rPr>
        <w:t>的</w:t>
      </w:r>
      <w:r>
        <w:rPr>
          <w:rFonts w:hint="eastAsia" w:ascii="仿宋_GB2312" w:hAnsi="仿宋_GB2312" w:eastAsia="仿宋_GB2312" w:cs="仿宋_GB2312"/>
          <w:color w:val="auto"/>
          <w:kern w:val="0"/>
          <w:lang w:val="en-US" w:eastAsia="zh-CN"/>
        </w:rPr>
        <w:t>2.5%</w:t>
      </w:r>
      <w:r>
        <w:rPr>
          <w:rFonts w:hint="eastAsia" w:ascii="仿宋_GB2312" w:hAnsi="仿宋_GB2312" w:cs="仿宋_GB2312"/>
          <w:color w:val="auto"/>
          <w:kern w:val="0"/>
          <w:lang w:val="en-US" w:eastAsia="zh-CN"/>
        </w:rPr>
        <w:t>给予一次性奖励</w:t>
      </w:r>
      <w:r>
        <w:rPr>
          <w:rFonts w:hint="eastAsia"/>
          <w:color w:val="auto"/>
          <w:kern w:val="0"/>
        </w:rPr>
        <w:t>，</w:t>
      </w:r>
      <w:r>
        <w:rPr>
          <w:rFonts w:hint="eastAsia" w:ascii="仿宋_GB2312" w:hAnsi="仿宋_GB2312" w:eastAsia="仿宋_GB2312" w:cs="仿宋_GB2312"/>
          <w:color w:val="auto"/>
          <w:kern w:val="0"/>
          <w:lang w:val="en-US" w:eastAsia="zh-CN"/>
        </w:rPr>
        <w:t>最高</w:t>
      </w:r>
      <w:r>
        <w:rPr>
          <w:rFonts w:hint="eastAsia" w:ascii="仿宋_GB2312" w:hAnsi="仿宋_GB2312" w:cs="仿宋_GB2312"/>
          <w:color w:val="auto"/>
          <w:kern w:val="0"/>
          <w:lang w:val="en-US" w:eastAsia="zh-CN"/>
        </w:rPr>
        <w:t>奖励</w:t>
      </w:r>
      <w:r>
        <w:rPr>
          <w:rFonts w:hint="eastAsia" w:ascii="仿宋_GB2312" w:hAnsi="仿宋_GB2312" w:eastAsia="仿宋_GB2312" w:cs="仿宋_GB2312"/>
          <w:color w:val="auto"/>
          <w:kern w:val="0"/>
          <w:lang w:val="en-US" w:eastAsia="zh-CN"/>
        </w:rPr>
        <w:t>1亿元</w:t>
      </w:r>
      <w:r>
        <w:rPr>
          <w:rFonts w:hint="eastAsia"/>
          <w:color w:val="auto"/>
          <w:kern w:val="0"/>
        </w:rPr>
        <w:t>。</w:t>
      </w:r>
    </w:p>
    <w:p>
      <w:pPr>
        <w:spacing w:line="570" w:lineRule="exact"/>
        <w:ind w:firstLine="624" w:firstLineChars="200"/>
        <w:rPr>
          <w:rFonts w:hint="eastAsia" w:eastAsia="仿宋_GB2312"/>
          <w:color w:val="auto"/>
          <w:kern w:val="0"/>
          <w:sz w:val="28"/>
          <w:szCs w:val="28"/>
          <w:lang w:eastAsia="zh-CN"/>
        </w:rPr>
      </w:pPr>
      <w:r>
        <w:rPr>
          <w:rFonts w:hint="eastAsia"/>
          <w:color w:val="auto"/>
          <w:kern w:val="0"/>
          <w:sz w:val="28"/>
          <w:szCs w:val="28"/>
          <w:lang w:eastAsia="zh-CN"/>
        </w:rPr>
        <w:t>（修订内容：</w:t>
      </w:r>
      <w:r>
        <w:rPr>
          <w:rFonts w:hint="eastAsia"/>
          <w:color w:val="auto"/>
          <w:kern w:val="0"/>
          <w:sz w:val="28"/>
          <w:szCs w:val="28"/>
          <w:lang w:val="en-US" w:eastAsia="zh-CN"/>
        </w:rPr>
        <w:t>1.删除原政策第一条 对于上年注册或迁入，当年纳入规上统计的高端专业服务企业，按照申请当年新增营业收入情况，分别给予本区新增地方经济发展贡献60%-100%的一次性奖励。对迁移企业不再给予奖励，更为切合引进企业的初衷，并减少跨区迁移的可能；2.删除原政策第四条 对于当年新注册且当年纳入规上统计的高端专业服务企业，经区级认定为全国（全球）总部或市级认定为区域总部，按照申请当年新增营业收入情况，给予本区新增地方经济发展贡献100%的一次性奖励，最高不超过1亿元。经了解，我区暂未出台认定总部经济的相关文件；3.政策第一条和第二条，将原有按照地方经济贡献的奖励标准修改为按照企业营业收入，奖励不再与地方经济贡献直接挂钩。</w:t>
      </w:r>
      <w:r>
        <w:rPr>
          <w:rFonts w:hint="eastAsia"/>
          <w:color w:val="auto"/>
          <w:kern w:val="0"/>
          <w:sz w:val="28"/>
          <w:szCs w:val="28"/>
          <w:lang w:eastAsia="zh-CN"/>
        </w:rPr>
        <w:t>）</w:t>
      </w:r>
    </w:p>
    <w:p>
      <w:pPr>
        <w:spacing w:line="570" w:lineRule="exact"/>
        <w:ind w:firstLine="704" w:firstLineChars="200"/>
        <w:rPr>
          <w:rFonts w:ascii="仿宋_GB2312" w:hAnsi="仿宋" w:cs="仿宋"/>
          <w:color w:val="auto"/>
        </w:rPr>
      </w:pPr>
      <w:r>
        <w:rPr>
          <w:rFonts w:hint="eastAsia" w:ascii="黑体" w:hAnsi="黑体" w:eastAsia="黑体" w:cs="仿宋_GB2312"/>
          <w:bCs/>
          <w:color w:val="auto"/>
        </w:rPr>
        <w:t>第六条</w:t>
      </w:r>
      <w:r>
        <w:rPr>
          <w:rFonts w:ascii="仿宋_GB2312" w:hAnsi="仿宋_GB2312" w:cs="仿宋_GB2312"/>
          <w:b/>
          <w:bCs/>
          <w:color w:val="auto"/>
        </w:rPr>
        <w:t xml:space="preserve"> </w:t>
      </w:r>
      <w:r>
        <w:rPr>
          <w:rFonts w:hint="eastAsia" w:ascii="仿宋_GB2312" w:hAnsi="仿宋_GB2312" w:cs="仿宋_GB2312"/>
          <w:bCs/>
          <w:color w:val="auto"/>
        </w:rPr>
        <w:t>培育优质重点企业做大做强</w:t>
      </w:r>
    </w:p>
    <w:p>
      <w:pPr>
        <w:spacing w:line="570" w:lineRule="exact"/>
        <w:ind w:firstLine="704" w:firstLineChars="200"/>
        <w:rPr>
          <w:rFonts w:hint="eastAsia" w:ascii="仿宋_GB2312" w:hAnsi="仿宋" w:cs="仿宋"/>
          <w:color w:val="auto"/>
        </w:rPr>
      </w:pPr>
      <w:r>
        <w:rPr>
          <w:rFonts w:hint="eastAsia" w:ascii="仿宋_GB2312" w:hAnsi="仿宋" w:cs="仿宋"/>
          <w:color w:val="auto"/>
        </w:rPr>
        <w:t>推动优质重点企业加快发展，对当年</w:t>
      </w:r>
      <w:r>
        <w:rPr>
          <w:rFonts w:hint="eastAsia" w:ascii="仿宋_GB2312" w:hAnsi="仿宋" w:cs="仿宋"/>
          <w:color w:val="auto"/>
          <w:lang w:eastAsia="zh-CN"/>
        </w:rPr>
        <w:t>营收</w:t>
      </w:r>
      <w:r>
        <w:rPr>
          <w:rFonts w:hint="eastAsia" w:ascii="仿宋_GB2312" w:hAnsi="仿宋" w:cs="仿宋"/>
          <w:color w:val="auto"/>
        </w:rPr>
        <w:t>达到</w:t>
      </w:r>
      <w:r>
        <w:rPr>
          <w:rFonts w:ascii="仿宋_GB2312" w:hAnsi="仿宋" w:cs="仿宋"/>
          <w:color w:val="auto"/>
        </w:rPr>
        <w:t>5000</w:t>
      </w:r>
      <w:r>
        <w:rPr>
          <w:rFonts w:hint="eastAsia" w:ascii="仿宋_GB2312" w:hAnsi="仿宋" w:cs="仿宋"/>
          <w:color w:val="auto"/>
        </w:rPr>
        <w:t>万元且</w:t>
      </w:r>
      <w:r>
        <w:rPr>
          <w:rFonts w:hint="eastAsia" w:ascii="仿宋_GB2312" w:hAnsi="仿宋" w:cs="仿宋"/>
          <w:color w:val="auto"/>
          <w:lang w:eastAsia="zh-CN"/>
        </w:rPr>
        <w:t>保持一定增长</w:t>
      </w:r>
      <w:r>
        <w:rPr>
          <w:rFonts w:hint="eastAsia" w:ascii="仿宋_GB2312" w:hAnsi="仿宋" w:cs="仿宋"/>
          <w:color w:val="auto"/>
        </w:rPr>
        <w:t>的高端专业服务企业，</w:t>
      </w:r>
      <w:r>
        <w:rPr>
          <w:rFonts w:hint="eastAsia"/>
          <w:color w:val="auto"/>
          <w:kern w:val="0"/>
        </w:rPr>
        <w:t>按</w:t>
      </w:r>
      <w:r>
        <w:rPr>
          <w:rFonts w:hint="eastAsia" w:ascii="仿宋_GB2312" w:hAnsi="仿宋" w:cs="仿宋"/>
          <w:color w:val="auto"/>
        </w:rPr>
        <w:t>照</w:t>
      </w:r>
      <w:r>
        <w:rPr>
          <w:rFonts w:hint="eastAsia" w:ascii="仿宋_GB2312" w:hAnsi="仿宋" w:cs="仿宋"/>
          <w:color w:val="auto"/>
          <w:lang w:eastAsia="zh-CN"/>
        </w:rPr>
        <w:t>不超过</w:t>
      </w:r>
      <w:r>
        <w:rPr>
          <w:rFonts w:hint="eastAsia" w:ascii="仿宋_GB2312" w:hAnsi="仿宋" w:cs="仿宋"/>
          <w:color w:val="auto"/>
        </w:rPr>
        <w:t>当年营业收入</w:t>
      </w:r>
      <w:r>
        <w:rPr>
          <w:rFonts w:hint="eastAsia" w:ascii="仿宋_GB2312" w:hAnsi="仿宋" w:cs="仿宋"/>
          <w:color w:val="auto"/>
          <w:lang w:eastAsia="zh-CN"/>
        </w:rPr>
        <w:t>的</w:t>
      </w:r>
      <w:r>
        <w:rPr>
          <w:rFonts w:hint="eastAsia" w:ascii="仿宋_GB2312" w:hAnsi="仿宋" w:cs="仿宋"/>
          <w:color w:val="auto"/>
          <w:lang w:val="en-US" w:eastAsia="zh-CN"/>
        </w:rPr>
        <w:t>1.5%给予一次性奖励</w:t>
      </w:r>
      <w:r>
        <w:rPr>
          <w:rFonts w:hint="eastAsia" w:ascii="仿宋_GB2312" w:hAnsi="仿宋" w:cs="仿宋"/>
          <w:color w:val="auto"/>
        </w:rPr>
        <w:t>，最高</w:t>
      </w:r>
      <w:r>
        <w:rPr>
          <w:rFonts w:hint="eastAsia" w:ascii="仿宋_GB2312" w:hAnsi="仿宋" w:cs="仿宋"/>
          <w:color w:val="auto"/>
          <w:lang w:eastAsia="zh-CN"/>
        </w:rPr>
        <w:t>奖励</w:t>
      </w:r>
      <w:r>
        <w:rPr>
          <w:rFonts w:hint="eastAsia" w:ascii="仿宋_GB2312" w:hAnsi="仿宋" w:cs="仿宋"/>
          <w:color w:val="auto"/>
          <w:lang w:val="en-US" w:eastAsia="zh-CN"/>
        </w:rPr>
        <w:t>5</w:t>
      </w:r>
      <w:r>
        <w:rPr>
          <w:rFonts w:hint="eastAsia" w:ascii="仿宋_GB2312" w:hAnsi="仿宋" w:cs="仿宋"/>
          <w:color w:val="auto"/>
        </w:rPr>
        <w:t>000万元。</w:t>
      </w:r>
    </w:p>
    <w:p>
      <w:pPr>
        <w:spacing w:line="570" w:lineRule="exact"/>
        <w:ind w:firstLine="624" w:firstLineChars="200"/>
        <w:rPr>
          <w:rFonts w:hint="eastAsia"/>
          <w:color w:val="auto"/>
          <w:kern w:val="0"/>
          <w:sz w:val="28"/>
          <w:szCs w:val="28"/>
          <w:lang w:val="en-US" w:eastAsia="zh-CN"/>
        </w:rPr>
      </w:pPr>
      <w:r>
        <w:rPr>
          <w:rFonts w:hint="eastAsia"/>
          <w:color w:val="auto"/>
          <w:kern w:val="0"/>
          <w:sz w:val="28"/>
          <w:szCs w:val="28"/>
          <w:lang w:val="en-US" w:eastAsia="zh-CN"/>
        </w:rPr>
        <w:t>（修订内容：将原有按照地方经济贡献的奖励标准修改为按照企业营业收入，奖励不再与地方经济贡献直接挂钩。）</w:t>
      </w:r>
    </w:p>
    <w:p>
      <w:pPr>
        <w:spacing w:line="570" w:lineRule="exact"/>
        <w:ind w:firstLine="704" w:firstLineChars="200"/>
        <w:rPr>
          <w:rFonts w:ascii="仿宋_GB2312" w:hAnsi="仿宋_GB2312" w:cs="仿宋_GB2312"/>
          <w:b/>
          <w:bCs/>
          <w:color w:val="auto"/>
        </w:rPr>
      </w:pPr>
      <w:r>
        <w:rPr>
          <w:rFonts w:hint="eastAsia" w:ascii="黑体" w:hAnsi="黑体" w:eastAsia="黑体" w:cs="仿宋_GB2312"/>
          <w:bCs/>
          <w:color w:val="auto"/>
        </w:rPr>
        <w:t>第七条</w:t>
      </w:r>
      <w:r>
        <w:rPr>
          <w:rFonts w:ascii="黑体" w:hAnsi="黑体" w:eastAsia="黑体" w:cs="仿宋_GB2312"/>
          <w:bCs/>
          <w:color w:val="auto"/>
        </w:rPr>
        <w:t xml:space="preserve"> </w:t>
      </w:r>
      <w:r>
        <w:rPr>
          <w:rFonts w:hint="eastAsia" w:ascii="仿宋_GB2312" w:hAnsi="仿宋_GB2312" w:cs="仿宋_GB2312"/>
          <w:bCs/>
          <w:color w:val="auto"/>
        </w:rPr>
        <w:t>给予重点企业办公场所支持</w:t>
      </w:r>
    </w:p>
    <w:p>
      <w:pPr>
        <w:numPr>
          <w:ilvl w:val="0"/>
          <w:numId w:val="0"/>
        </w:numPr>
        <w:spacing w:line="570" w:lineRule="exact"/>
        <w:ind w:firstLine="704" w:firstLineChars="200"/>
        <w:rPr>
          <w:rFonts w:ascii="仿宋_GB2312" w:hAnsi="仿宋" w:cs="仿宋"/>
          <w:color w:val="auto"/>
        </w:rPr>
      </w:pPr>
      <w:r>
        <w:rPr>
          <w:rFonts w:hint="eastAsia" w:ascii="仿宋_GB2312" w:hAnsi="仿宋" w:cs="仿宋"/>
          <w:color w:val="auto"/>
          <w:lang w:eastAsia="zh-CN"/>
        </w:rPr>
        <w:t>（</w:t>
      </w:r>
      <w:r>
        <w:rPr>
          <w:rFonts w:hint="eastAsia" w:ascii="仿宋_GB2312" w:hAnsi="仿宋" w:cs="仿宋"/>
          <w:color w:val="auto"/>
          <w:lang w:val="en-US" w:eastAsia="zh-CN"/>
        </w:rPr>
        <w:t>一</w:t>
      </w:r>
      <w:r>
        <w:rPr>
          <w:rFonts w:hint="eastAsia" w:ascii="仿宋_GB2312" w:hAnsi="仿宋" w:cs="仿宋"/>
          <w:color w:val="auto"/>
          <w:lang w:eastAsia="zh-CN"/>
        </w:rPr>
        <w:t>）</w:t>
      </w:r>
      <w:r>
        <w:rPr>
          <w:rFonts w:hint="eastAsia" w:ascii="仿宋_GB2312" w:hAnsi="仿宋" w:cs="仿宋"/>
          <w:color w:val="auto"/>
        </w:rPr>
        <w:t>对</w:t>
      </w:r>
      <w:r>
        <w:rPr>
          <w:rFonts w:hint="eastAsia" w:ascii="仿宋_GB2312" w:eastAsia="仿宋_GB2312"/>
          <w:color w:val="auto"/>
          <w:szCs w:val="32"/>
        </w:rPr>
        <w:t>当年</w:t>
      </w:r>
      <w:r>
        <w:rPr>
          <w:rFonts w:hint="eastAsia" w:ascii="仿宋_GB2312" w:eastAsia="仿宋_GB2312"/>
          <w:color w:val="auto"/>
          <w:szCs w:val="32"/>
          <w:lang w:eastAsia="zh-CN"/>
        </w:rPr>
        <w:t>新开业并</w:t>
      </w:r>
      <w:r>
        <w:rPr>
          <w:rFonts w:hint="eastAsia" w:ascii="仿宋_GB2312" w:eastAsia="仿宋_GB2312"/>
          <w:color w:val="auto"/>
          <w:szCs w:val="32"/>
        </w:rPr>
        <w:t>入统</w:t>
      </w:r>
      <w:r>
        <w:rPr>
          <w:rFonts w:hint="eastAsia" w:ascii="仿宋_GB2312" w:hAnsi="仿宋" w:cs="仿宋"/>
          <w:color w:val="auto"/>
        </w:rPr>
        <w:t>的高端专业服务企业，按企业在本区租赁办公场所的面积和时间，给予当年</w:t>
      </w:r>
      <w:r>
        <w:rPr>
          <w:rFonts w:ascii="仿宋_GB2312" w:hAnsi="仿宋" w:cs="仿宋"/>
          <w:color w:val="auto"/>
        </w:rPr>
        <w:t>80%</w:t>
      </w:r>
      <w:r>
        <w:rPr>
          <w:rFonts w:hint="eastAsia" w:ascii="仿宋_GB2312" w:hAnsi="仿宋" w:cs="仿宋"/>
          <w:color w:val="auto"/>
        </w:rPr>
        <w:t>、第二年</w:t>
      </w:r>
      <w:r>
        <w:rPr>
          <w:rFonts w:ascii="仿宋_GB2312" w:hAnsi="仿宋" w:cs="仿宋"/>
          <w:color w:val="auto"/>
        </w:rPr>
        <w:t>60%</w:t>
      </w:r>
      <w:r>
        <w:rPr>
          <w:rFonts w:hint="eastAsia" w:ascii="仿宋_GB2312" w:hAnsi="仿宋" w:cs="仿宋"/>
          <w:color w:val="auto"/>
        </w:rPr>
        <w:t>、第三年</w:t>
      </w:r>
      <w:r>
        <w:rPr>
          <w:rFonts w:ascii="仿宋_GB2312" w:hAnsi="仿宋" w:cs="仿宋"/>
          <w:color w:val="auto"/>
        </w:rPr>
        <w:t>50%</w:t>
      </w:r>
      <w:r>
        <w:rPr>
          <w:rFonts w:hint="eastAsia" w:ascii="仿宋_GB2312" w:hAnsi="仿宋" w:cs="仿宋"/>
          <w:color w:val="auto"/>
        </w:rPr>
        <w:t>的租金补贴。</w:t>
      </w:r>
    </w:p>
    <w:p>
      <w:pPr>
        <w:numPr>
          <w:ilvl w:val="0"/>
          <w:numId w:val="0"/>
        </w:numPr>
        <w:spacing w:line="570" w:lineRule="exact"/>
        <w:ind w:firstLine="704" w:firstLineChars="200"/>
        <w:rPr>
          <w:rFonts w:ascii="仿宋_GB2312" w:hAnsi="仿宋" w:cs="仿宋"/>
          <w:color w:val="auto"/>
        </w:rPr>
      </w:pPr>
      <w:r>
        <w:rPr>
          <w:rFonts w:hint="eastAsia" w:ascii="仿宋_GB2312" w:hAnsi="仿宋" w:cs="仿宋"/>
          <w:color w:val="auto"/>
          <w:lang w:eastAsia="zh-CN"/>
        </w:rPr>
        <w:t>（</w:t>
      </w:r>
      <w:r>
        <w:rPr>
          <w:rFonts w:hint="eastAsia" w:ascii="仿宋_GB2312" w:hAnsi="仿宋" w:cs="仿宋"/>
          <w:color w:val="auto"/>
          <w:lang w:val="en-US" w:eastAsia="zh-CN"/>
        </w:rPr>
        <w:t>二</w:t>
      </w:r>
      <w:r>
        <w:rPr>
          <w:rFonts w:hint="eastAsia" w:ascii="仿宋_GB2312" w:hAnsi="仿宋" w:cs="仿宋"/>
          <w:color w:val="auto"/>
          <w:lang w:eastAsia="zh-CN"/>
        </w:rPr>
        <w:t>）</w:t>
      </w:r>
      <w:r>
        <w:rPr>
          <w:rFonts w:hint="eastAsia" w:ascii="仿宋_GB2312" w:hAnsi="仿宋" w:cs="仿宋"/>
          <w:color w:val="auto"/>
        </w:rPr>
        <w:t>对</w:t>
      </w:r>
      <w:r>
        <w:rPr>
          <w:rFonts w:hint="eastAsia" w:ascii="仿宋_GB2312" w:hAnsi="仿宋" w:cs="仿宋"/>
          <w:color w:val="auto"/>
          <w:lang w:eastAsia="zh-CN"/>
        </w:rPr>
        <w:t>当年</w:t>
      </w:r>
      <w:r>
        <w:rPr>
          <w:rFonts w:hint="eastAsia" w:ascii="仿宋_GB2312" w:hAnsi="仿宋" w:cs="仿宋"/>
          <w:color w:val="auto"/>
        </w:rPr>
        <w:t>营收同比增长</w:t>
      </w:r>
      <w:r>
        <w:rPr>
          <w:rFonts w:hint="eastAsia" w:ascii="仿宋_GB2312" w:hAnsi="仿宋" w:cs="仿宋"/>
          <w:color w:val="auto"/>
          <w:lang w:val="en-US" w:eastAsia="zh-CN"/>
        </w:rPr>
        <w:t>20</w:t>
      </w:r>
      <w:r>
        <w:rPr>
          <w:rFonts w:ascii="仿宋_GB2312" w:hAnsi="仿宋" w:cs="仿宋"/>
          <w:color w:val="auto"/>
        </w:rPr>
        <w:t>%</w:t>
      </w:r>
      <w:r>
        <w:rPr>
          <w:rFonts w:hint="eastAsia" w:ascii="仿宋_GB2312" w:hAnsi="仿宋" w:cs="仿宋"/>
          <w:color w:val="auto"/>
        </w:rPr>
        <w:t>以上的高端专业服务企业，按企业在本区租赁办公场所的面积和时间，给予当年</w:t>
      </w:r>
      <w:r>
        <w:rPr>
          <w:rFonts w:ascii="仿宋_GB2312" w:hAnsi="仿宋" w:cs="仿宋"/>
          <w:color w:val="auto"/>
        </w:rPr>
        <w:t>50%</w:t>
      </w:r>
      <w:r>
        <w:rPr>
          <w:rFonts w:hint="eastAsia" w:ascii="仿宋_GB2312" w:hAnsi="仿宋" w:cs="仿宋"/>
          <w:color w:val="auto"/>
        </w:rPr>
        <w:t>的租金补贴。</w:t>
      </w:r>
    </w:p>
    <w:p>
      <w:pPr>
        <w:numPr>
          <w:ilvl w:val="0"/>
          <w:numId w:val="0"/>
        </w:numPr>
        <w:spacing w:line="570" w:lineRule="exact"/>
        <w:ind w:firstLine="704" w:firstLineChars="200"/>
        <w:rPr>
          <w:rFonts w:ascii="仿宋_GB2312" w:hAnsi="仿宋" w:cs="仿宋"/>
          <w:color w:val="auto"/>
        </w:rPr>
      </w:pPr>
      <w:r>
        <w:rPr>
          <w:rFonts w:hint="eastAsia" w:ascii="仿宋_GB2312" w:hAnsi="仿宋" w:cs="仿宋"/>
          <w:color w:val="auto"/>
          <w:lang w:eastAsia="zh-CN"/>
        </w:rPr>
        <w:t>（</w:t>
      </w:r>
      <w:r>
        <w:rPr>
          <w:rFonts w:hint="eastAsia" w:ascii="仿宋_GB2312" w:hAnsi="仿宋" w:cs="仿宋"/>
          <w:color w:val="auto"/>
          <w:lang w:val="en-US" w:eastAsia="zh-CN"/>
        </w:rPr>
        <w:t>三</w:t>
      </w:r>
      <w:r>
        <w:rPr>
          <w:rFonts w:hint="eastAsia" w:ascii="仿宋_GB2312" w:hAnsi="仿宋" w:cs="仿宋"/>
          <w:color w:val="auto"/>
          <w:lang w:eastAsia="zh-CN"/>
        </w:rPr>
        <w:t>）</w:t>
      </w:r>
      <w:r>
        <w:rPr>
          <w:rFonts w:hint="eastAsia" w:ascii="仿宋_GB2312" w:hAnsi="仿宋" w:cs="仿宋"/>
          <w:color w:val="auto"/>
        </w:rPr>
        <w:t>对</w:t>
      </w:r>
      <w:r>
        <w:rPr>
          <w:rFonts w:hint="eastAsia" w:ascii="仿宋_GB2312" w:eastAsia="仿宋_GB2312"/>
          <w:color w:val="auto"/>
          <w:szCs w:val="32"/>
        </w:rPr>
        <w:t>当年</w:t>
      </w:r>
      <w:r>
        <w:rPr>
          <w:rFonts w:hint="eastAsia" w:ascii="仿宋_GB2312" w:eastAsia="仿宋_GB2312"/>
          <w:color w:val="auto"/>
          <w:szCs w:val="32"/>
          <w:lang w:eastAsia="zh-CN"/>
        </w:rPr>
        <w:t>新开业并</w:t>
      </w:r>
      <w:r>
        <w:rPr>
          <w:rFonts w:hint="eastAsia" w:ascii="仿宋_GB2312" w:eastAsia="仿宋_GB2312"/>
          <w:color w:val="auto"/>
          <w:szCs w:val="32"/>
        </w:rPr>
        <w:t>入统</w:t>
      </w:r>
      <w:r>
        <w:rPr>
          <w:rFonts w:hint="eastAsia" w:ascii="仿宋_GB2312" w:hAnsi="仿宋" w:cs="仿宋"/>
          <w:color w:val="auto"/>
        </w:rPr>
        <w:t>的高端专业服务企业，当年或次年在本区购置办公用房的企业，按照实际金额的</w:t>
      </w:r>
      <w:r>
        <w:rPr>
          <w:rFonts w:ascii="仿宋_GB2312" w:hAnsi="仿宋" w:cs="仿宋"/>
          <w:color w:val="auto"/>
        </w:rPr>
        <w:t>10%</w:t>
      </w:r>
      <w:r>
        <w:rPr>
          <w:rFonts w:hint="eastAsia" w:ascii="仿宋_GB2312" w:hAnsi="仿宋" w:cs="仿宋"/>
          <w:color w:val="auto"/>
        </w:rPr>
        <w:t>给予一次性补贴。</w:t>
      </w:r>
    </w:p>
    <w:p>
      <w:pPr>
        <w:spacing w:line="570" w:lineRule="exact"/>
        <w:ind w:firstLine="704" w:firstLineChars="200"/>
        <w:rPr>
          <w:rFonts w:ascii="仿宋_GB2312" w:hAnsi="仿宋" w:cs="仿宋"/>
          <w:color w:val="auto"/>
        </w:rPr>
      </w:pPr>
      <w:r>
        <w:rPr>
          <w:rFonts w:hint="eastAsia" w:ascii="仿宋_GB2312" w:hAnsi="仿宋" w:cs="仿宋"/>
          <w:color w:val="auto"/>
        </w:rPr>
        <w:t>企业对外分租、转租的办公用房不得申请补助，单个企业租金或购房补贴最高不超过</w:t>
      </w:r>
      <w:r>
        <w:rPr>
          <w:rFonts w:ascii="仿宋_GB2312" w:hAnsi="仿宋" w:cs="仿宋"/>
          <w:color w:val="auto"/>
        </w:rPr>
        <w:t>300</w:t>
      </w:r>
      <w:r>
        <w:rPr>
          <w:rFonts w:hint="eastAsia" w:ascii="仿宋_GB2312" w:hAnsi="仿宋" w:cs="仿宋"/>
          <w:color w:val="auto"/>
        </w:rPr>
        <w:t>万元。对特别重大的高端专业服务业招商项目，区政府给予一定面积和时限的办公场所免租使用。</w:t>
      </w:r>
    </w:p>
    <w:p>
      <w:pPr>
        <w:spacing w:line="570" w:lineRule="exact"/>
        <w:ind w:firstLine="704" w:firstLineChars="200"/>
        <w:rPr>
          <w:rFonts w:ascii="仿宋_GB2312" w:hAnsi="仿宋_GB2312" w:cs="仿宋_GB2312"/>
          <w:b/>
          <w:bCs/>
          <w:color w:val="auto"/>
        </w:rPr>
      </w:pPr>
      <w:r>
        <w:rPr>
          <w:rFonts w:hint="eastAsia" w:ascii="黑体" w:hAnsi="黑体" w:eastAsia="黑体" w:cs="仿宋_GB2312"/>
          <w:bCs/>
          <w:color w:val="auto"/>
        </w:rPr>
        <w:t>第八条</w:t>
      </w:r>
      <w:r>
        <w:rPr>
          <w:rFonts w:ascii="黑体" w:hAnsi="黑体" w:eastAsia="黑体" w:cs="仿宋_GB2312"/>
          <w:bCs/>
          <w:color w:val="auto"/>
        </w:rPr>
        <w:t xml:space="preserve"> </w:t>
      </w:r>
      <w:r>
        <w:rPr>
          <w:rFonts w:hint="eastAsia" w:ascii="仿宋_GB2312" w:hAnsi="仿宋_GB2312" w:cs="仿宋_GB2312"/>
          <w:bCs/>
          <w:color w:val="auto"/>
        </w:rPr>
        <w:t>加强重点企业人才培育力度</w:t>
      </w:r>
    </w:p>
    <w:p>
      <w:pPr>
        <w:spacing w:line="570" w:lineRule="exact"/>
        <w:ind w:firstLine="704" w:firstLineChars="200"/>
        <w:rPr>
          <w:rFonts w:ascii="仿宋_GB2312" w:hAnsi="仿宋" w:cs="仿宋"/>
          <w:color w:val="auto"/>
        </w:rPr>
      </w:pPr>
      <w:r>
        <w:rPr>
          <w:rFonts w:hint="eastAsia" w:ascii="仿宋_GB2312" w:hAnsi="仿宋" w:cs="仿宋"/>
          <w:color w:val="auto"/>
        </w:rPr>
        <w:t>（一）对</w:t>
      </w:r>
      <w:r>
        <w:rPr>
          <w:rFonts w:hint="eastAsia" w:ascii="仿宋_GB2312" w:eastAsia="仿宋_GB2312"/>
          <w:color w:val="auto"/>
          <w:szCs w:val="32"/>
        </w:rPr>
        <w:t>当年</w:t>
      </w:r>
      <w:r>
        <w:rPr>
          <w:rFonts w:hint="eastAsia" w:ascii="仿宋_GB2312" w:eastAsia="仿宋_GB2312"/>
          <w:color w:val="auto"/>
          <w:szCs w:val="32"/>
          <w:lang w:eastAsia="zh-CN"/>
        </w:rPr>
        <w:t>新开业并</w:t>
      </w:r>
      <w:r>
        <w:rPr>
          <w:rFonts w:hint="eastAsia" w:ascii="仿宋_GB2312" w:eastAsia="仿宋_GB2312"/>
          <w:color w:val="auto"/>
          <w:szCs w:val="32"/>
        </w:rPr>
        <w:t>入统</w:t>
      </w:r>
      <w:r>
        <w:rPr>
          <w:rFonts w:hint="eastAsia" w:ascii="仿宋_GB2312" w:hAnsi="仿宋" w:cs="仿宋"/>
          <w:color w:val="auto"/>
        </w:rPr>
        <w:t>的高端专业服务企业，或当年营业收入达到</w:t>
      </w:r>
      <w:r>
        <w:rPr>
          <w:rFonts w:ascii="仿宋_GB2312" w:hAnsi="仿宋" w:cs="仿宋"/>
          <w:color w:val="auto"/>
        </w:rPr>
        <w:t>3000</w:t>
      </w:r>
      <w:r>
        <w:rPr>
          <w:rFonts w:hint="eastAsia" w:ascii="仿宋_GB2312" w:hAnsi="仿宋" w:cs="仿宋"/>
          <w:color w:val="auto"/>
        </w:rPr>
        <w:t>万元且同比增长</w:t>
      </w:r>
      <w:r>
        <w:rPr>
          <w:rFonts w:ascii="仿宋_GB2312" w:hAnsi="仿宋" w:cs="仿宋"/>
          <w:color w:val="auto"/>
        </w:rPr>
        <w:t>10%</w:t>
      </w:r>
      <w:r>
        <w:rPr>
          <w:rFonts w:hint="eastAsia" w:ascii="仿宋_GB2312" w:hAnsi="仿宋" w:cs="仿宋"/>
          <w:color w:val="auto"/>
        </w:rPr>
        <w:t>以上的高端专业服务企业给予以下支持。</w:t>
      </w:r>
    </w:p>
    <w:p>
      <w:pPr>
        <w:spacing w:line="570" w:lineRule="exact"/>
        <w:ind w:firstLine="704" w:firstLineChars="200"/>
        <w:rPr>
          <w:rFonts w:hint="eastAsia" w:ascii="仿宋_GB2312" w:hAnsi="仿宋" w:cs="仿宋"/>
          <w:color w:val="auto"/>
        </w:rPr>
      </w:pPr>
      <w:r>
        <w:rPr>
          <w:rFonts w:hint="eastAsia" w:ascii="仿宋_GB2312" w:hAnsi="仿宋" w:cs="仿宋"/>
          <w:color w:val="auto"/>
          <w:lang w:val="en-US" w:eastAsia="zh-CN"/>
        </w:rPr>
        <w:t>1</w:t>
      </w:r>
      <w:r>
        <w:rPr>
          <w:rFonts w:hint="eastAsia" w:ascii="仿宋_GB2312" w:hAnsi="仿宋" w:cs="仿宋"/>
          <w:color w:val="auto"/>
        </w:rPr>
        <w:t>.对年应税总收入达到</w:t>
      </w:r>
      <w:r>
        <w:rPr>
          <w:rFonts w:ascii="仿宋_GB2312" w:hAnsi="仿宋" w:cs="仿宋"/>
          <w:color w:val="auto"/>
        </w:rPr>
        <w:t>50</w:t>
      </w:r>
      <w:r>
        <w:rPr>
          <w:rFonts w:hint="eastAsia" w:ascii="仿宋_GB2312" w:hAnsi="仿宋" w:cs="仿宋"/>
          <w:color w:val="auto"/>
        </w:rPr>
        <w:t>万元以上的高端人才，按照</w:t>
      </w:r>
      <w:r>
        <w:rPr>
          <w:rFonts w:hint="eastAsia" w:ascii="仿宋_GB2312" w:hAnsi="仿宋" w:cs="仿宋"/>
          <w:color w:val="auto"/>
          <w:lang w:eastAsia="zh-CN"/>
        </w:rPr>
        <w:t>个人贡献情况给予最高不超过</w:t>
      </w:r>
      <w:r>
        <w:rPr>
          <w:rFonts w:hint="eastAsia" w:ascii="仿宋_GB2312" w:hAnsi="仿宋" w:cs="仿宋"/>
          <w:color w:val="auto"/>
          <w:lang w:val="en-US" w:eastAsia="zh-CN"/>
        </w:rPr>
        <w:t>500万元的奖励</w:t>
      </w:r>
      <w:r>
        <w:rPr>
          <w:rFonts w:hint="eastAsia" w:ascii="仿宋_GB2312" w:hAnsi="仿宋" w:cs="仿宋"/>
          <w:color w:val="auto"/>
        </w:rPr>
        <w:t>；</w:t>
      </w:r>
    </w:p>
    <w:p>
      <w:pPr>
        <w:spacing w:line="570" w:lineRule="exact"/>
        <w:ind w:firstLine="624" w:firstLineChars="200"/>
        <w:rPr>
          <w:rFonts w:hint="eastAsia"/>
          <w:color w:val="auto"/>
          <w:kern w:val="0"/>
          <w:sz w:val="28"/>
          <w:szCs w:val="28"/>
          <w:lang w:val="en-US" w:eastAsia="zh-CN"/>
        </w:rPr>
      </w:pPr>
      <w:r>
        <w:rPr>
          <w:rFonts w:hint="eastAsia"/>
          <w:color w:val="auto"/>
          <w:kern w:val="0"/>
          <w:sz w:val="28"/>
          <w:szCs w:val="28"/>
          <w:lang w:val="en-US" w:eastAsia="zh-CN"/>
        </w:rPr>
        <w:t>（修订内容：根据部门意见，不再以地方经济贡献为奖励标准，避免与地方经济贡献直接挂钩，且不再区分境外和境内，统一标准和奖励额度。）</w:t>
      </w:r>
    </w:p>
    <w:p>
      <w:pPr>
        <w:spacing w:line="570" w:lineRule="exact"/>
        <w:ind w:firstLine="704" w:firstLineChars="200"/>
        <w:rPr>
          <w:rFonts w:ascii="仿宋_GB2312" w:hAnsi="仿宋" w:cs="仿宋"/>
          <w:color w:val="auto"/>
        </w:rPr>
      </w:pPr>
      <w:r>
        <w:rPr>
          <w:rFonts w:hint="eastAsia" w:ascii="仿宋_GB2312" w:hAnsi="仿宋" w:cs="仿宋"/>
          <w:color w:val="auto"/>
          <w:lang w:val="en-US" w:eastAsia="zh-CN"/>
        </w:rPr>
        <w:t>2</w:t>
      </w:r>
      <w:r>
        <w:rPr>
          <w:rFonts w:hint="eastAsia" w:ascii="仿宋_GB2312" w:hAnsi="仿宋" w:cs="仿宋"/>
          <w:color w:val="auto"/>
        </w:rPr>
        <w:t>.对当年新招录并落户本区的员工给予一定额度的岗位补贴，其中全日制本科</w:t>
      </w:r>
      <w:r>
        <w:rPr>
          <w:rFonts w:ascii="仿宋_GB2312" w:hAnsi="仿宋" w:cs="仿宋"/>
          <w:color w:val="auto"/>
        </w:rPr>
        <w:t>1</w:t>
      </w:r>
      <w:r>
        <w:rPr>
          <w:rFonts w:hint="eastAsia" w:ascii="仿宋_GB2312" w:hAnsi="仿宋" w:cs="仿宋"/>
          <w:color w:val="auto"/>
        </w:rPr>
        <w:t>万元，全日制研究生</w:t>
      </w:r>
      <w:r>
        <w:rPr>
          <w:rFonts w:ascii="仿宋_GB2312" w:hAnsi="仿宋" w:cs="仿宋"/>
          <w:color w:val="auto"/>
        </w:rPr>
        <w:t>1.5</w:t>
      </w:r>
      <w:r>
        <w:rPr>
          <w:rFonts w:hint="eastAsia" w:ascii="仿宋_GB2312" w:hAnsi="仿宋" w:cs="仿宋"/>
          <w:color w:val="auto"/>
        </w:rPr>
        <w:t>万元，全日制博士生</w:t>
      </w:r>
      <w:r>
        <w:rPr>
          <w:rFonts w:ascii="仿宋_GB2312" w:hAnsi="仿宋" w:cs="仿宋"/>
          <w:color w:val="auto"/>
        </w:rPr>
        <w:t>3</w:t>
      </w:r>
      <w:r>
        <w:rPr>
          <w:rFonts w:hint="eastAsia" w:ascii="仿宋_GB2312" w:hAnsi="仿宋" w:cs="仿宋"/>
          <w:color w:val="auto"/>
        </w:rPr>
        <w:t>万元。</w:t>
      </w:r>
    </w:p>
    <w:p>
      <w:pPr>
        <w:spacing w:line="570" w:lineRule="exact"/>
        <w:ind w:firstLine="704" w:firstLineChars="200"/>
        <w:rPr>
          <w:rFonts w:ascii="仿宋_GB2312" w:hAnsi="仿宋" w:cs="仿宋"/>
          <w:color w:val="auto"/>
        </w:rPr>
      </w:pPr>
      <w:r>
        <w:rPr>
          <w:rFonts w:hint="eastAsia" w:ascii="仿宋_GB2312" w:hAnsi="仿宋" w:cs="仿宋"/>
          <w:color w:val="auto"/>
        </w:rPr>
        <w:t>（二）对高端专业服务企业当年引进并落户本区，取得高级技师职业资格（参考《广州市引进技术技能人才职业目录（</w:t>
      </w:r>
      <w:r>
        <w:rPr>
          <w:rFonts w:ascii="仿宋_GB2312" w:hAnsi="仿宋" w:cs="仿宋"/>
          <w:color w:val="auto"/>
        </w:rPr>
        <w:t>2019</w:t>
      </w:r>
      <w:r>
        <w:rPr>
          <w:rFonts w:hint="eastAsia" w:ascii="仿宋_GB2312" w:hAnsi="仿宋" w:cs="仿宋"/>
          <w:color w:val="auto"/>
        </w:rPr>
        <w:t>年）》）和副高级、正高级职称的人才，分别给予每人</w:t>
      </w:r>
      <w:r>
        <w:rPr>
          <w:rFonts w:ascii="仿宋_GB2312" w:hAnsi="仿宋" w:cs="仿宋"/>
          <w:color w:val="auto"/>
        </w:rPr>
        <w:t>2</w:t>
      </w:r>
      <w:r>
        <w:rPr>
          <w:rFonts w:hint="eastAsia" w:ascii="仿宋_GB2312" w:hAnsi="仿宋" w:cs="仿宋"/>
          <w:color w:val="auto"/>
        </w:rPr>
        <w:t>万元、</w:t>
      </w:r>
      <w:r>
        <w:rPr>
          <w:rFonts w:ascii="仿宋_GB2312" w:hAnsi="仿宋" w:cs="仿宋"/>
          <w:color w:val="auto"/>
        </w:rPr>
        <w:t>3</w:t>
      </w:r>
      <w:r>
        <w:rPr>
          <w:rFonts w:hint="eastAsia" w:ascii="仿宋_GB2312" w:hAnsi="仿宋" w:cs="仿宋"/>
          <w:color w:val="auto"/>
        </w:rPr>
        <w:t>万元、</w:t>
      </w:r>
      <w:r>
        <w:rPr>
          <w:rFonts w:ascii="仿宋_GB2312" w:hAnsi="仿宋" w:cs="仿宋"/>
          <w:color w:val="auto"/>
        </w:rPr>
        <w:t>5</w:t>
      </w:r>
      <w:r>
        <w:rPr>
          <w:rFonts w:hint="eastAsia" w:ascii="仿宋_GB2312" w:hAnsi="仿宋" w:cs="仿宋"/>
          <w:color w:val="auto"/>
        </w:rPr>
        <w:t>万元的一次性奖励。</w:t>
      </w:r>
    </w:p>
    <w:p>
      <w:pPr>
        <w:spacing w:line="570" w:lineRule="exact"/>
        <w:ind w:firstLine="704" w:firstLineChars="200"/>
        <w:rPr>
          <w:rFonts w:ascii="仿宋_GB2312" w:hAnsi="仿宋" w:cs="仿宋"/>
          <w:color w:val="auto"/>
        </w:rPr>
      </w:pPr>
      <w:r>
        <w:rPr>
          <w:rFonts w:hint="eastAsia" w:ascii="仿宋_GB2312" w:hAnsi="仿宋" w:cs="仿宋"/>
          <w:color w:val="auto"/>
        </w:rPr>
        <w:t>以上奖励或补贴名额根据企业当年营收情况给予分配。</w:t>
      </w:r>
    </w:p>
    <w:p>
      <w:pPr>
        <w:numPr>
          <w:ilvl w:val="0"/>
          <w:numId w:val="0"/>
        </w:numPr>
        <w:spacing w:line="570" w:lineRule="exact"/>
        <w:ind w:firstLine="704" w:firstLineChars="200"/>
        <w:rPr>
          <w:rFonts w:ascii="仿宋_GB2312" w:hAnsi="仿宋_GB2312" w:cs="仿宋_GB2312"/>
          <w:bCs/>
          <w:color w:val="auto"/>
        </w:rPr>
      </w:pPr>
      <w:r>
        <w:rPr>
          <w:rFonts w:hint="eastAsia" w:ascii="黑体" w:hAnsi="黑体" w:eastAsia="黑体" w:cs="黑体"/>
          <w:bCs/>
          <w:color w:val="auto"/>
          <w:lang w:val="en-US" w:eastAsia="zh-CN"/>
        </w:rPr>
        <w:t xml:space="preserve">第九条 </w:t>
      </w:r>
      <w:r>
        <w:rPr>
          <w:rFonts w:hint="eastAsia" w:ascii="仿宋_GB2312" w:hAnsi="仿宋_GB2312" w:cs="仿宋_GB2312"/>
          <w:bCs/>
          <w:color w:val="auto"/>
        </w:rPr>
        <w:t>支持我区企业创优评级</w:t>
      </w:r>
      <w:r>
        <w:rPr>
          <w:rFonts w:hint="eastAsia" w:ascii="仿宋_GB2312" w:hAnsi="仿宋_GB2312" w:cs="仿宋_GB2312"/>
          <w:bCs/>
          <w:color w:val="auto"/>
          <w:lang w:eastAsia="zh-CN"/>
        </w:rPr>
        <w:t>。</w:t>
      </w:r>
    </w:p>
    <w:p>
      <w:pPr>
        <w:numPr>
          <w:ilvl w:val="0"/>
          <w:numId w:val="0"/>
        </w:numPr>
        <w:spacing w:line="570" w:lineRule="exact"/>
        <w:ind w:firstLine="704" w:firstLineChars="200"/>
        <w:rPr>
          <w:rFonts w:hint="eastAsia" w:ascii="仿宋_GB2312" w:hAnsi="仿宋_GB2312" w:cs="仿宋_GB2312"/>
          <w:bCs/>
          <w:color w:val="auto"/>
        </w:rPr>
      </w:pPr>
      <w:r>
        <w:rPr>
          <w:rFonts w:hint="eastAsia" w:ascii="仿宋_GB2312" w:hAnsi="仿宋_GB2312" w:cs="仿宋_GB2312"/>
          <w:bCs/>
          <w:color w:val="auto"/>
          <w:lang w:eastAsia="zh-CN"/>
        </w:rPr>
        <w:t>（</w:t>
      </w:r>
      <w:r>
        <w:rPr>
          <w:rFonts w:hint="eastAsia" w:ascii="仿宋_GB2312" w:hAnsi="仿宋_GB2312" w:cs="仿宋_GB2312"/>
          <w:bCs/>
          <w:color w:val="auto"/>
          <w:lang w:val="en-US" w:eastAsia="zh-CN"/>
        </w:rPr>
        <w:t>一</w:t>
      </w:r>
      <w:r>
        <w:rPr>
          <w:rFonts w:hint="eastAsia" w:ascii="仿宋_GB2312" w:hAnsi="仿宋_GB2312" w:cs="仿宋_GB2312"/>
          <w:bCs/>
          <w:color w:val="auto"/>
          <w:lang w:eastAsia="zh-CN"/>
        </w:rPr>
        <w:t>）对</w:t>
      </w:r>
      <w:r>
        <w:rPr>
          <w:rFonts w:hint="eastAsia" w:ascii="仿宋_GB2312" w:hAnsi="仿宋_GB2312" w:cs="仿宋_GB2312"/>
          <w:bCs/>
          <w:color w:val="auto"/>
        </w:rPr>
        <w:t>首次获得中国商业联合会、中华律师协会、中国注册会计师协会、中国注册税务师协会、中国资产评估协会、中国企业联合会管理咨询委员会、中国广告协会</w:t>
      </w:r>
      <w:r>
        <w:rPr>
          <w:rFonts w:hint="eastAsia" w:ascii="仿宋_GB2312" w:hAnsi="仿宋_GB2312" w:cs="仿宋_GB2312"/>
          <w:bCs/>
          <w:color w:val="auto"/>
          <w:lang w:eastAsia="zh-CN"/>
        </w:rPr>
        <w:t>等机构</w:t>
      </w:r>
      <w:r>
        <w:rPr>
          <w:rFonts w:hint="eastAsia" w:ascii="仿宋_GB2312" w:hAnsi="仿宋_GB2312" w:cs="仿宋_GB2312"/>
          <w:bCs/>
          <w:color w:val="auto"/>
        </w:rPr>
        <w:t>评选</w:t>
      </w:r>
      <w:r>
        <w:rPr>
          <w:rFonts w:hint="eastAsia" w:ascii="仿宋_GB2312" w:hAnsi="仿宋_GB2312" w:cs="仿宋_GB2312"/>
          <w:bCs/>
          <w:color w:val="auto"/>
          <w:lang w:eastAsia="zh-CN"/>
        </w:rPr>
        <w:t>荣誉</w:t>
      </w:r>
      <w:r>
        <w:rPr>
          <w:rFonts w:hint="eastAsia" w:ascii="仿宋_GB2312" w:hAnsi="仿宋_GB2312" w:cs="仿宋_GB2312"/>
          <w:bCs/>
          <w:color w:val="auto"/>
        </w:rPr>
        <w:t>的企业，分别给予一次性50万元的奖励。</w:t>
      </w:r>
    </w:p>
    <w:p>
      <w:pPr>
        <w:numPr>
          <w:ilvl w:val="0"/>
          <w:numId w:val="0"/>
        </w:numPr>
        <w:spacing w:line="570" w:lineRule="exact"/>
        <w:ind w:firstLine="704" w:firstLineChars="200"/>
        <w:rPr>
          <w:rFonts w:ascii="仿宋_GB2312" w:hAnsi="仿宋_GB2312" w:cs="仿宋_GB2312"/>
          <w:bCs/>
          <w:color w:val="auto"/>
        </w:rPr>
      </w:pPr>
      <w:r>
        <w:rPr>
          <w:rFonts w:hint="eastAsia" w:ascii="仿宋_GB2312" w:hAnsi="仿宋_GB2312" w:cs="仿宋_GB2312"/>
          <w:bCs/>
          <w:color w:val="auto"/>
          <w:lang w:eastAsia="zh-CN"/>
        </w:rPr>
        <w:t>（</w:t>
      </w:r>
      <w:r>
        <w:rPr>
          <w:rFonts w:hint="eastAsia" w:ascii="仿宋_GB2312" w:hAnsi="仿宋_GB2312" w:cs="仿宋_GB2312"/>
          <w:bCs/>
          <w:color w:val="auto"/>
          <w:lang w:val="en-US" w:eastAsia="zh-CN"/>
        </w:rPr>
        <w:t>二</w:t>
      </w:r>
      <w:r>
        <w:rPr>
          <w:rFonts w:hint="eastAsia" w:ascii="仿宋_GB2312" w:hAnsi="仿宋_GB2312" w:cs="仿宋_GB2312"/>
          <w:bCs/>
          <w:color w:val="auto"/>
          <w:lang w:eastAsia="zh-CN"/>
        </w:rPr>
        <w:t>）</w:t>
      </w:r>
      <w:r>
        <w:rPr>
          <w:rFonts w:hint="eastAsia" w:ascii="仿宋_GB2312" w:hAnsi="仿宋_GB2312" w:cs="仿宋_GB2312"/>
          <w:bCs/>
          <w:color w:val="auto"/>
        </w:rPr>
        <w:t>支持企业单位参与各类行业评定，</w:t>
      </w:r>
      <w:r>
        <w:rPr>
          <w:rFonts w:hint="eastAsia" w:ascii="仿宋_GB2312" w:hAnsi="仿宋_GB2312" w:cs="仿宋_GB2312"/>
          <w:bCs/>
          <w:color w:val="auto"/>
          <w:lang w:eastAsia="zh-CN"/>
        </w:rPr>
        <w:t>对当年</w:t>
      </w:r>
      <w:r>
        <w:rPr>
          <w:rFonts w:hint="eastAsia" w:ascii="仿宋_GB2312" w:hAnsi="仿宋_GB2312" w:cs="仿宋_GB2312"/>
          <w:bCs/>
          <w:color w:val="auto"/>
        </w:rPr>
        <w:t>获得美国普利兹克建筑奖、德国红点奖、中国设计红星奖</w:t>
      </w:r>
      <w:r>
        <w:rPr>
          <w:rFonts w:hint="eastAsia" w:ascii="仿宋_GB2312" w:hAnsi="仿宋_GB2312" w:cs="仿宋_GB2312"/>
          <w:bCs/>
          <w:color w:val="auto"/>
          <w:lang w:eastAsia="zh-CN"/>
        </w:rPr>
        <w:t>等国际国内重要设计奖项的企业，</w:t>
      </w:r>
      <w:r>
        <w:rPr>
          <w:rFonts w:hint="eastAsia" w:ascii="仿宋_GB2312" w:hAnsi="仿宋_GB2312" w:cs="仿宋_GB2312"/>
          <w:bCs/>
          <w:color w:val="auto"/>
        </w:rPr>
        <w:t>给予每项</w:t>
      </w:r>
      <w:r>
        <w:rPr>
          <w:rFonts w:hint="eastAsia" w:ascii="仿宋_GB2312" w:hAnsi="仿宋_GB2312" w:cs="仿宋_GB2312"/>
          <w:bCs/>
          <w:color w:val="auto"/>
          <w:lang w:eastAsia="zh-CN"/>
        </w:rPr>
        <w:t>一次性</w:t>
      </w:r>
      <w:r>
        <w:rPr>
          <w:rFonts w:hint="eastAsia" w:ascii="仿宋_GB2312" w:hAnsi="仿宋_GB2312" w:cs="仿宋_GB2312"/>
          <w:bCs/>
          <w:color w:val="auto"/>
        </w:rPr>
        <w:t>50万元的奖励</w:t>
      </w:r>
      <w:r>
        <w:rPr>
          <w:rFonts w:hint="eastAsia" w:ascii="仿宋_GB2312" w:hAnsi="仿宋_GB2312" w:cs="仿宋_GB2312"/>
          <w:bCs/>
          <w:color w:val="auto"/>
          <w:lang w:eastAsia="zh-CN"/>
        </w:rPr>
        <w:t>，最高不超过</w:t>
      </w:r>
      <w:r>
        <w:rPr>
          <w:rFonts w:hint="eastAsia" w:ascii="仿宋_GB2312" w:hAnsi="仿宋_GB2312" w:cs="仿宋_GB2312"/>
          <w:bCs/>
          <w:color w:val="auto"/>
          <w:lang w:val="en-US" w:eastAsia="zh-CN"/>
        </w:rPr>
        <w:t>100万元</w:t>
      </w:r>
      <w:r>
        <w:rPr>
          <w:rFonts w:hint="eastAsia" w:ascii="仿宋_GB2312" w:hAnsi="仿宋_GB2312" w:cs="仿宋_GB2312"/>
          <w:bCs/>
          <w:color w:val="auto"/>
        </w:rPr>
        <w:t>。</w:t>
      </w:r>
    </w:p>
    <w:p>
      <w:pPr>
        <w:spacing w:line="570" w:lineRule="exact"/>
        <w:ind w:firstLine="624" w:firstLineChars="200"/>
        <w:rPr>
          <w:rFonts w:hint="eastAsia"/>
          <w:color w:val="auto"/>
          <w:kern w:val="0"/>
          <w:sz w:val="28"/>
          <w:szCs w:val="28"/>
          <w:lang w:val="en-US" w:eastAsia="zh-CN"/>
        </w:rPr>
      </w:pPr>
      <w:r>
        <w:rPr>
          <w:rFonts w:hint="eastAsia"/>
          <w:color w:val="auto"/>
          <w:kern w:val="0"/>
          <w:sz w:val="28"/>
          <w:szCs w:val="28"/>
          <w:lang w:val="en-US" w:eastAsia="zh-CN"/>
        </w:rPr>
        <w:t>（修订内容：替换原有政策条款“支持我区高端专业服务企业加强品牌建设，引导企业开展创优评级，对于获得《广州市人民政府办公厅关于加快发展高端专业服务业的意见》等政策创优评级奖励的我区高端专业服务企业，按照1：1的比例予以配套奖励。”原《广州市人民政府办公厅关于加快发展高端专业服务业的意见》已到期失效。</w:t>
      </w:r>
    </w:p>
    <w:p>
      <w:pPr>
        <w:spacing w:line="570" w:lineRule="exact"/>
        <w:ind w:firstLine="624" w:firstLineChars="200"/>
        <w:rPr>
          <w:rFonts w:hint="default"/>
          <w:color w:val="auto"/>
          <w:kern w:val="0"/>
          <w:sz w:val="28"/>
          <w:szCs w:val="28"/>
          <w:lang w:val="en-US" w:eastAsia="zh-CN"/>
        </w:rPr>
      </w:pPr>
      <w:r>
        <w:rPr>
          <w:rFonts w:hint="eastAsia"/>
          <w:color w:val="auto"/>
          <w:kern w:val="0"/>
          <w:sz w:val="28"/>
          <w:szCs w:val="28"/>
          <w:lang w:val="en-US" w:eastAsia="zh-CN"/>
        </w:rPr>
        <w:t>参照《中国（福建）自由贸易试验区厦门片区管理委员会关于推进高端现代专业服务业发展的若干措施》“（三）支持高端现代专业服务业品牌建设对已入驻的高端现代专业服务业主体，注册资本金在500万元以上，并实际到资的，首次获得由中国商业联合会、中华律师协会、中国注册会计师协会、中国注册税务师协会、中国资产评估协会、中国企业联合会管理咨询委员会、中国广告协会评选的企业，分别给予一次性50万元的奖励。支持企业单位和工作室参与各类行业评定评价，获得美国普利兹克建筑奖、德国红点奖、中国设计红星奖，按照《厦门自贸片区高端现代专业服务业专项奖励项目表》（详见附件2）标准给予每项50万元的奖励。申请上述奖励的企业单位和工作室在厦门自贸片区注册成立并运营必须达到1年以上，同一个申请的奖励就高不重复。”给予修订。）</w:t>
      </w:r>
    </w:p>
    <w:p>
      <w:pPr>
        <w:spacing w:line="570" w:lineRule="exact"/>
        <w:ind w:firstLine="704" w:firstLineChars="200"/>
        <w:rPr>
          <w:rFonts w:hint="eastAsia" w:ascii="仿宋_GB2312" w:hAnsi="仿宋_GB2312" w:eastAsia="黑体" w:cs="仿宋_GB2312"/>
          <w:b/>
          <w:bCs/>
          <w:color w:val="0070C0"/>
          <w:shd w:val="clear" w:color="auto" w:fill="FFFFFF"/>
          <w:lang w:eastAsia="zh-CN"/>
        </w:rPr>
      </w:pPr>
      <w:r>
        <w:rPr>
          <w:rFonts w:hint="eastAsia" w:ascii="黑体" w:hAnsi="黑体" w:eastAsia="黑体" w:cs="仿宋_GB2312"/>
          <w:bCs/>
          <w:color w:val="0070C0"/>
        </w:rPr>
        <w:t>第十条</w:t>
      </w:r>
      <w:r>
        <w:rPr>
          <w:rFonts w:ascii="黑体" w:hAnsi="黑体" w:eastAsia="黑体" w:cs="仿宋_GB2312"/>
          <w:bCs/>
          <w:color w:val="0070C0"/>
        </w:rPr>
        <w:t xml:space="preserve"> </w:t>
      </w:r>
      <w:r>
        <w:rPr>
          <w:rFonts w:hint="eastAsia" w:ascii="仿宋_GB2312" w:hAnsi="仿宋" w:cs="仿宋"/>
          <w:color w:val="0070C0"/>
          <w:lang w:eastAsia="zh-CN"/>
        </w:rPr>
        <w:t>降低企业营运成本</w:t>
      </w:r>
    </w:p>
    <w:p>
      <w:pPr>
        <w:spacing w:line="570" w:lineRule="exact"/>
        <w:ind w:firstLine="704" w:firstLineChars="200"/>
        <w:rPr>
          <w:rFonts w:ascii="仿宋_GB2312" w:hAnsi="仿宋" w:cs="仿宋"/>
          <w:color w:val="0070C0"/>
        </w:rPr>
      </w:pPr>
      <w:r>
        <w:rPr>
          <w:rFonts w:hint="eastAsia" w:ascii="仿宋_GB2312" w:hAnsi="仿宋" w:cs="仿宋"/>
          <w:color w:val="0070C0"/>
        </w:rPr>
        <w:t>对</w:t>
      </w:r>
      <w:r>
        <w:rPr>
          <w:rFonts w:hint="eastAsia" w:ascii="仿宋_GB2312" w:eastAsia="仿宋_GB2312"/>
          <w:color w:val="0070C0"/>
          <w:szCs w:val="32"/>
        </w:rPr>
        <w:t>当年</w:t>
      </w:r>
      <w:r>
        <w:rPr>
          <w:rFonts w:hint="eastAsia" w:ascii="仿宋_GB2312" w:eastAsia="仿宋_GB2312"/>
          <w:color w:val="0070C0"/>
          <w:szCs w:val="32"/>
          <w:lang w:eastAsia="zh-CN"/>
        </w:rPr>
        <w:t>新开业并</w:t>
      </w:r>
      <w:r>
        <w:rPr>
          <w:rFonts w:hint="eastAsia" w:ascii="仿宋_GB2312" w:eastAsia="仿宋_GB2312"/>
          <w:color w:val="0070C0"/>
          <w:szCs w:val="32"/>
        </w:rPr>
        <w:t>入统</w:t>
      </w:r>
      <w:r>
        <w:rPr>
          <w:rFonts w:hint="eastAsia" w:ascii="仿宋_GB2312" w:hAnsi="仿宋" w:cs="仿宋"/>
          <w:color w:val="0070C0"/>
        </w:rPr>
        <w:t>的高端专业服务企业，或当年营业收入达到</w:t>
      </w:r>
      <w:r>
        <w:rPr>
          <w:rFonts w:hint="eastAsia" w:ascii="仿宋_GB2312" w:hAnsi="仿宋" w:cs="仿宋"/>
          <w:color w:val="0070C0"/>
          <w:lang w:val="en-US" w:eastAsia="zh-CN"/>
        </w:rPr>
        <w:t>5</w:t>
      </w:r>
      <w:r>
        <w:rPr>
          <w:rFonts w:ascii="仿宋_GB2312" w:hAnsi="仿宋" w:cs="仿宋"/>
          <w:color w:val="0070C0"/>
        </w:rPr>
        <w:t>000</w:t>
      </w:r>
      <w:r>
        <w:rPr>
          <w:rFonts w:hint="eastAsia" w:ascii="仿宋_GB2312" w:hAnsi="仿宋" w:cs="仿宋"/>
          <w:color w:val="0070C0"/>
        </w:rPr>
        <w:t>万元且同比增长</w:t>
      </w:r>
      <w:r>
        <w:rPr>
          <w:rFonts w:ascii="仿宋_GB2312" w:hAnsi="仿宋" w:cs="仿宋"/>
          <w:color w:val="0070C0"/>
        </w:rPr>
        <w:t>10%</w:t>
      </w:r>
      <w:r>
        <w:rPr>
          <w:rFonts w:hint="eastAsia" w:ascii="仿宋_GB2312" w:hAnsi="仿宋" w:cs="仿宋"/>
          <w:color w:val="0070C0"/>
        </w:rPr>
        <w:t>以上的高端专业服务企业给予以下支持。</w:t>
      </w:r>
    </w:p>
    <w:p>
      <w:pPr>
        <w:numPr>
          <w:ilvl w:val="0"/>
          <w:numId w:val="1"/>
        </w:numPr>
        <w:spacing w:line="570" w:lineRule="exact"/>
        <w:ind w:firstLine="704" w:firstLineChars="200"/>
        <w:rPr>
          <w:rFonts w:hint="eastAsia" w:ascii="仿宋_GB2312" w:hAnsi="仿宋" w:cs="仿宋"/>
          <w:color w:val="0070C0"/>
          <w:lang w:eastAsia="zh-CN"/>
        </w:rPr>
      </w:pPr>
      <w:r>
        <w:rPr>
          <w:rFonts w:hint="eastAsia" w:ascii="仿宋_GB2312" w:hAnsi="仿宋" w:cs="仿宋"/>
          <w:color w:val="0070C0"/>
        </w:rPr>
        <w:t>对</w:t>
      </w:r>
      <w:r>
        <w:rPr>
          <w:rFonts w:hint="eastAsia" w:ascii="仿宋_GB2312" w:hAnsi="仿宋" w:cs="仿宋"/>
          <w:color w:val="0070C0"/>
          <w:lang w:eastAsia="zh-CN"/>
        </w:rPr>
        <w:t>当年</w:t>
      </w:r>
      <w:r>
        <w:rPr>
          <w:rFonts w:hint="eastAsia" w:ascii="仿宋_GB2312" w:hAnsi="仿宋" w:cs="仿宋"/>
          <w:color w:val="0070C0"/>
        </w:rPr>
        <w:t>获得银行等金融机构的新增贷款，按</w:t>
      </w:r>
      <w:r>
        <w:rPr>
          <w:rFonts w:hint="eastAsia" w:ascii="仿宋_GB2312" w:hAnsi="仿宋" w:cs="仿宋"/>
          <w:color w:val="0070C0"/>
          <w:lang w:eastAsia="zh-CN"/>
        </w:rPr>
        <w:t>本年度</w:t>
      </w:r>
      <w:r>
        <w:rPr>
          <w:rFonts w:hint="eastAsia" w:ascii="仿宋_GB2312" w:hAnsi="仿宋" w:cs="仿宋"/>
          <w:color w:val="0070C0"/>
        </w:rPr>
        <w:t>支付利息的</w:t>
      </w:r>
      <w:r>
        <w:rPr>
          <w:rFonts w:hint="eastAsia" w:ascii="仿宋_GB2312" w:hAnsi="仿宋" w:cs="仿宋"/>
          <w:color w:val="0070C0"/>
          <w:lang w:val="en-US" w:eastAsia="zh-CN"/>
        </w:rPr>
        <w:t>3</w:t>
      </w:r>
      <w:r>
        <w:rPr>
          <w:rFonts w:hint="eastAsia" w:ascii="仿宋_GB2312" w:hAnsi="仿宋" w:cs="仿宋"/>
          <w:color w:val="0070C0"/>
        </w:rPr>
        <w:t>0%，给予总额最高20万元的贴息支持</w:t>
      </w:r>
      <w:r>
        <w:rPr>
          <w:rFonts w:hint="eastAsia" w:ascii="仿宋_GB2312" w:hAnsi="仿宋" w:cs="仿宋"/>
          <w:color w:val="0070C0"/>
          <w:lang w:eastAsia="zh-CN"/>
        </w:rPr>
        <w:t>。</w:t>
      </w:r>
    </w:p>
    <w:p>
      <w:pPr>
        <w:numPr>
          <w:ilvl w:val="0"/>
          <w:numId w:val="1"/>
        </w:numPr>
        <w:spacing w:line="570" w:lineRule="exact"/>
        <w:ind w:firstLine="704" w:firstLineChars="200"/>
        <w:rPr>
          <w:rFonts w:hint="eastAsia" w:ascii="仿宋_GB2312" w:hAnsi="仿宋" w:eastAsia="仿宋_GB2312" w:cs="仿宋"/>
          <w:color w:val="0070C0"/>
          <w:lang w:eastAsia="zh-CN"/>
        </w:rPr>
      </w:pPr>
      <w:r>
        <w:rPr>
          <w:rFonts w:hint="eastAsia" w:ascii="仿宋_GB2312" w:hAnsi="仿宋" w:cs="仿宋"/>
          <w:color w:val="0070C0"/>
          <w:lang w:eastAsia="zh-CN"/>
        </w:rPr>
        <w:t>对当年租赁科研、检测、数字等设备产生的租金，按照本年度租金的</w:t>
      </w:r>
      <w:r>
        <w:rPr>
          <w:rFonts w:hint="eastAsia" w:ascii="仿宋_GB2312" w:hAnsi="仿宋" w:cs="仿宋"/>
          <w:color w:val="0070C0"/>
          <w:lang w:val="en-US" w:eastAsia="zh-CN"/>
        </w:rPr>
        <w:t>10%，给予总额最高30万的租金支持。</w:t>
      </w:r>
    </w:p>
    <w:p>
      <w:pPr>
        <w:pStyle w:val="2"/>
        <w:rPr>
          <w:rFonts w:hint="default" w:ascii="仿宋_GB2312" w:hAnsi="仿宋" w:eastAsia="仿宋_GB2312" w:cs="仿宋"/>
          <w:color w:val="0070C0"/>
          <w:spacing w:val="16"/>
          <w:kern w:val="2"/>
          <w:sz w:val="32"/>
          <w:szCs w:val="32"/>
          <w:lang w:val="en-US" w:eastAsia="zh-CN" w:bidi="ar-SA"/>
        </w:rPr>
      </w:pPr>
      <w:r>
        <w:rPr>
          <w:rFonts w:hint="eastAsia" w:ascii="仿宋_GB2312" w:hAnsi="仿宋" w:eastAsia="仿宋_GB2312" w:cs="仿宋"/>
          <w:color w:val="0070C0"/>
          <w:spacing w:val="16"/>
          <w:kern w:val="2"/>
          <w:sz w:val="32"/>
          <w:szCs w:val="32"/>
          <w:lang w:val="en-US" w:eastAsia="zh-CN" w:bidi="ar-SA"/>
        </w:rPr>
        <w:t>（三）对商务宽带或专线年资费在30万元以上的，按照本年度资费的20%，给予总额最高20万的补贴支持。</w:t>
      </w:r>
    </w:p>
    <w:p>
      <w:pPr>
        <w:spacing w:line="570" w:lineRule="exact"/>
        <w:ind w:firstLine="624" w:firstLineChars="200"/>
        <w:rPr>
          <w:rFonts w:hint="eastAsia"/>
          <w:color w:val="0070C0"/>
          <w:kern w:val="0"/>
          <w:sz w:val="28"/>
          <w:szCs w:val="28"/>
          <w:lang w:val="en-US" w:eastAsia="zh-CN"/>
        </w:rPr>
      </w:pPr>
      <w:r>
        <w:rPr>
          <w:rFonts w:hint="eastAsia"/>
          <w:color w:val="0070C0"/>
          <w:kern w:val="0"/>
          <w:sz w:val="28"/>
          <w:szCs w:val="28"/>
          <w:lang w:val="en-US" w:eastAsia="zh-CN"/>
        </w:rPr>
        <w:t>（修改内容：根据部门意见，与我区上市政策重复，删除原上市融资奖励条款，参照《增城区应对新型冠状病毒肺炎疫情暖企稳企二十条》“19.贷款贴息。2020年2月1日至6月30日期间，获得银行等金融机构新增贷款（展期视同新增）的规上（限上）且上半年产值或营收保持持平或增长的企业，按5个月贷款实际支付利息的50%，给予总额最高20万元的贴息支持”、《苏州市中小科技企业仪器设施租赁费用补贴实施细则（试行）》“ 第八条每年根据申请补助的实际情况，以一定的比例确定补助资金。租赁费用在5万元以下（含5万元）的，给予不高于50%的补贴；对超出5万元部分给予不高于30%的补贴；同一企业在同一年度获得补贴资金总额不超过20万元”以及国务院印发的《扎实稳住经济的一揽子政策措施》“2022年中小微企业宽带和专线平均资费再降10%”。新增贷款贴息、设备租赁奖励和宽带补助。）</w:t>
      </w:r>
    </w:p>
    <w:p>
      <w:pPr>
        <w:numPr>
          <w:ilvl w:val="0"/>
          <w:numId w:val="0"/>
        </w:numPr>
        <w:spacing w:line="570" w:lineRule="exact"/>
        <w:ind w:firstLine="704" w:firstLineChars="200"/>
        <w:rPr>
          <w:rFonts w:ascii="仿宋_GB2312" w:hAnsi="仿宋_GB2312" w:cs="仿宋_GB2312"/>
          <w:bCs/>
          <w:color w:val="auto"/>
        </w:rPr>
      </w:pPr>
      <w:r>
        <w:rPr>
          <w:rFonts w:hint="eastAsia" w:ascii="黑体" w:hAnsi="黑体" w:eastAsia="黑体" w:cs="黑体"/>
          <w:bCs/>
          <w:color w:val="auto"/>
          <w:lang w:val="en-US" w:eastAsia="zh-CN"/>
        </w:rPr>
        <w:t>第十一条</w:t>
      </w:r>
      <w:r>
        <w:rPr>
          <w:rFonts w:hint="eastAsia" w:ascii="仿宋_GB2312" w:hAnsi="仿宋_GB2312" w:cs="仿宋_GB2312"/>
          <w:bCs/>
          <w:color w:val="auto"/>
        </w:rPr>
        <w:t>加快高端专业服务业集聚发展</w:t>
      </w:r>
    </w:p>
    <w:p>
      <w:pPr>
        <w:spacing w:line="570" w:lineRule="exact"/>
        <w:ind w:firstLine="704" w:firstLineChars="200"/>
        <w:rPr>
          <w:rFonts w:ascii="仿宋_GB2312" w:hAnsi="仿宋_GB2312" w:cs="仿宋_GB2312"/>
          <w:color w:val="auto"/>
        </w:rPr>
      </w:pPr>
      <w:r>
        <w:rPr>
          <w:rFonts w:hint="eastAsia" w:ascii="仿宋_GB2312" w:hAnsi="仿宋_GB2312" w:cs="仿宋_GB2312"/>
          <w:color w:val="auto"/>
        </w:rPr>
        <w:t>（一）对于当年新引进</w:t>
      </w:r>
      <w:r>
        <w:rPr>
          <w:rFonts w:ascii="仿宋_GB2312" w:hAnsi="仿宋_GB2312" w:cs="仿宋_GB2312"/>
          <w:color w:val="auto"/>
        </w:rPr>
        <w:t>10</w:t>
      </w:r>
      <w:r>
        <w:rPr>
          <w:rFonts w:hint="eastAsia" w:ascii="仿宋_GB2312" w:hAnsi="仿宋_GB2312" w:cs="仿宋_GB2312"/>
          <w:color w:val="auto"/>
        </w:rPr>
        <w:t>家以上高端专业服务企业法人，且当年纳入统计企业达到一定数量的商务园区或楼宇给予一次性奖励：</w:t>
      </w:r>
    </w:p>
    <w:p>
      <w:pPr>
        <w:spacing w:line="570" w:lineRule="exact"/>
        <w:ind w:firstLine="704" w:firstLineChars="200"/>
        <w:rPr>
          <w:rFonts w:ascii="仿宋_GB2312" w:hAnsi="仿宋_GB2312" w:cs="仿宋_GB2312"/>
          <w:color w:val="auto"/>
        </w:rPr>
      </w:pPr>
      <w:r>
        <w:rPr>
          <w:rFonts w:hint="eastAsia" w:ascii="仿宋_GB2312" w:hAnsi="仿宋_GB2312" w:cs="仿宋_GB2312"/>
          <w:color w:val="auto"/>
        </w:rPr>
        <w:t>1.当年新增入统企业达</w:t>
      </w:r>
      <w:r>
        <w:rPr>
          <w:rFonts w:ascii="仿宋_GB2312" w:hAnsi="仿宋_GB2312" w:cs="仿宋_GB2312"/>
          <w:color w:val="auto"/>
        </w:rPr>
        <w:t>5</w:t>
      </w:r>
      <w:r>
        <w:rPr>
          <w:rFonts w:hint="eastAsia" w:ascii="仿宋_GB2312" w:hAnsi="仿宋_GB2312" w:cs="仿宋_GB2312"/>
          <w:color w:val="auto"/>
        </w:rPr>
        <w:t>家以上的，给予一次性</w:t>
      </w:r>
      <w:r>
        <w:rPr>
          <w:rFonts w:hint="eastAsia" w:ascii="仿宋_GB2312" w:hAnsi="仿宋_GB2312" w:cs="仿宋_GB2312"/>
          <w:color w:val="auto"/>
          <w:lang w:val="en-US" w:eastAsia="zh-CN"/>
        </w:rPr>
        <w:t>20</w:t>
      </w:r>
      <w:r>
        <w:rPr>
          <w:rFonts w:hint="eastAsia" w:ascii="仿宋_GB2312" w:hAnsi="仿宋_GB2312" w:cs="仿宋_GB2312"/>
          <w:color w:val="auto"/>
        </w:rPr>
        <w:t>万元的招商载体奖励；</w:t>
      </w:r>
    </w:p>
    <w:p>
      <w:pPr>
        <w:spacing w:line="570" w:lineRule="exact"/>
        <w:ind w:firstLine="704" w:firstLineChars="200"/>
        <w:rPr>
          <w:rFonts w:ascii="仿宋_GB2312" w:hAnsi="仿宋_GB2312" w:cs="仿宋_GB2312"/>
          <w:color w:val="auto"/>
        </w:rPr>
      </w:pPr>
      <w:r>
        <w:rPr>
          <w:rFonts w:hint="eastAsia" w:ascii="仿宋_GB2312" w:hAnsi="仿宋_GB2312" w:cs="仿宋_GB2312"/>
          <w:color w:val="auto"/>
        </w:rPr>
        <w:t>2.当年新增入统企业达</w:t>
      </w:r>
      <w:r>
        <w:rPr>
          <w:rFonts w:ascii="仿宋_GB2312" w:hAnsi="仿宋_GB2312" w:cs="仿宋_GB2312"/>
          <w:color w:val="auto"/>
        </w:rPr>
        <w:t>10</w:t>
      </w:r>
      <w:r>
        <w:rPr>
          <w:rFonts w:hint="eastAsia" w:ascii="仿宋_GB2312" w:hAnsi="仿宋_GB2312" w:cs="仿宋_GB2312"/>
          <w:color w:val="auto"/>
        </w:rPr>
        <w:t>家以上的，给予一次性</w:t>
      </w:r>
      <w:r>
        <w:rPr>
          <w:rFonts w:ascii="仿宋_GB2312" w:hAnsi="仿宋_GB2312" w:cs="仿宋_GB2312"/>
          <w:color w:val="auto"/>
        </w:rPr>
        <w:t>50</w:t>
      </w:r>
      <w:r>
        <w:rPr>
          <w:rFonts w:hint="eastAsia" w:ascii="仿宋_GB2312" w:hAnsi="仿宋_GB2312" w:cs="仿宋_GB2312"/>
          <w:color w:val="auto"/>
        </w:rPr>
        <w:t>万元的招商载体奖励；</w:t>
      </w:r>
    </w:p>
    <w:p>
      <w:pPr>
        <w:spacing w:line="570" w:lineRule="exact"/>
        <w:ind w:firstLine="704" w:firstLineChars="200"/>
        <w:rPr>
          <w:rFonts w:hint="eastAsia" w:ascii="仿宋_GB2312" w:hAnsi="仿宋_GB2312" w:cs="仿宋_GB2312"/>
          <w:color w:val="auto"/>
        </w:rPr>
      </w:pPr>
      <w:r>
        <w:rPr>
          <w:rFonts w:hint="eastAsia" w:ascii="仿宋_GB2312" w:hAnsi="仿宋_GB2312" w:cs="仿宋_GB2312"/>
          <w:color w:val="auto"/>
        </w:rPr>
        <w:t>3.当年新增入统企业达</w:t>
      </w:r>
      <w:r>
        <w:rPr>
          <w:rFonts w:ascii="仿宋_GB2312" w:hAnsi="仿宋_GB2312" w:cs="仿宋_GB2312"/>
          <w:color w:val="auto"/>
        </w:rPr>
        <w:t>20</w:t>
      </w:r>
      <w:r>
        <w:rPr>
          <w:rFonts w:hint="eastAsia" w:ascii="仿宋_GB2312" w:hAnsi="仿宋_GB2312" w:cs="仿宋_GB2312"/>
          <w:color w:val="auto"/>
        </w:rPr>
        <w:t>家以上的，给予一次性</w:t>
      </w:r>
      <w:r>
        <w:rPr>
          <w:rFonts w:hint="eastAsia" w:ascii="仿宋_GB2312" w:hAnsi="仿宋_GB2312" w:cs="仿宋_GB2312"/>
          <w:color w:val="auto"/>
          <w:lang w:val="en-US" w:eastAsia="zh-CN"/>
        </w:rPr>
        <w:t>150</w:t>
      </w:r>
      <w:r>
        <w:rPr>
          <w:rFonts w:hint="eastAsia" w:ascii="仿宋_GB2312" w:hAnsi="仿宋_GB2312" w:cs="仿宋_GB2312"/>
          <w:color w:val="auto"/>
        </w:rPr>
        <w:t>万元的招商载体奖励。</w:t>
      </w:r>
    </w:p>
    <w:p>
      <w:pPr>
        <w:spacing w:line="570" w:lineRule="exact"/>
        <w:ind w:firstLine="624" w:firstLineChars="200"/>
        <w:rPr>
          <w:rFonts w:hint="eastAsia"/>
          <w:color w:val="auto"/>
          <w:kern w:val="0"/>
          <w:sz w:val="28"/>
          <w:szCs w:val="28"/>
          <w:lang w:val="en-US" w:eastAsia="zh-CN"/>
        </w:rPr>
      </w:pPr>
      <w:r>
        <w:rPr>
          <w:rFonts w:hint="eastAsia"/>
          <w:color w:val="auto"/>
          <w:kern w:val="0"/>
          <w:sz w:val="28"/>
          <w:szCs w:val="28"/>
          <w:lang w:val="en-US" w:eastAsia="zh-CN"/>
        </w:rPr>
        <w:t>（修订内容：降低奖励标准，将原有条款奖励标准的50万、150万、400万修改为20万、50万、150万。）</w:t>
      </w:r>
    </w:p>
    <w:p>
      <w:pPr>
        <w:pStyle w:val="2"/>
        <w:rPr>
          <w:rFonts w:hint="default" w:ascii="仿宋_GB2312" w:hAnsi="仿宋" w:eastAsia="仿宋_GB2312" w:cs="仿宋"/>
          <w:color w:val="0070C0"/>
          <w:spacing w:val="16"/>
          <w:kern w:val="2"/>
          <w:sz w:val="32"/>
          <w:szCs w:val="32"/>
          <w:lang w:val="en-US" w:eastAsia="zh-CN" w:bidi="ar-SA"/>
        </w:rPr>
      </w:pPr>
      <w:r>
        <w:rPr>
          <w:rFonts w:hint="eastAsia" w:ascii="仿宋_GB2312" w:hAnsi="仿宋" w:eastAsia="仿宋_GB2312" w:cs="仿宋"/>
          <w:color w:val="0070C0"/>
          <w:spacing w:val="16"/>
          <w:kern w:val="2"/>
          <w:sz w:val="32"/>
          <w:szCs w:val="32"/>
          <w:lang w:val="en-US" w:eastAsia="zh-CN" w:bidi="ar-SA"/>
        </w:rPr>
        <w:t>（二）对当年经市级评审认定的超甲级、甲级商务写字楼的楼宇，分别给予30万元和10万元的一次性奖励。</w:t>
      </w:r>
    </w:p>
    <w:p>
      <w:pPr>
        <w:spacing w:line="570" w:lineRule="exact"/>
        <w:ind w:firstLine="624" w:firstLineChars="200"/>
        <w:rPr>
          <w:rFonts w:hint="eastAsia"/>
          <w:color w:val="0070C0"/>
          <w:kern w:val="0"/>
          <w:sz w:val="28"/>
          <w:szCs w:val="28"/>
          <w:lang w:val="en-US" w:eastAsia="zh-CN"/>
        </w:rPr>
      </w:pPr>
      <w:r>
        <w:rPr>
          <w:rFonts w:hint="eastAsia"/>
          <w:color w:val="0070C0"/>
          <w:kern w:val="0"/>
          <w:sz w:val="28"/>
          <w:szCs w:val="28"/>
          <w:lang w:val="en-US" w:eastAsia="zh-CN"/>
        </w:rPr>
        <w:t>（修订内容：因省、市近年来均无专业服务业园区认定，删除专业服务业园区奖励条款，同时因我区甲级商务写字楼较少，竞争力较弱，全区目前仅有一栋经市级评审认定，因此参照《广州市商务发展资金管理办法》等政策，给予甲级商务写字楼奖励。）</w:t>
      </w:r>
    </w:p>
    <w:p>
      <w:pPr>
        <w:numPr>
          <w:ilvl w:val="0"/>
          <w:numId w:val="0"/>
        </w:numPr>
        <w:spacing w:line="570" w:lineRule="exact"/>
        <w:ind w:firstLine="704" w:firstLineChars="200"/>
        <w:rPr>
          <w:rFonts w:ascii="仿宋_GB2312" w:hAnsi="仿宋_GB2312" w:cs="仿宋_GB2312"/>
          <w:bCs/>
          <w:color w:val="auto"/>
        </w:rPr>
      </w:pPr>
      <w:r>
        <w:rPr>
          <w:rFonts w:hint="eastAsia" w:ascii="黑体" w:hAnsi="黑体" w:eastAsia="黑体" w:cs="黑体"/>
          <w:bCs/>
          <w:color w:val="auto"/>
          <w:lang w:val="en-US" w:eastAsia="zh-CN"/>
        </w:rPr>
        <w:t xml:space="preserve">第十二条 </w:t>
      </w:r>
      <w:r>
        <w:rPr>
          <w:rFonts w:hint="eastAsia" w:ascii="仿宋_GB2312" w:hAnsi="仿宋_GB2312" w:cs="仿宋_GB2312"/>
          <w:bCs/>
          <w:color w:val="auto"/>
        </w:rPr>
        <w:t>支持招商中介加快发展</w:t>
      </w:r>
    </w:p>
    <w:p>
      <w:pPr>
        <w:spacing w:line="570" w:lineRule="exact"/>
        <w:ind w:firstLine="641"/>
        <w:rPr>
          <w:rFonts w:ascii="仿宋_GB2312" w:hAnsi="仿宋_GB2312" w:cs="仿宋_GB2312"/>
          <w:color w:val="auto"/>
          <w:shd w:val="clear" w:color="auto" w:fill="FFFFFF"/>
        </w:rPr>
      </w:pPr>
      <w:r>
        <w:rPr>
          <w:rFonts w:hint="eastAsia" w:ascii="仿宋_GB2312" w:hAnsi="仿宋_GB2312" w:cs="仿宋_GB2312"/>
          <w:color w:val="auto"/>
          <w:shd w:val="clear" w:color="auto" w:fill="FFFFFF"/>
        </w:rPr>
        <w:t>鼓励</w:t>
      </w:r>
      <w:r>
        <w:rPr>
          <w:rFonts w:hint="eastAsia" w:ascii="仿宋_GB2312" w:hAnsi="仿宋_GB2312" w:cs="仿宋_GB2312"/>
          <w:color w:val="auto"/>
          <w:shd w:val="clear" w:color="auto" w:fill="FFFFFF"/>
          <w:lang w:eastAsia="zh-CN"/>
        </w:rPr>
        <w:t>我区</w:t>
      </w:r>
      <w:r>
        <w:rPr>
          <w:rFonts w:hint="eastAsia" w:ascii="仿宋_GB2312" w:hAnsi="仿宋_GB2312" w:cs="仿宋_GB2312"/>
          <w:color w:val="auto"/>
          <w:shd w:val="clear" w:color="auto" w:fill="FFFFFF"/>
        </w:rPr>
        <w:t>招商中介加快引入高端专业服务企业：</w:t>
      </w:r>
    </w:p>
    <w:p>
      <w:pPr>
        <w:numPr>
          <w:ilvl w:val="0"/>
          <w:numId w:val="0"/>
        </w:numPr>
        <w:spacing w:line="570" w:lineRule="exact"/>
        <w:ind w:firstLine="704" w:firstLineChars="200"/>
        <w:rPr>
          <w:rFonts w:hint="eastAsia" w:ascii="仿宋_GB2312" w:hAnsi="仿宋_GB2312" w:cs="仿宋_GB2312"/>
          <w:color w:val="auto"/>
          <w:shd w:val="clear" w:color="auto" w:fill="FFFFFF"/>
        </w:rPr>
      </w:pPr>
      <w:r>
        <w:rPr>
          <w:rFonts w:hint="eastAsia" w:ascii="仿宋_GB2312" w:hAnsi="仿宋_GB2312" w:cs="仿宋_GB2312"/>
          <w:color w:val="auto"/>
          <w:shd w:val="clear" w:color="auto" w:fill="FFFFFF"/>
          <w:lang w:eastAsia="zh-CN"/>
        </w:rPr>
        <w:t>（</w:t>
      </w:r>
      <w:r>
        <w:rPr>
          <w:rFonts w:hint="eastAsia" w:ascii="仿宋_GB2312" w:hAnsi="仿宋_GB2312" w:cs="仿宋_GB2312"/>
          <w:color w:val="auto"/>
          <w:shd w:val="clear" w:color="auto" w:fill="FFFFFF"/>
          <w:lang w:val="en-US" w:eastAsia="zh-CN"/>
        </w:rPr>
        <w:t>一</w:t>
      </w:r>
      <w:r>
        <w:rPr>
          <w:rFonts w:hint="eastAsia" w:ascii="仿宋_GB2312" w:hAnsi="仿宋_GB2312" w:cs="仿宋_GB2312"/>
          <w:color w:val="auto"/>
          <w:shd w:val="clear" w:color="auto" w:fill="FFFFFF"/>
          <w:lang w:eastAsia="zh-CN"/>
        </w:rPr>
        <w:t>）</w:t>
      </w:r>
      <w:r>
        <w:rPr>
          <w:rFonts w:hint="eastAsia" w:ascii="仿宋_GB2312" w:hAnsi="仿宋_GB2312" w:cs="仿宋_GB2312"/>
          <w:color w:val="auto"/>
          <w:shd w:val="clear" w:color="auto" w:fill="FFFFFF"/>
        </w:rPr>
        <w:t>对于当年新引进项目并促使企业新增入统的招商中介，按照企业</w:t>
      </w:r>
      <w:r>
        <w:rPr>
          <w:rFonts w:hint="eastAsia" w:ascii="仿宋_GB2312" w:hAnsi="仿宋_GB2312" w:cs="仿宋_GB2312"/>
          <w:color w:val="auto"/>
          <w:shd w:val="clear" w:color="auto" w:fill="FFFFFF"/>
          <w:lang w:eastAsia="zh-CN"/>
        </w:rPr>
        <w:t>营业收入的</w:t>
      </w:r>
      <w:r>
        <w:rPr>
          <w:rFonts w:hint="eastAsia" w:ascii="仿宋_GB2312" w:hAnsi="仿宋_GB2312" w:eastAsia="仿宋_GB2312" w:cs="仿宋_GB2312"/>
          <w:color w:val="auto"/>
          <w:spacing w:val="16"/>
          <w:kern w:val="2"/>
          <w:sz w:val="32"/>
          <w:szCs w:val="32"/>
          <w:lang w:val="en-US" w:eastAsia="zh-CN"/>
        </w:rPr>
        <w:t>0.5‰</w:t>
      </w:r>
      <w:r>
        <w:rPr>
          <w:rFonts w:hint="eastAsia" w:ascii="仿宋_GB2312" w:hAnsi="仿宋_GB2312" w:cs="仿宋_GB2312"/>
          <w:color w:val="auto"/>
          <w:shd w:val="clear" w:color="auto" w:fill="FFFFFF"/>
        </w:rPr>
        <w:t>给予奖励，此项奖励可以累加，最低</w:t>
      </w:r>
      <w:r>
        <w:rPr>
          <w:rFonts w:ascii="仿宋_GB2312" w:hAnsi="仿宋_GB2312" w:cs="仿宋_GB2312"/>
          <w:color w:val="auto"/>
          <w:shd w:val="clear" w:color="auto" w:fill="FFFFFF"/>
        </w:rPr>
        <w:t>2</w:t>
      </w:r>
      <w:r>
        <w:rPr>
          <w:rFonts w:hint="eastAsia" w:ascii="仿宋_GB2312" w:hAnsi="仿宋_GB2312" w:cs="仿宋_GB2312"/>
          <w:color w:val="auto"/>
          <w:shd w:val="clear" w:color="auto" w:fill="FFFFFF"/>
        </w:rPr>
        <w:t>万元，最高</w:t>
      </w:r>
      <w:r>
        <w:rPr>
          <w:rFonts w:ascii="仿宋_GB2312" w:hAnsi="仿宋_GB2312" w:cs="仿宋_GB2312"/>
          <w:color w:val="auto"/>
          <w:shd w:val="clear" w:color="auto" w:fill="FFFFFF"/>
        </w:rPr>
        <w:t>200</w:t>
      </w:r>
      <w:r>
        <w:rPr>
          <w:rFonts w:hint="eastAsia" w:ascii="仿宋_GB2312" w:hAnsi="仿宋_GB2312" w:cs="仿宋_GB2312"/>
          <w:color w:val="auto"/>
          <w:shd w:val="clear" w:color="auto" w:fill="FFFFFF"/>
        </w:rPr>
        <w:t>万元</w:t>
      </w:r>
      <w:r>
        <w:rPr>
          <w:rFonts w:hint="eastAsia" w:ascii="仿宋_GB2312" w:hAnsi="仿宋_GB2312" w:cs="仿宋_GB2312"/>
          <w:color w:val="auto"/>
          <w:shd w:val="clear" w:color="auto" w:fill="FFFFFF"/>
          <w:lang w:eastAsia="zh-CN"/>
        </w:rPr>
        <w:t>，</w:t>
      </w:r>
      <w:r>
        <w:rPr>
          <w:rFonts w:hint="eastAsia" w:ascii="仿宋_GB2312" w:hAnsi="仿宋_GB2312" w:eastAsia="仿宋_GB2312" w:cs="仿宋_GB2312"/>
          <w:color w:val="auto"/>
          <w:spacing w:val="16"/>
          <w:sz w:val="32"/>
          <w:szCs w:val="32"/>
          <w:lang w:eastAsia="zh-CN"/>
        </w:rPr>
        <w:t>且不超过</w:t>
      </w:r>
      <w:r>
        <w:rPr>
          <w:rFonts w:hint="eastAsia" w:eastAsia="仿宋_GB2312" w:asciiTheme="minorHAnsi" w:hAnsiTheme="minorHAnsi" w:cstheme="minorBidi"/>
          <w:color w:val="auto"/>
          <w:spacing w:val="16"/>
          <w:sz w:val="32"/>
          <w:szCs w:val="32"/>
        </w:rPr>
        <w:t>入驻企业对本区新增地方经济发展贡献的</w:t>
      </w:r>
      <w:r>
        <w:rPr>
          <w:rFonts w:hint="eastAsia" w:ascii="仿宋_GB2312" w:hAnsi="仿宋_GB2312" w:eastAsia="仿宋_GB2312" w:cstheme="minorBidi"/>
          <w:color w:val="auto"/>
          <w:spacing w:val="16"/>
          <w:sz w:val="32"/>
          <w:szCs w:val="32"/>
        </w:rPr>
        <w:t>10</w:t>
      </w:r>
      <w:r>
        <w:rPr>
          <w:rFonts w:ascii="仿宋_GB2312" w:hAnsi="仿宋_GB2312" w:eastAsia="仿宋_GB2312" w:cstheme="minorBidi"/>
          <w:color w:val="auto"/>
          <w:spacing w:val="16"/>
          <w:sz w:val="32"/>
          <w:szCs w:val="32"/>
        </w:rPr>
        <w:t>%</w:t>
      </w:r>
      <w:r>
        <w:rPr>
          <w:rFonts w:hint="eastAsia" w:ascii="仿宋_GB2312" w:hAnsi="仿宋_GB2312" w:cs="仿宋_GB2312"/>
          <w:color w:val="auto"/>
          <w:shd w:val="clear" w:color="auto" w:fill="FFFFFF"/>
        </w:rPr>
        <w:t>。</w:t>
      </w:r>
    </w:p>
    <w:p>
      <w:pPr>
        <w:spacing w:line="570" w:lineRule="exact"/>
        <w:ind w:firstLine="624" w:firstLineChars="200"/>
        <w:rPr>
          <w:rFonts w:hint="eastAsia"/>
          <w:color w:val="auto"/>
          <w:kern w:val="0"/>
          <w:sz w:val="28"/>
          <w:szCs w:val="28"/>
          <w:lang w:val="en-US" w:eastAsia="zh-CN"/>
        </w:rPr>
      </w:pPr>
      <w:r>
        <w:rPr>
          <w:rFonts w:hint="eastAsia"/>
          <w:color w:val="auto"/>
          <w:kern w:val="0"/>
          <w:sz w:val="28"/>
          <w:szCs w:val="28"/>
          <w:lang w:val="en-US" w:eastAsia="zh-CN"/>
        </w:rPr>
        <w:t>（修订内容：将原有按照地方经济贡献的奖励标准修改为按照企业营业收入，奖励不再与地方经济贡献直接挂钩。）</w:t>
      </w:r>
    </w:p>
    <w:p>
      <w:pPr>
        <w:spacing w:line="570" w:lineRule="exact"/>
        <w:ind w:firstLine="704" w:firstLineChars="200"/>
        <w:rPr>
          <w:rFonts w:ascii="仿宋_GB2312" w:hAnsi="仿宋_GB2312" w:cs="仿宋_GB2312"/>
          <w:color w:val="auto"/>
          <w:shd w:val="clear" w:color="auto" w:fill="FFFFFF"/>
        </w:rPr>
      </w:pPr>
      <w:r>
        <w:rPr>
          <w:rFonts w:hint="eastAsia" w:ascii="仿宋_GB2312" w:hAnsi="仿宋_GB2312" w:cs="仿宋_GB2312"/>
          <w:color w:val="auto"/>
          <w:shd w:val="clear" w:color="auto" w:fill="FFFFFF"/>
        </w:rPr>
        <w:t>（二）对于当年新引进</w:t>
      </w:r>
      <w:r>
        <w:rPr>
          <w:rFonts w:ascii="仿宋_GB2312" w:hAnsi="仿宋_GB2312" w:cs="仿宋_GB2312"/>
          <w:color w:val="auto"/>
          <w:shd w:val="clear" w:color="auto" w:fill="FFFFFF"/>
        </w:rPr>
        <w:t>5</w:t>
      </w:r>
      <w:r>
        <w:rPr>
          <w:rFonts w:hint="eastAsia" w:ascii="仿宋_GB2312" w:hAnsi="仿宋_GB2312" w:cs="仿宋_GB2312"/>
          <w:color w:val="auto"/>
          <w:shd w:val="clear" w:color="auto" w:fill="FFFFFF"/>
        </w:rPr>
        <w:t>家以上企业并促使新增入统的招商中介，最高额外再奖励</w:t>
      </w:r>
      <w:r>
        <w:rPr>
          <w:rFonts w:ascii="仿宋_GB2312" w:hAnsi="仿宋_GB2312" w:cs="仿宋_GB2312"/>
          <w:color w:val="auto"/>
          <w:shd w:val="clear" w:color="auto" w:fill="FFFFFF"/>
        </w:rPr>
        <w:t>20</w:t>
      </w:r>
      <w:r>
        <w:rPr>
          <w:rFonts w:hint="eastAsia" w:ascii="仿宋_GB2312" w:hAnsi="仿宋_GB2312" w:cs="仿宋_GB2312"/>
          <w:color w:val="auto"/>
          <w:shd w:val="clear" w:color="auto" w:fill="FFFFFF"/>
        </w:rPr>
        <w:t>万元。</w:t>
      </w:r>
    </w:p>
    <w:p>
      <w:pPr>
        <w:spacing w:line="570" w:lineRule="exact"/>
        <w:ind w:firstLine="704" w:firstLineChars="200"/>
        <w:rPr>
          <w:rFonts w:ascii="仿宋_GB2312" w:hAnsi="仿宋_GB2312" w:cs="仿宋_GB2312"/>
          <w:b/>
          <w:bCs/>
          <w:color w:val="auto"/>
          <w:shd w:val="clear" w:color="auto" w:fill="FFFFFF"/>
        </w:rPr>
      </w:pPr>
      <w:r>
        <w:rPr>
          <w:rFonts w:hint="eastAsia" w:ascii="黑体" w:hAnsi="黑体" w:eastAsia="黑体" w:cs="仿宋_GB2312"/>
          <w:bCs/>
          <w:color w:val="auto"/>
        </w:rPr>
        <w:t>第十三条</w:t>
      </w:r>
      <w:r>
        <w:rPr>
          <w:rFonts w:ascii="黑体" w:hAnsi="黑体" w:eastAsia="黑体" w:cs="仿宋_GB2312"/>
          <w:bCs/>
          <w:color w:val="auto"/>
        </w:rPr>
        <w:t xml:space="preserve"> </w:t>
      </w:r>
      <w:r>
        <w:rPr>
          <w:rFonts w:hint="eastAsia" w:ascii="仿宋_GB2312" w:hAnsi="仿宋_GB2312" w:cs="仿宋_GB2312"/>
          <w:bCs/>
          <w:color w:val="auto"/>
        </w:rPr>
        <w:t>优化行业发展氛围</w:t>
      </w:r>
    </w:p>
    <w:p>
      <w:pPr>
        <w:spacing w:line="570" w:lineRule="exact"/>
        <w:ind w:firstLine="704" w:firstLineChars="200"/>
        <w:rPr>
          <w:rFonts w:hint="eastAsia" w:ascii="仿宋_GB2312" w:hAnsi="仿宋_GB2312" w:cs="仿宋_GB2312"/>
          <w:color w:val="auto"/>
          <w:shd w:val="clear" w:color="auto" w:fill="FFFFFF"/>
        </w:rPr>
      </w:pPr>
      <w:r>
        <w:rPr>
          <w:rFonts w:hint="eastAsia" w:ascii="仿宋_GB2312" w:hAnsi="仿宋_GB2312" w:cs="仿宋_GB2312"/>
          <w:bCs/>
          <w:color w:val="auto"/>
          <w:shd w:val="clear" w:color="auto" w:fill="FFFFFF"/>
        </w:rPr>
        <w:t>（一）</w:t>
      </w:r>
      <w:r>
        <w:rPr>
          <w:rFonts w:hint="eastAsia" w:ascii="仿宋_GB2312" w:hAnsi="仿宋_GB2312" w:cs="仿宋_GB2312"/>
          <w:color w:val="auto"/>
          <w:shd w:val="clear" w:color="auto" w:fill="FFFFFF"/>
        </w:rPr>
        <w:t>支持高端专业服务业领域社会组织发展，对当年新设立且通过民政部门批准的行业协会，给予每家10万元奖励。</w:t>
      </w:r>
    </w:p>
    <w:p>
      <w:pPr>
        <w:spacing w:line="570" w:lineRule="exact"/>
        <w:ind w:firstLine="704" w:firstLineChars="200"/>
        <w:rPr>
          <w:rFonts w:ascii="仿宋_GB2312" w:hAnsi="仿宋_GB2312" w:cs="仿宋_GB2312"/>
          <w:color w:val="auto"/>
        </w:rPr>
      </w:pPr>
      <w:r>
        <w:rPr>
          <w:rFonts w:hint="eastAsia" w:ascii="仿宋_GB2312" w:hAnsi="仿宋_GB2312" w:cs="仿宋_GB2312"/>
          <w:color w:val="auto"/>
        </w:rPr>
        <w:t>（二）行业协会每年在区内为服务会员企业开展2次以上</w:t>
      </w:r>
      <w:r>
        <w:rPr>
          <w:rFonts w:hint="eastAsia" w:ascii="仿宋_GB2312" w:hAnsi="仿宋_GB2312" w:cs="仿宋_GB2312"/>
          <w:color w:val="auto"/>
          <w:lang w:eastAsia="zh-CN"/>
        </w:rPr>
        <w:t>活动</w:t>
      </w:r>
      <w:r>
        <w:rPr>
          <w:rFonts w:hint="eastAsia" w:ascii="仿宋_GB2312" w:hAnsi="仿宋_GB2312" w:cs="仿宋_GB2312"/>
          <w:color w:val="auto"/>
        </w:rPr>
        <w:t>的（需经区工商联核实，下同），按实际发生费用的</w:t>
      </w:r>
      <w:r>
        <w:rPr>
          <w:rFonts w:ascii="仿宋_GB2312" w:hAnsi="仿宋_GB2312" w:cs="仿宋_GB2312"/>
          <w:color w:val="auto"/>
        </w:rPr>
        <w:t>40%</w:t>
      </w:r>
      <w:r>
        <w:rPr>
          <w:rFonts w:hint="eastAsia" w:ascii="仿宋_GB2312" w:hAnsi="仿宋_GB2312" w:cs="仿宋_GB2312"/>
          <w:color w:val="auto"/>
        </w:rPr>
        <w:t>给予补贴；开展</w:t>
      </w:r>
      <w:r>
        <w:rPr>
          <w:rFonts w:ascii="仿宋_GB2312" w:hAnsi="仿宋_GB2312" w:cs="仿宋_GB2312"/>
          <w:color w:val="auto"/>
        </w:rPr>
        <w:t>6</w:t>
      </w:r>
      <w:r>
        <w:rPr>
          <w:rFonts w:hint="eastAsia" w:ascii="仿宋_GB2312" w:hAnsi="仿宋_GB2312" w:cs="仿宋_GB2312"/>
          <w:color w:val="auto"/>
        </w:rPr>
        <w:t>次以上活动的，按实际发生费用的</w:t>
      </w:r>
      <w:r>
        <w:rPr>
          <w:rFonts w:ascii="仿宋_GB2312" w:hAnsi="仿宋_GB2312" w:cs="仿宋_GB2312"/>
          <w:color w:val="auto"/>
        </w:rPr>
        <w:t>50%</w:t>
      </w:r>
      <w:r>
        <w:rPr>
          <w:rFonts w:hint="eastAsia" w:ascii="仿宋_GB2312" w:hAnsi="仿宋_GB2312" w:cs="仿宋_GB2312"/>
          <w:color w:val="auto"/>
        </w:rPr>
        <w:t>给予补贴。一个行业协会每年扶持额最高为</w:t>
      </w:r>
      <w:r>
        <w:rPr>
          <w:rFonts w:ascii="仿宋_GB2312" w:hAnsi="仿宋_GB2312" w:cs="仿宋_GB2312"/>
          <w:color w:val="auto"/>
        </w:rPr>
        <w:t>20</w:t>
      </w:r>
      <w:r>
        <w:rPr>
          <w:rFonts w:hint="eastAsia" w:ascii="仿宋_GB2312" w:hAnsi="仿宋_GB2312" w:cs="仿宋_GB2312"/>
          <w:color w:val="auto"/>
        </w:rPr>
        <w:t>万元。</w:t>
      </w:r>
    </w:p>
    <w:p>
      <w:pPr>
        <w:spacing w:line="570" w:lineRule="exact"/>
        <w:ind w:firstLine="704" w:firstLineChars="200"/>
        <w:rPr>
          <w:rFonts w:ascii="Times New Roman" w:hAnsi="Times New Roman"/>
          <w:color w:val="auto"/>
        </w:rPr>
      </w:pPr>
      <w:r>
        <w:rPr>
          <w:rFonts w:hint="eastAsia" w:ascii="仿宋_GB2312" w:hAnsi="仿宋_GB2312" w:cs="仿宋_GB2312"/>
          <w:color w:val="auto"/>
        </w:rPr>
        <w:t>（三）高端专业服务业行业协会或龙头企业在本区主办（承办）国际性或全国性专业展会论坛的，按实际发生费用</w:t>
      </w:r>
      <w:r>
        <w:rPr>
          <w:rFonts w:hint="eastAsia" w:ascii="仿宋_GB2312" w:hAnsi="仿宋_GB2312" w:cs="仿宋_GB2312"/>
          <w:color w:val="auto"/>
          <w:lang w:eastAsia="zh-CN"/>
        </w:rPr>
        <w:t>的</w:t>
      </w:r>
      <w:r>
        <w:rPr>
          <w:rFonts w:ascii="仿宋_GB2312" w:hAnsi="仿宋_GB2312" w:cs="仿宋_GB2312"/>
          <w:color w:val="auto"/>
        </w:rPr>
        <w:t>50%</w:t>
      </w:r>
      <w:r>
        <w:rPr>
          <w:rFonts w:hint="eastAsia" w:ascii="仿宋_GB2312" w:hAnsi="仿宋_GB2312" w:cs="仿宋_GB2312"/>
          <w:color w:val="auto"/>
          <w:lang w:eastAsia="zh-CN"/>
        </w:rPr>
        <w:t>给予补贴</w:t>
      </w:r>
      <w:r>
        <w:rPr>
          <w:rFonts w:hint="eastAsia" w:ascii="仿宋_GB2312" w:hAnsi="仿宋_GB2312" w:cs="仿宋_GB2312"/>
          <w:color w:val="auto"/>
        </w:rPr>
        <w:t>，最高不超过</w:t>
      </w:r>
      <w:r>
        <w:rPr>
          <w:rFonts w:ascii="仿宋_GB2312" w:hAnsi="仿宋_GB2312" w:cs="仿宋_GB2312"/>
          <w:color w:val="auto"/>
        </w:rPr>
        <w:t>50</w:t>
      </w:r>
      <w:r>
        <w:rPr>
          <w:rFonts w:hint="eastAsia" w:ascii="仿宋_GB2312" w:hAnsi="仿宋_GB2312" w:cs="仿宋_GB2312"/>
          <w:color w:val="auto"/>
        </w:rPr>
        <w:t>万元</w:t>
      </w:r>
      <w:r>
        <w:rPr>
          <w:rFonts w:hint="eastAsia" w:ascii="Times New Roman" w:hAnsi="Times New Roman"/>
          <w:color w:val="auto"/>
        </w:rPr>
        <w:t>。</w:t>
      </w:r>
    </w:p>
    <w:p>
      <w:pPr>
        <w:spacing w:line="570" w:lineRule="exact"/>
        <w:ind w:firstLine="704" w:firstLineChars="200"/>
        <w:rPr>
          <w:rFonts w:ascii="仿宋_GB2312" w:hAnsi="仿宋_GB2312" w:cs="仿宋_GB2312"/>
          <w:b/>
          <w:bCs/>
          <w:color w:val="auto"/>
          <w:shd w:val="clear" w:color="auto" w:fill="FFFFFF"/>
        </w:rPr>
      </w:pPr>
      <w:r>
        <w:rPr>
          <w:rFonts w:hint="eastAsia" w:ascii="黑体" w:hAnsi="黑体" w:eastAsia="黑体" w:cs="仿宋_GB2312"/>
          <w:bCs/>
          <w:color w:val="auto"/>
        </w:rPr>
        <w:t>第十四条</w:t>
      </w:r>
      <w:r>
        <w:rPr>
          <w:rFonts w:ascii="黑体" w:hAnsi="黑体" w:eastAsia="黑体" w:cs="仿宋_GB2312"/>
          <w:bCs/>
          <w:color w:val="auto"/>
        </w:rPr>
        <w:t xml:space="preserve"> </w:t>
      </w:r>
      <w:r>
        <w:rPr>
          <w:rFonts w:hint="eastAsia" w:ascii="仿宋_GB2312" w:hAnsi="仿宋_GB2312" w:cs="仿宋_GB2312"/>
          <w:bCs/>
          <w:color w:val="auto"/>
        </w:rPr>
        <w:t>强化企业配套服务</w:t>
      </w:r>
    </w:p>
    <w:p>
      <w:pPr>
        <w:spacing w:line="570" w:lineRule="exact"/>
        <w:ind w:firstLine="640"/>
        <w:rPr>
          <w:rFonts w:hint="eastAsia" w:ascii="Times New Roman" w:hAnsi="Times New Roman"/>
          <w:color w:val="auto"/>
        </w:rPr>
      </w:pPr>
      <w:r>
        <w:rPr>
          <w:rFonts w:hint="eastAsia" w:ascii="Times New Roman" w:hAnsi="Times New Roman"/>
          <w:color w:val="auto"/>
        </w:rPr>
        <w:t>对于符合条件的高端专业服务企业，可按</w:t>
      </w:r>
      <w:r>
        <w:rPr>
          <w:rFonts w:hint="eastAsia" w:ascii="Times New Roman" w:hAnsi="Times New Roman"/>
          <w:color w:val="auto"/>
          <w:lang w:eastAsia="zh-CN"/>
        </w:rPr>
        <w:t>本</w:t>
      </w:r>
      <w:r>
        <w:rPr>
          <w:rFonts w:hint="eastAsia" w:ascii="Times New Roman" w:hAnsi="Times New Roman"/>
          <w:color w:val="auto"/>
        </w:rPr>
        <w:t>区相关政策规定享受</w:t>
      </w:r>
      <w:r>
        <w:rPr>
          <w:rFonts w:hint="eastAsia" w:ascii="Times New Roman" w:hAnsi="Times New Roman"/>
          <w:color w:val="0070C0"/>
          <w:lang w:eastAsia="zh-CN"/>
        </w:rPr>
        <w:t>上市融资、</w:t>
      </w:r>
      <w:r>
        <w:rPr>
          <w:rFonts w:hint="eastAsia" w:ascii="Times New Roman" w:hAnsi="Times New Roman"/>
          <w:color w:val="auto"/>
        </w:rPr>
        <w:t>员工子女入学、员工入户、人才住房保障等配套服务。</w:t>
      </w:r>
    </w:p>
    <w:p>
      <w:pPr>
        <w:spacing w:line="570" w:lineRule="exact"/>
        <w:ind w:firstLine="640"/>
        <w:rPr>
          <w:rFonts w:hint="eastAsia" w:ascii="Times New Roman" w:hAnsi="Times New Roman"/>
          <w:color w:val="auto"/>
        </w:rPr>
      </w:pPr>
    </w:p>
    <w:p>
      <w:pPr>
        <w:pStyle w:val="4"/>
        <w:keepNext w:val="0"/>
        <w:keepLines w:val="0"/>
        <w:spacing w:line="570" w:lineRule="exact"/>
        <w:ind w:left="0" w:leftChars="0" w:firstLine="0" w:firstLineChars="0"/>
        <w:jc w:val="center"/>
        <w:rPr>
          <w:color w:val="auto"/>
        </w:rPr>
      </w:pPr>
      <w:r>
        <w:rPr>
          <w:rFonts w:hint="eastAsia"/>
          <w:color w:val="auto"/>
        </w:rPr>
        <w:t>第三章</w:t>
      </w:r>
      <w:r>
        <w:rPr>
          <w:color w:val="auto"/>
        </w:rPr>
        <w:t xml:space="preserve"> </w:t>
      </w:r>
      <w:r>
        <w:rPr>
          <w:rFonts w:hint="eastAsia"/>
          <w:color w:val="auto"/>
        </w:rPr>
        <w:t>附则</w:t>
      </w:r>
    </w:p>
    <w:p>
      <w:pPr>
        <w:spacing w:line="570" w:lineRule="exact"/>
        <w:ind w:firstLine="707" w:firstLineChars="200"/>
        <w:rPr>
          <w:rFonts w:hint="eastAsia" w:ascii="Times New Roman" w:hAnsi="Times New Roman"/>
          <w:b/>
          <w:bCs/>
          <w:color w:val="auto"/>
        </w:rPr>
      </w:pPr>
    </w:p>
    <w:p>
      <w:pPr>
        <w:spacing w:line="570" w:lineRule="exact"/>
        <w:ind w:firstLine="704" w:firstLineChars="200"/>
        <w:rPr>
          <w:rFonts w:ascii="Times New Roman" w:hAnsi="Times New Roman"/>
          <w:color w:val="auto"/>
        </w:rPr>
      </w:pPr>
      <w:r>
        <w:rPr>
          <w:rFonts w:hint="eastAsia" w:ascii="黑体" w:hAnsi="黑体" w:eastAsia="黑体" w:cs="仿宋_GB2312"/>
          <w:bCs/>
          <w:color w:val="auto"/>
        </w:rPr>
        <w:t>第十五条</w:t>
      </w:r>
      <w:r>
        <w:rPr>
          <w:rFonts w:ascii="黑体" w:hAnsi="黑体" w:eastAsia="黑体" w:cs="仿宋_GB2312"/>
          <w:bCs/>
          <w:color w:val="auto"/>
        </w:rPr>
        <w:t xml:space="preserve"> </w:t>
      </w:r>
      <w:r>
        <w:rPr>
          <w:rFonts w:hint="eastAsia" w:ascii="Times New Roman" w:hAnsi="Times New Roman"/>
          <w:color w:val="auto"/>
        </w:rPr>
        <w:t>本办法所涉及“达到”、“以上”、“不超过”的数额均含本数，所涉及的经营数据和奖励金额以人民币为单位，奖励或补贴计算精确到</w:t>
      </w:r>
      <w:r>
        <w:rPr>
          <w:rFonts w:hint="eastAsia" w:ascii="Times New Roman" w:hAnsi="Times New Roman"/>
          <w:color w:val="auto"/>
          <w:lang w:eastAsia="zh-CN"/>
        </w:rPr>
        <w:t>千</w:t>
      </w:r>
      <w:r>
        <w:rPr>
          <w:rFonts w:hint="eastAsia" w:ascii="Times New Roman" w:hAnsi="Times New Roman"/>
          <w:color w:val="auto"/>
        </w:rPr>
        <w:t>元。</w:t>
      </w:r>
    </w:p>
    <w:p>
      <w:pPr>
        <w:spacing w:line="570" w:lineRule="exact"/>
        <w:ind w:firstLine="704" w:firstLineChars="200"/>
        <w:rPr>
          <w:rFonts w:hint="eastAsia" w:ascii="Times New Roman" w:hAnsi="Times New Roman"/>
          <w:color w:val="auto"/>
        </w:rPr>
      </w:pPr>
      <w:r>
        <w:rPr>
          <w:rFonts w:hint="eastAsia" w:ascii="黑体" w:hAnsi="黑体" w:eastAsia="黑体" w:cs="仿宋_GB2312"/>
          <w:bCs/>
          <w:color w:val="auto"/>
        </w:rPr>
        <w:t>第十六条</w:t>
      </w:r>
      <w:r>
        <w:rPr>
          <w:rFonts w:ascii="Times New Roman" w:hAnsi="Times New Roman"/>
          <w:color w:val="auto"/>
        </w:rPr>
        <w:t xml:space="preserve"> </w:t>
      </w:r>
      <w:r>
        <w:rPr>
          <w:rFonts w:hint="eastAsia" w:ascii="Times New Roman" w:hAnsi="Times New Roman"/>
          <w:color w:val="auto"/>
          <w:lang w:eastAsia="zh-CN"/>
        </w:rPr>
        <w:t>本办法</w:t>
      </w:r>
      <w:r>
        <w:rPr>
          <w:rFonts w:hint="eastAsia" w:ascii="Times New Roman" w:hAnsi="Times New Roman"/>
          <w:color w:val="auto"/>
        </w:rPr>
        <w:t>具体管理事项以每年发布的申报指南为准</w:t>
      </w:r>
      <w:r>
        <w:rPr>
          <w:rFonts w:hint="eastAsia" w:ascii="Times New Roman" w:hAnsi="Times New Roman"/>
          <w:color w:val="auto"/>
          <w:lang w:eastAsia="zh-CN"/>
        </w:rPr>
        <w:t>，</w:t>
      </w:r>
      <w:r>
        <w:rPr>
          <w:rFonts w:hint="eastAsia"/>
          <w:color w:val="auto"/>
          <w:kern w:val="0"/>
        </w:rPr>
        <w:t>根据当年财政预算情况</w:t>
      </w:r>
      <w:r>
        <w:rPr>
          <w:rFonts w:hint="eastAsia"/>
          <w:color w:val="auto"/>
          <w:kern w:val="0"/>
          <w:lang w:eastAsia="zh-CN"/>
        </w:rPr>
        <w:t>明确奖励事项，本政策</w:t>
      </w:r>
      <w:r>
        <w:rPr>
          <w:rFonts w:hint="eastAsia" w:ascii="Times New Roman" w:hAnsi="Times New Roman"/>
          <w:color w:val="auto"/>
        </w:rPr>
        <w:t>与本区其他同类政策不重复享受，对同一支持对象涉及增城区其他同类支持的，按从高不重复的原则执行，同一支持对象可享受的支持总额原则上以其当年度对本区</w:t>
      </w:r>
      <w:r>
        <w:rPr>
          <w:rFonts w:hint="eastAsia" w:eastAsia="仿宋_GB2312" w:asciiTheme="minorHAnsi" w:hAnsiTheme="minorHAnsi" w:cstheme="minorBidi"/>
          <w:color w:val="auto"/>
          <w:spacing w:val="16"/>
          <w:sz w:val="32"/>
          <w:szCs w:val="32"/>
        </w:rPr>
        <w:t>地方经济发展贡献</w:t>
      </w:r>
      <w:r>
        <w:rPr>
          <w:rFonts w:hint="eastAsia" w:ascii="Times New Roman" w:hAnsi="Times New Roman"/>
          <w:color w:val="auto"/>
        </w:rPr>
        <w:t>为限。</w:t>
      </w:r>
    </w:p>
    <w:p>
      <w:pPr>
        <w:spacing w:line="570" w:lineRule="exact"/>
        <w:ind w:firstLine="704" w:firstLineChars="200"/>
        <w:rPr>
          <w:rFonts w:hint="eastAsia" w:ascii="Times New Roman" w:hAnsi="Times New Roman" w:eastAsia="仿宋_GB2312"/>
          <w:color w:val="auto"/>
          <w:lang w:eastAsia="zh-CN"/>
        </w:rPr>
      </w:pPr>
      <w:r>
        <w:rPr>
          <w:rFonts w:hint="eastAsia" w:ascii="Times New Roman" w:hAnsi="Times New Roman"/>
          <w:color w:val="auto"/>
          <w:lang w:eastAsia="zh-CN"/>
        </w:rPr>
        <w:t>（</w:t>
      </w:r>
      <w:r>
        <w:rPr>
          <w:rFonts w:hint="eastAsia"/>
          <w:color w:val="auto"/>
          <w:kern w:val="0"/>
          <w:sz w:val="28"/>
          <w:szCs w:val="28"/>
          <w:lang w:val="en-US" w:eastAsia="zh-CN"/>
        </w:rPr>
        <w:t>修订内容：根据部门意见，调整条款内容顺序，并根据当年财政预算情况安排奖励事项</w:t>
      </w:r>
      <w:r>
        <w:rPr>
          <w:rFonts w:hint="eastAsia" w:ascii="Times New Roman" w:hAnsi="Times New Roman"/>
          <w:color w:val="auto"/>
          <w:lang w:eastAsia="zh-CN"/>
        </w:rPr>
        <w:t>）</w:t>
      </w:r>
    </w:p>
    <w:p>
      <w:pPr>
        <w:spacing w:line="570" w:lineRule="exact"/>
        <w:ind w:firstLine="704" w:firstLineChars="200"/>
        <w:rPr>
          <w:rFonts w:ascii="Times New Roman" w:hAnsi="Times New Roman"/>
          <w:b/>
          <w:bCs/>
          <w:color w:val="auto"/>
        </w:rPr>
      </w:pPr>
      <w:r>
        <w:rPr>
          <w:rFonts w:hint="eastAsia" w:ascii="黑体" w:hAnsi="黑体" w:eastAsia="黑体" w:cs="仿宋_GB2312"/>
          <w:bCs/>
          <w:color w:val="auto"/>
        </w:rPr>
        <w:t>第十七条</w:t>
      </w:r>
      <w:r>
        <w:rPr>
          <w:rFonts w:ascii="Times New Roman" w:hAnsi="Times New Roman"/>
          <w:color w:val="auto"/>
        </w:rPr>
        <w:t xml:space="preserve"> </w:t>
      </w:r>
      <w:r>
        <w:rPr>
          <w:rFonts w:hint="eastAsia" w:ascii="Times New Roman" w:hAnsi="Times New Roman"/>
          <w:color w:val="auto"/>
        </w:rPr>
        <w:t>对地方经济社会发展具有重大贡献的高端专业服务业项目，区政府</w:t>
      </w:r>
      <w:r>
        <w:rPr>
          <w:rFonts w:hint="eastAsia" w:ascii="仿宋_GB2312" w:hAnsi="仿宋" w:cs="仿宋"/>
          <w:color w:val="auto"/>
        </w:rPr>
        <w:t>按照“一企一策、一事一议”的方式给予</w:t>
      </w:r>
      <w:r>
        <w:rPr>
          <w:rFonts w:hint="eastAsia" w:ascii="Times New Roman" w:hAnsi="Times New Roman"/>
          <w:color w:val="auto"/>
        </w:rPr>
        <w:t>专项支持。</w:t>
      </w:r>
    </w:p>
    <w:p>
      <w:pPr>
        <w:spacing w:line="570" w:lineRule="exact"/>
        <w:ind w:firstLine="704" w:firstLineChars="200"/>
        <w:rPr>
          <w:rFonts w:ascii="Times New Roman" w:hAnsi="Times New Roman"/>
          <w:color w:val="auto"/>
        </w:rPr>
      </w:pPr>
      <w:r>
        <w:rPr>
          <w:rFonts w:hint="eastAsia" w:ascii="黑体" w:hAnsi="黑体" w:eastAsia="黑体" w:cs="仿宋_GB2312"/>
          <w:bCs/>
          <w:color w:val="auto"/>
        </w:rPr>
        <w:t>第十八条</w:t>
      </w:r>
      <w:r>
        <w:rPr>
          <w:rFonts w:ascii="黑体" w:hAnsi="黑体" w:eastAsia="黑体" w:cs="仿宋_GB2312"/>
          <w:bCs/>
          <w:color w:val="auto"/>
        </w:rPr>
        <w:t xml:space="preserve"> </w:t>
      </w:r>
      <w:r>
        <w:rPr>
          <w:rFonts w:hint="eastAsia" w:ascii="Times New Roman" w:hAnsi="Times New Roman"/>
          <w:color w:val="auto"/>
        </w:rPr>
        <w:t>本办法自</w:t>
      </w:r>
      <w:r>
        <w:rPr>
          <w:rFonts w:hint="eastAsia" w:ascii="Times New Roman" w:hAnsi="Times New Roman"/>
          <w:color w:val="auto"/>
          <w:lang w:eastAsia="zh-CN"/>
        </w:rPr>
        <w:t>发</w:t>
      </w:r>
      <w:r>
        <w:rPr>
          <w:rFonts w:hint="eastAsia" w:ascii="Times New Roman" w:hAnsi="Times New Roman"/>
          <w:color w:val="auto"/>
        </w:rPr>
        <w:t>布之日起实施，有效期三年</w:t>
      </w:r>
      <w:r>
        <w:rPr>
          <w:rFonts w:hint="eastAsia" w:ascii="Times New Roman" w:hAnsi="Times New Roman"/>
          <w:color w:val="auto"/>
          <w:lang w:eastAsia="zh-CN"/>
        </w:rPr>
        <w:t>。</w:t>
      </w:r>
    </w:p>
    <w:p>
      <w:pPr>
        <w:spacing w:line="570" w:lineRule="exact"/>
        <w:ind w:firstLine="704" w:firstLineChars="200"/>
        <w:rPr>
          <w:rFonts w:hint="eastAsia" w:ascii="Times New Roman" w:hAnsi="Times New Roman"/>
          <w:color w:val="auto"/>
        </w:rPr>
      </w:pPr>
    </w:p>
    <w:p>
      <w:pPr>
        <w:tabs>
          <w:tab w:val="left" w:pos="2835"/>
        </w:tabs>
        <w:spacing w:line="570" w:lineRule="exact"/>
        <w:ind w:firstLine="704" w:firstLineChars="200"/>
        <w:rPr>
          <w:rFonts w:hint="eastAsia" w:ascii="黑体" w:hAnsi="黑体" w:eastAsia="黑体" w:cs="黑体"/>
          <w:color w:val="auto"/>
        </w:rPr>
      </w:pPr>
      <w:r>
        <w:rPr>
          <w:rFonts w:hint="eastAsia" w:ascii="Times New Roman" w:hAnsi="Times New Roman"/>
          <w:color w:val="auto"/>
        </w:rPr>
        <w:t>附件</w:t>
      </w:r>
      <w:r>
        <w:rPr>
          <w:rFonts w:hint="eastAsia" w:ascii="仿宋_GB2312" w:hAnsi="仿宋_GB2312" w:cs="仿宋_GB2312"/>
          <w:color w:val="auto"/>
        </w:rPr>
        <w:t>：</w:t>
      </w:r>
      <w:r>
        <w:rPr>
          <w:rFonts w:hint="eastAsia" w:ascii="Times New Roman" w:hAnsi="Times New Roman"/>
          <w:color w:val="auto"/>
        </w:rPr>
        <w:t>增城区高端专业服务业重点发展领域分类表</w:t>
      </w:r>
      <w:r>
        <w:rPr>
          <w:rFonts w:ascii="Times New Roman" w:hAnsi="Times New Roman"/>
          <w:color w:val="auto"/>
        </w:rPr>
        <w:br w:type="page"/>
      </w:r>
      <w:r>
        <w:rPr>
          <w:rFonts w:hint="eastAsia" w:ascii="黑体" w:hAnsi="黑体" w:eastAsia="黑体" w:cs="黑体"/>
          <w:color w:val="auto"/>
          <w:sz w:val="28"/>
          <w:szCs w:val="28"/>
        </w:rPr>
        <w:t>附件</w:t>
      </w:r>
    </w:p>
    <w:p>
      <w:pPr>
        <w:tabs>
          <w:tab w:val="left" w:pos="2835"/>
        </w:tabs>
        <w:spacing w:line="570" w:lineRule="exact"/>
        <w:ind w:firstLine="704" w:firstLineChars="200"/>
        <w:rPr>
          <w:rFonts w:hint="eastAsia" w:ascii="Times New Roman" w:hAnsi="Times New Roman"/>
          <w:color w:val="auto"/>
          <w:highlight w:val="yellow"/>
        </w:rPr>
      </w:pPr>
    </w:p>
    <w:p>
      <w:pPr>
        <w:tabs>
          <w:tab w:val="left" w:pos="2835"/>
        </w:tabs>
        <w:spacing w:line="570" w:lineRule="exact"/>
        <w:jc w:val="center"/>
        <w:rPr>
          <w:rFonts w:hint="eastAsia" w:ascii="方正小标宋简体" w:hAnsi="Times New Roman" w:eastAsia="方正小标宋简体"/>
          <w:color w:val="auto"/>
          <w:sz w:val="44"/>
          <w:szCs w:val="44"/>
        </w:rPr>
      </w:pPr>
      <w:r>
        <w:rPr>
          <w:rFonts w:hint="eastAsia" w:ascii="方正小标宋简体" w:hAnsi="Times New Roman" w:eastAsia="方正小标宋简体"/>
          <w:color w:val="auto"/>
          <w:sz w:val="44"/>
          <w:szCs w:val="44"/>
        </w:rPr>
        <w:t>增城区高端专业服务业重点发展领域分类表</w:t>
      </w:r>
    </w:p>
    <w:p>
      <w:pPr>
        <w:tabs>
          <w:tab w:val="left" w:pos="2835"/>
        </w:tabs>
        <w:spacing w:line="570" w:lineRule="exact"/>
        <w:jc w:val="center"/>
        <w:rPr>
          <w:rFonts w:ascii="方正小标宋简体" w:hAnsi="Times New Roman" w:eastAsia="方正小标宋简体"/>
          <w:color w:val="auto"/>
          <w:sz w:val="44"/>
          <w:szCs w:val="4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839"/>
        <w:gridCol w:w="2628"/>
        <w:gridCol w:w="3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blHeader/>
          <w:jc w:val="center"/>
        </w:trPr>
        <w:tc>
          <w:tcPr>
            <w:tcW w:w="765" w:type="dxa"/>
            <w:noWrap w:val="0"/>
            <w:vAlign w:val="center"/>
          </w:tcPr>
          <w:p>
            <w:pPr>
              <w:adjustRightInd w:val="0"/>
              <w:snapToGrid w:val="0"/>
              <w:spacing w:line="360" w:lineRule="exact"/>
              <w:jc w:val="center"/>
              <w:rPr>
                <w:rFonts w:ascii="黑体" w:hAnsi="黑体" w:eastAsia="黑体"/>
                <w:color w:val="auto"/>
                <w:sz w:val="24"/>
              </w:rPr>
            </w:pPr>
            <w:r>
              <w:rPr>
                <w:rFonts w:hint="eastAsia" w:ascii="黑体" w:hAnsi="黑体" w:eastAsia="黑体"/>
                <w:color w:val="auto"/>
                <w:sz w:val="24"/>
              </w:rPr>
              <w:t>序号</w:t>
            </w:r>
          </w:p>
        </w:tc>
        <w:tc>
          <w:tcPr>
            <w:tcW w:w="1839" w:type="dxa"/>
            <w:noWrap w:val="0"/>
            <w:vAlign w:val="center"/>
          </w:tcPr>
          <w:p>
            <w:pPr>
              <w:adjustRightInd w:val="0"/>
              <w:snapToGrid w:val="0"/>
              <w:spacing w:line="360" w:lineRule="exact"/>
              <w:jc w:val="center"/>
              <w:rPr>
                <w:rFonts w:ascii="黑体" w:hAnsi="黑体" w:eastAsia="黑体"/>
                <w:color w:val="auto"/>
                <w:sz w:val="24"/>
              </w:rPr>
            </w:pPr>
            <w:r>
              <w:rPr>
                <w:rFonts w:hint="eastAsia" w:ascii="黑体" w:hAnsi="黑体" w:eastAsia="黑体"/>
                <w:color w:val="auto"/>
                <w:sz w:val="24"/>
              </w:rPr>
              <w:t>行业类别</w:t>
            </w:r>
          </w:p>
        </w:tc>
        <w:tc>
          <w:tcPr>
            <w:tcW w:w="2628" w:type="dxa"/>
            <w:noWrap w:val="0"/>
            <w:vAlign w:val="center"/>
          </w:tcPr>
          <w:p>
            <w:pPr>
              <w:adjustRightInd w:val="0"/>
              <w:snapToGrid w:val="0"/>
              <w:spacing w:line="360" w:lineRule="exact"/>
              <w:jc w:val="center"/>
              <w:rPr>
                <w:rFonts w:ascii="黑体" w:hAnsi="黑体" w:eastAsia="黑体"/>
                <w:color w:val="auto"/>
                <w:sz w:val="24"/>
              </w:rPr>
            </w:pPr>
            <w:r>
              <w:rPr>
                <w:rFonts w:hint="eastAsia" w:ascii="黑体" w:hAnsi="黑体" w:eastAsia="黑体"/>
                <w:color w:val="auto"/>
                <w:sz w:val="24"/>
              </w:rPr>
              <w:t>对应国民经济行业代码（</w:t>
            </w:r>
            <w:r>
              <w:rPr>
                <w:rFonts w:ascii="黑体" w:hAnsi="黑体" w:eastAsia="黑体"/>
                <w:color w:val="auto"/>
                <w:sz w:val="24"/>
              </w:rPr>
              <w:t>201</w:t>
            </w:r>
            <w:r>
              <w:rPr>
                <w:rFonts w:hint="eastAsia" w:ascii="黑体" w:hAnsi="黑体" w:eastAsia="黑体"/>
                <w:color w:val="auto"/>
                <w:sz w:val="24"/>
              </w:rPr>
              <w:t>7年注释版）</w:t>
            </w:r>
          </w:p>
        </w:tc>
        <w:tc>
          <w:tcPr>
            <w:tcW w:w="3913" w:type="dxa"/>
            <w:noWrap w:val="0"/>
            <w:vAlign w:val="center"/>
          </w:tcPr>
          <w:p>
            <w:pPr>
              <w:adjustRightInd w:val="0"/>
              <w:snapToGrid w:val="0"/>
              <w:spacing w:line="360" w:lineRule="exact"/>
              <w:jc w:val="center"/>
              <w:rPr>
                <w:rFonts w:ascii="黑体" w:hAnsi="黑体" w:eastAsia="黑体"/>
                <w:color w:val="auto"/>
                <w:sz w:val="24"/>
              </w:rPr>
            </w:pPr>
            <w:r>
              <w:rPr>
                <w:rFonts w:hint="eastAsia" w:ascii="黑体" w:hAnsi="黑体" w:eastAsia="黑体"/>
                <w:color w:val="auto"/>
                <w:sz w:val="24"/>
              </w:rPr>
              <w:t>行业说明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765"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ascii="宋体" w:hAnsi="宋体" w:eastAsia="宋体" w:cs="仿宋_GB2312"/>
                <w:color w:val="auto"/>
                <w:sz w:val="24"/>
                <w:szCs w:val="24"/>
              </w:rPr>
              <w:t>1</w:t>
            </w:r>
          </w:p>
        </w:tc>
        <w:tc>
          <w:tcPr>
            <w:tcW w:w="1839"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hint="eastAsia" w:ascii="宋体" w:hAnsi="宋体" w:eastAsia="宋体" w:cs="仿宋_GB2312"/>
                <w:color w:val="auto"/>
                <w:sz w:val="24"/>
                <w:szCs w:val="24"/>
              </w:rPr>
              <w:t>互联网和相关服务</w:t>
            </w:r>
          </w:p>
        </w:tc>
        <w:tc>
          <w:tcPr>
            <w:tcW w:w="2628"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ascii="宋体" w:hAnsi="宋体" w:eastAsia="宋体" w:cs="仿宋_GB2312"/>
                <w:color w:val="auto"/>
                <w:sz w:val="24"/>
                <w:szCs w:val="24"/>
              </w:rPr>
              <w:t>641</w:t>
            </w:r>
            <w:r>
              <w:rPr>
                <w:rFonts w:hint="eastAsia" w:ascii="宋体" w:hAnsi="宋体" w:eastAsia="宋体" w:cs="仿宋_GB2312"/>
                <w:color w:val="auto"/>
                <w:sz w:val="24"/>
                <w:szCs w:val="24"/>
              </w:rPr>
              <w:t>、</w:t>
            </w:r>
            <w:r>
              <w:rPr>
                <w:rFonts w:ascii="宋体" w:hAnsi="宋体" w:eastAsia="宋体" w:cs="仿宋_GB2312"/>
                <w:color w:val="auto"/>
                <w:sz w:val="24"/>
                <w:szCs w:val="24"/>
              </w:rPr>
              <w:t>642</w:t>
            </w:r>
            <w:r>
              <w:rPr>
                <w:rFonts w:hint="eastAsia" w:ascii="宋体" w:hAnsi="宋体" w:eastAsia="宋体" w:cs="仿宋_GB2312"/>
                <w:color w:val="auto"/>
                <w:sz w:val="24"/>
                <w:szCs w:val="24"/>
              </w:rPr>
              <w:t>、</w:t>
            </w:r>
            <w:r>
              <w:rPr>
                <w:rFonts w:ascii="宋体" w:hAnsi="宋体" w:eastAsia="宋体" w:cs="仿宋_GB2312"/>
                <w:color w:val="auto"/>
                <w:sz w:val="24"/>
                <w:szCs w:val="24"/>
              </w:rPr>
              <w:t>643</w:t>
            </w:r>
            <w:r>
              <w:rPr>
                <w:rFonts w:hint="eastAsia" w:ascii="宋体" w:hAnsi="宋体" w:eastAsia="宋体" w:cs="仿宋_GB2312"/>
                <w:color w:val="auto"/>
                <w:sz w:val="24"/>
                <w:szCs w:val="24"/>
              </w:rPr>
              <w:t>、</w:t>
            </w:r>
            <w:r>
              <w:rPr>
                <w:rFonts w:ascii="宋体" w:hAnsi="宋体" w:eastAsia="宋体" w:cs="仿宋_GB2312"/>
                <w:color w:val="auto"/>
                <w:sz w:val="24"/>
                <w:szCs w:val="24"/>
              </w:rPr>
              <w:t>644</w:t>
            </w:r>
            <w:r>
              <w:rPr>
                <w:rFonts w:hint="eastAsia" w:ascii="宋体" w:hAnsi="宋体" w:eastAsia="宋体" w:cs="仿宋_GB2312"/>
                <w:color w:val="auto"/>
                <w:sz w:val="24"/>
                <w:szCs w:val="24"/>
              </w:rPr>
              <w:t>、</w:t>
            </w:r>
            <w:r>
              <w:rPr>
                <w:rFonts w:ascii="宋体" w:hAnsi="宋体" w:eastAsia="宋体" w:cs="仿宋_GB2312"/>
                <w:color w:val="auto"/>
                <w:sz w:val="24"/>
                <w:szCs w:val="24"/>
              </w:rPr>
              <w:t>645</w:t>
            </w:r>
            <w:r>
              <w:rPr>
                <w:rFonts w:hint="eastAsia" w:ascii="宋体" w:hAnsi="宋体" w:eastAsia="宋体" w:cs="仿宋_GB2312"/>
                <w:color w:val="auto"/>
                <w:sz w:val="24"/>
                <w:szCs w:val="24"/>
              </w:rPr>
              <w:t>、</w:t>
            </w:r>
            <w:r>
              <w:rPr>
                <w:rFonts w:ascii="宋体" w:hAnsi="宋体" w:eastAsia="宋体" w:cs="仿宋_GB2312"/>
                <w:color w:val="auto"/>
                <w:sz w:val="24"/>
                <w:szCs w:val="24"/>
              </w:rPr>
              <w:t>649</w:t>
            </w:r>
          </w:p>
        </w:tc>
        <w:tc>
          <w:tcPr>
            <w:tcW w:w="3913" w:type="dxa"/>
            <w:noWrap w:val="0"/>
            <w:vAlign w:val="center"/>
          </w:tcPr>
          <w:p>
            <w:pPr>
              <w:adjustRightInd w:val="0"/>
              <w:snapToGrid w:val="0"/>
              <w:spacing w:line="360" w:lineRule="exact"/>
              <w:rPr>
                <w:rFonts w:ascii="宋体" w:hAnsi="宋体" w:eastAsia="宋体" w:cs="仿宋_GB2312"/>
                <w:color w:val="auto"/>
                <w:sz w:val="24"/>
                <w:szCs w:val="24"/>
              </w:rPr>
            </w:pPr>
            <w:r>
              <w:rPr>
                <w:rFonts w:hint="eastAsia" w:ascii="宋体" w:hAnsi="宋体" w:eastAsia="宋体" w:cs="仿宋_GB2312"/>
                <w:color w:val="auto"/>
                <w:sz w:val="24"/>
                <w:szCs w:val="24"/>
              </w:rPr>
              <w:t>主要包括互联网接入及相关服务、互联网信息服务、互联网平台、互联网安全服务、互联网数据服务、其他互联网服务。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65"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ascii="宋体" w:hAnsi="宋体" w:eastAsia="宋体" w:cs="仿宋_GB2312"/>
                <w:color w:val="auto"/>
                <w:sz w:val="24"/>
                <w:szCs w:val="24"/>
              </w:rPr>
              <w:t>2</w:t>
            </w:r>
          </w:p>
        </w:tc>
        <w:tc>
          <w:tcPr>
            <w:tcW w:w="1839"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hint="eastAsia" w:ascii="宋体" w:hAnsi="宋体" w:eastAsia="宋体" w:cs="仿宋_GB2312"/>
                <w:color w:val="auto"/>
                <w:sz w:val="24"/>
                <w:szCs w:val="24"/>
              </w:rPr>
              <w:t>软件和信息技术服务</w:t>
            </w:r>
          </w:p>
        </w:tc>
        <w:tc>
          <w:tcPr>
            <w:tcW w:w="2628"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ascii="宋体" w:hAnsi="宋体" w:eastAsia="宋体" w:cs="仿宋_GB2312"/>
                <w:color w:val="auto"/>
                <w:sz w:val="24"/>
                <w:szCs w:val="24"/>
              </w:rPr>
              <w:t>651</w:t>
            </w:r>
            <w:r>
              <w:rPr>
                <w:rFonts w:hint="eastAsia" w:ascii="宋体" w:hAnsi="宋体" w:eastAsia="宋体" w:cs="仿宋_GB2312"/>
                <w:color w:val="auto"/>
                <w:sz w:val="24"/>
                <w:szCs w:val="24"/>
              </w:rPr>
              <w:t>、</w:t>
            </w:r>
            <w:r>
              <w:rPr>
                <w:rFonts w:ascii="宋体" w:hAnsi="宋体" w:eastAsia="宋体" w:cs="仿宋_GB2312"/>
                <w:color w:val="auto"/>
                <w:sz w:val="24"/>
                <w:szCs w:val="24"/>
              </w:rPr>
              <w:t>652</w:t>
            </w:r>
            <w:r>
              <w:rPr>
                <w:rFonts w:hint="eastAsia" w:ascii="宋体" w:hAnsi="宋体" w:eastAsia="宋体" w:cs="仿宋_GB2312"/>
                <w:color w:val="auto"/>
                <w:sz w:val="24"/>
                <w:szCs w:val="24"/>
              </w:rPr>
              <w:t>、</w:t>
            </w:r>
            <w:r>
              <w:rPr>
                <w:rFonts w:ascii="宋体" w:hAnsi="宋体" w:eastAsia="宋体" w:cs="仿宋_GB2312"/>
                <w:color w:val="auto"/>
                <w:sz w:val="24"/>
                <w:szCs w:val="24"/>
              </w:rPr>
              <w:t>653</w:t>
            </w:r>
            <w:r>
              <w:rPr>
                <w:rFonts w:hint="eastAsia" w:ascii="宋体" w:hAnsi="宋体" w:eastAsia="宋体" w:cs="仿宋_GB2312"/>
                <w:color w:val="auto"/>
                <w:sz w:val="24"/>
                <w:szCs w:val="24"/>
              </w:rPr>
              <w:t>、</w:t>
            </w:r>
            <w:r>
              <w:rPr>
                <w:rFonts w:ascii="宋体" w:hAnsi="宋体" w:eastAsia="宋体" w:cs="仿宋_GB2312"/>
                <w:color w:val="auto"/>
                <w:sz w:val="24"/>
                <w:szCs w:val="24"/>
              </w:rPr>
              <w:t>654</w:t>
            </w:r>
            <w:r>
              <w:rPr>
                <w:rFonts w:hint="eastAsia" w:ascii="宋体" w:hAnsi="宋体" w:eastAsia="宋体" w:cs="仿宋_GB2312"/>
                <w:color w:val="auto"/>
                <w:sz w:val="24"/>
                <w:szCs w:val="24"/>
              </w:rPr>
              <w:t>、</w:t>
            </w:r>
            <w:r>
              <w:rPr>
                <w:rFonts w:ascii="宋体" w:hAnsi="宋体" w:eastAsia="宋体" w:cs="仿宋_GB2312"/>
                <w:color w:val="auto"/>
                <w:sz w:val="24"/>
                <w:szCs w:val="24"/>
              </w:rPr>
              <w:t>655</w:t>
            </w:r>
            <w:r>
              <w:rPr>
                <w:rFonts w:hint="eastAsia" w:ascii="宋体" w:hAnsi="宋体" w:eastAsia="宋体" w:cs="仿宋_GB2312"/>
                <w:color w:val="auto"/>
                <w:sz w:val="24"/>
                <w:szCs w:val="24"/>
              </w:rPr>
              <w:t>、</w:t>
            </w:r>
            <w:r>
              <w:rPr>
                <w:rFonts w:ascii="宋体" w:hAnsi="宋体" w:eastAsia="宋体" w:cs="仿宋_GB2312"/>
                <w:color w:val="auto"/>
                <w:sz w:val="24"/>
                <w:szCs w:val="24"/>
              </w:rPr>
              <w:t>656</w:t>
            </w:r>
            <w:r>
              <w:rPr>
                <w:rFonts w:hint="eastAsia" w:ascii="宋体" w:hAnsi="宋体" w:eastAsia="宋体" w:cs="仿宋_GB2312"/>
                <w:color w:val="auto"/>
                <w:sz w:val="24"/>
                <w:szCs w:val="24"/>
              </w:rPr>
              <w:t>、</w:t>
            </w:r>
            <w:r>
              <w:rPr>
                <w:rFonts w:ascii="宋体" w:hAnsi="宋体" w:eastAsia="宋体" w:cs="仿宋_GB2312"/>
                <w:color w:val="auto"/>
                <w:sz w:val="24"/>
                <w:szCs w:val="24"/>
              </w:rPr>
              <w:t>657</w:t>
            </w:r>
            <w:r>
              <w:rPr>
                <w:rFonts w:hint="eastAsia" w:ascii="宋体" w:hAnsi="宋体" w:eastAsia="宋体" w:cs="仿宋_GB2312"/>
                <w:color w:val="auto"/>
                <w:sz w:val="24"/>
                <w:szCs w:val="24"/>
              </w:rPr>
              <w:t>、</w:t>
            </w:r>
            <w:r>
              <w:rPr>
                <w:rFonts w:ascii="宋体" w:hAnsi="宋体" w:eastAsia="宋体" w:cs="仿宋_GB2312"/>
                <w:color w:val="auto"/>
                <w:sz w:val="24"/>
                <w:szCs w:val="24"/>
              </w:rPr>
              <w:t>659</w:t>
            </w:r>
          </w:p>
        </w:tc>
        <w:tc>
          <w:tcPr>
            <w:tcW w:w="3913" w:type="dxa"/>
            <w:noWrap w:val="0"/>
            <w:vAlign w:val="center"/>
          </w:tcPr>
          <w:p>
            <w:pPr>
              <w:adjustRightInd w:val="0"/>
              <w:snapToGrid w:val="0"/>
              <w:spacing w:line="360" w:lineRule="exact"/>
              <w:rPr>
                <w:rFonts w:ascii="宋体" w:hAnsi="宋体" w:eastAsia="宋体" w:cs="仿宋_GB2312"/>
                <w:color w:val="auto"/>
                <w:sz w:val="24"/>
                <w:szCs w:val="24"/>
              </w:rPr>
            </w:pPr>
            <w:r>
              <w:rPr>
                <w:rFonts w:hint="eastAsia" w:ascii="宋体" w:hAnsi="宋体" w:eastAsia="宋体" w:cs="仿宋_GB2312"/>
                <w:color w:val="auto"/>
                <w:sz w:val="24"/>
                <w:szCs w:val="24"/>
              </w:rPr>
              <w:t>指对信息传输、信息制作、信息提供和信息接收中产生的技术问题或技术需求所提供的服务。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5"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ascii="宋体" w:hAnsi="宋体" w:eastAsia="宋体" w:cs="仿宋_GB2312"/>
                <w:color w:val="auto"/>
                <w:sz w:val="24"/>
                <w:szCs w:val="24"/>
              </w:rPr>
              <w:t>3</w:t>
            </w:r>
          </w:p>
        </w:tc>
        <w:tc>
          <w:tcPr>
            <w:tcW w:w="1839"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hint="eastAsia" w:ascii="宋体" w:hAnsi="宋体" w:eastAsia="宋体" w:cs="仿宋_GB2312"/>
                <w:color w:val="auto"/>
                <w:sz w:val="24"/>
                <w:szCs w:val="24"/>
              </w:rPr>
              <w:t>法律服务</w:t>
            </w:r>
          </w:p>
        </w:tc>
        <w:tc>
          <w:tcPr>
            <w:tcW w:w="2628"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ascii="宋体" w:hAnsi="宋体" w:eastAsia="宋体" w:cs="仿宋_GB2312"/>
                <w:color w:val="auto"/>
                <w:sz w:val="24"/>
                <w:szCs w:val="24"/>
              </w:rPr>
              <w:t>7231</w:t>
            </w:r>
            <w:r>
              <w:rPr>
                <w:rFonts w:hint="eastAsia" w:ascii="宋体" w:hAnsi="宋体" w:eastAsia="宋体" w:cs="仿宋_GB2312"/>
                <w:color w:val="auto"/>
                <w:sz w:val="24"/>
                <w:szCs w:val="24"/>
              </w:rPr>
              <w:t>、</w:t>
            </w:r>
            <w:r>
              <w:rPr>
                <w:rFonts w:ascii="宋体" w:hAnsi="宋体" w:eastAsia="宋体" w:cs="仿宋_GB2312"/>
                <w:color w:val="auto"/>
                <w:sz w:val="24"/>
                <w:szCs w:val="24"/>
              </w:rPr>
              <w:t>7232</w:t>
            </w:r>
            <w:r>
              <w:rPr>
                <w:rFonts w:hint="eastAsia" w:ascii="宋体" w:hAnsi="宋体" w:eastAsia="宋体" w:cs="仿宋_GB2312"/>
                <w:color w:val="auto"/>
                <w:sz w:val="24"/>
                <w:szCs w:val="24"/>
              </w:rPr>
              <w:t>、</w:t>
            </w:r>
            <w:r>
              <w:rPr>
                <w:rFonts w:ascii="宋体" w:hAnsi="宋体" w:eastAsia="宋体" w:cs="仿宋_GB2312"/>
                <w:color w:val="auto"/>
                <w:sz w:val="24"/>
                <w:szCs w:val="24"/>
              </w:rPr>
              <w:t>7239</w:t>
            </w:r>
          </w:p>
        </w:tc>
        <w:tc>
          <w:tcPr>
            <w:tcW w:w="3913" w:type="dxa"/>
            <w:noWrap w:val="0"/>
            <w:vAlign w:val="center"/>
          </w:tcPr>
          <w:p>
            <w:pPr>
              <w:adjustRightInd w:val="0"/>
              <w:snapToGrid w:val="0"/>
              <w:spacing w:line="360" w:lineRule="exact"/>
              <w:rPr>
                <w:rFonts w:ascii="宋体" w:hAnsi="宋体" w:eastAsia="宋体" w:cs="仿宋_GB2312"/>
                <w:color w:val="auto"/>
                <w:sz w:val="24"/>
                <w:szCs w:val="24"/>
              </w:rPr>
            </w:pPr>
            <w:r>
              <w:rPr>
                <w:rFonts w:hint="eastAsia" w:ascii="宋体" w:hAnsi="宋体" w:eastAsia="宋体" w:cs="仿宋_GB2312"/>
                <w:color w:val="auto"/>
                <w:sz w:val="24"/>
                <w:szCs w:val="24"/>
              </w:rPr>
              <w:t>指律师、</w:t>
            </w:r>
            <w:r>
              <w:rPr>
                <w:rFonts w:hint="eastAsia" w:ascii="宋体" w:hAnsi="宋体" w:eastAsia="宋体" w:cs="仿宋_GB2312"/>
                <w:color w:val="auto"/>
                <w:sz w:val="24"/>
                <w:szCs w:val="24"/>
                <w:lang w:eastAsia="zh-CN"/>
              </w:rPr>
              <w:t>公证</w:t>
            </w:r>
            <w:r>
              <w:rPr>
                <w:rFonts w:hint="eastAsia" w:ascii="宋体" w:hAnsi="宋体" w:eastAsia="宋体" w:cs="仿宋_GB2312"/>
                <w:color w:val="auto"/>
                <w:sz w:val="24"/>
                <w:szCs w:val="24"/>
              </w:rPr>
              <w:t>、仲裁、调解等活动。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ascii="宋体" w:hAnsi="宋体" w:eastAsia="宋体" w:cs="仿宋_GB2312"/>
                <w:color w:val="auto"/>
                <w:sz w:val="24"/>
                <w:szCs w:val="24"/>
              </w:rPr>
              <w:t>4</w:t>
            </w:r>
          </w:p>
        </w:tc>
        <w:tc>
          <w:tcPr>
            <w:tcW w:w="1839"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hint="eastAsia" w:ascii="宋体" w:hAnsi="宋体" w:eastAsia="宋体" w:cs="仿宋_GB2312"/>
                <w:color w:val="auto"/>
                <w:sz w:val="24"/>
                <w:szCs w:val="24"/>
              </w:rPr>
              <w:t>会计审计及税务服务</w:t>
            </w:r>
          </w:p>
        </w:tc>
        <w:tc>
          <w:tcPr>
            <w:tcW w:w="2628"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ascii="宋体" w:hAnsi="宋体" w:eastAsia="宋体" w:cs="仿宋_GB2312"/>
                <w:color w:val="auto"/>
                <w:sz w:val="24"/>
                <w:szCs w:val="24"/>
              </w:rPr>
              <w:t>7241</w:t>
            </w:r>
          </w:p>
        </w:tc>
        <w:tc>
          <w:tcPr>
            <w:tcW w:w="3913" w:type="dxa"/>
            <w:noWrap w:val="0"/>
            <w:vAlign w:val="center"/>
          </w:tcPr>
          <w:p>
            <w:pPr>
              <w:adjustRightInd w:val="0"/>
              <w:snapToGrid w:val="0"/>
              <w:spacing w:line="360" w:lineRule="exact"/>
              <w:rPr>
                <w:rFonts w:ascii="宋体" w:hAnsi="宋体" w:eastAsia="宋体" w:cs="仿宋_GB2312"/>
                <w:color w:val="auto"/>
                <w:sz w:val="24"/>
                <w:szCs w:val="24"/>
              </w:rPr>
            </w:pPr>
            <w:r>
              <w:rPr>
                <w:rFonts w:hint="eastAsia" w:ascii="宋体" w:hAnsi="宋体" w:eastAsia="宋体" w:cs="仿宋_GB2312"/>
                <w:color w:val="auto"/>
                <w:sz w:val="24"/>
                <w:szCs w:val="24"/>
              </w:rPr>
              <w:t>主要包括会计、审计、资产评估、税务服务等。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ascii="宋体" w:hAnsi="宋体" w:eastAsia="宋体" w:cs="仿宋_GB2312"/>
                <w:color w:val="auto"/>
                <w:sz w:val="24"/>
                <w:szCs w:val="24"/>
              </w:rPr>
              <w:t>5</w:t>
            </w:r>
          </w:p>
        </w:tc>
        <w:tc>
          <w:tcPr>
            <w:tcW w:w="1839"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hint="eastAsia" w:ascii="宋体" w:hAnsi="宋体" w:eastAsia="宋体" w:cs="仿宋_GB2312"/>
                <w:color w:val="auto"/>
                <w:sz w:val="24"/>
                <w:szCs w:val="24"/>
              </w:rPr>
              <w:t>咨询服务</w:t>
            </w:r>
          </w:p>
        </w:tc>
        <w:tc>
          <w:tcPr>
            <w:tcW w:w="2628"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ascii="宋体" w:hAnsi="宋体" w:eastAsia="宋体" w:cs="仿宋_GB2312"/>
                <w:color w:val="auto"/>
                <w:sz w:val="24"/>
                <w:szCs w:val="24"/>
              </w:rPr>
              <w:t>7242</w:t>
            </w:r>
            <w:r>
              <w:rPr>
                <w:rFonts w:hint="eastAsia" w:ascii="宋体" w:hAnsi="宋体" w:eastAsia="宋体" w:cs="仿宋_GB2312"/>
                <w:color w:val="auto"/>
                <w:sz w:val="24"/>
                <w:szCs w:val="24"/>
              </w:rPr>
              <w:t>、</w:t>
            </w:r>
            <w:r>
              <w:rPr>
                <w:rFonts w:ascii="宋体" w:hAnsi="宋体" w:eastAsia="宋体" w:cs="仿宋_GB2312"/>
                <w:color w:val="auto"/>
                <w:sz w:val="24"/>
                <w:szCs w:val="24"/>
              </w:rPr>
              <w:t>7243</w:t>
            </w:r>
            <w:r>
              <w:rPr>
                <w:rFonts w:hint="eastAsia" w:ascii="宋体" w:hAnsi="宋体" w:eastAsia="宋体" w:cs="仿宋_GB2312"/>
                <w:color w:val="auto"/>
                <w:sz w:val="24"/>
                <w:szCs w:val="24"/>
              </w:rPr>
              <w:t>、</w:t>
            </w:r>
            <w:r>
              <w:rPr>
                <w:rFonts w:ascii="宋体" w:hAnsi="宋体" w:eastAsia="宋体" w:cs="仿宋_GB2312"/>
                <w:color w:val="auto"/>
                <w:sz w:val="24"/>
                <w:szCs w:val="24"/>
              </w:rPr>
              <w:t>7244</w:t>
            </w:r>
            <w:r>
              <w:rPr>
                <w:rFonts w:hint="eastAsia" w:ascii="宋体" w:hAnsi="宋体" w:eastAsia="宋体" w:cs="仿宋_GB2312"/>
                <w:color w:val="auto"/>
                <w:sz w:val="24"/>
                <w:szCs w:val="24"/>
              </w:rPr>
              <w:t>、</w:t>
            </w:r>
            <w:r>
              <w:rPr>
                <w:rFonts w:ascii="宋体" w:hAnsi="宋体" w:eastAsia="宋体" w:cs="仿宋_GB2312"/>
                <w:color w:val="auto"/>
                <w:sz w:val="24"/>
                <w:szCs w:val="24"/>
              </w:rPr>
              <w:t>7245</w:t>
            </w:r>
            <w:r>
              <w:rPr>
                <w:rFonts w:hint="eastAsia" w:ascii="宋体" w:hAnsi="宋体" w:eastAsia="宋体" w:cs="仿宋_GB2312"/>
                <w:color w:val="auto"/>
                <w:sz w:val="24"/>
                <w:szCs w:val="24"/>
              </w:rPr>
              <w:t>、</w:t>
            </w:r>
            <w:r>
              <w:rPr>
                <w:rFonts w:ascii="宋体" w:hAnsi="宋体" w:eastAsia="宋体" w:cs="仿宋_GB2312"/>
                <w:color w:val="auto"/>
                <w:sz w:val="24"/>
                <w:szCs w:val="24"/>
              </w:rPr>
              <w:t>7246</w:t>
            </w:r>
            <w:r>
              <w:rPr>
                <w:rFonts w:hint="eastAsia" w:ascii="宋体" w:hAnsi="宋体" w:eastAsia="宋体" w:cs="仿宋_GB2312"/>
                <w:color w:val="auto"/>
                <w:sz w:val="24"/>
                <w:szCs w:val="24"/>
              </w:rPr>
              <w:t>、</w:t>
            </w:r>
            <w:r>
              <w:rPr>
                <w:rFonts w:ascii="宋体" w:hAnsi="宋体" w:eastAsia="宋体" w:cs="仿宋_GB2312"/>
                <w:color w:val="auto"/>
                <w:sz w:val="24"/>
                <w:szCs w:val="24"/>
              </w:rPr>
              <w:t>7249</w:t>
            </w:r>
          </w:p>
        </w:tc>
        <w:tc>
          <w:tcPr>
            <w:tcW w:w="3913" w:type="dxa"/>
            <w:noWrap w:val="0"/>
            <w:vAlign w:val="center"/>
          </w:tcPr>
          <w:p>
            <w:pPr>
              <w:adjustRightInd w:val="0"/>
              <w:snapToGrid w:val="0"/>
              <w:spacing w:line="360" w:lineRule="exact"/>
              <w:rPr>
                <w:rFonts w:ascii="宋体" w:hAnsi="宋体" w:eastAsia="宋体" w:cs="仿宋_GB2312"/>
                <w:color w:val="auto"/>
                <w:sz w:val="24"/>
                <w:szCs w:val="24"/>
              </w:rPr>
            </w:pPr>
            <w:r>
              <w:rPr>
                <w:rFonts w:hint="eastAsia" w:ascii="宋体" w:hAnsi="宋体" w:eastAsia="宋体" w:cs="仿宋_GB2312"/>
                <w:color w:val="auto"/>
                <w:sz w:val="24"/>
                <w:szCs w:val="24"/>
              </w:rPr>
              <w:t>主要包括市场调查、社会经济咨询、健康咨询、环保咨询、体育咨询等。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65"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ascii="宋体" w:hAnsi="宋体" w:eastAsia="宋体" w:cs="仿宋_GB2312"/>
                <w:color w:val="auto"/>
                <w:sz w:val="24"/>
                <w:szCs w:val="24"/>
              </w:rPr>
              <w:t>6</w:t>
            </w:r>
          </w:p>
        </w:tc>
        <w:tc>
          <w:tcPr>
            <w:tcW w:w="1839"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hint="eastAsia" w:ascii="宋体" w:hAnsi="宋体" w:eastAsia="宋体" w:cs="仿宋_GB2312"/>
                <w:color w:val="auto"/>
                <w:sz w:val="24"/>
                <w:szCs w:val="24"/>
              </w:rPr>
              <w:t>广告服务</w:t>
            </w:r>
          </w:p>
        </w:tc>
        <w:tc>
          <w:tcPr>
            <w:tcW w:w="2628"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ascii="宋体" w:hAnsi="宋体" w:eastAsia="宋体" w:cs="仿宋_GB2312"/>
                <w:color w:val="auto"/>
                <w:sz w:val="24"/>
                <w:szCs w:val="24"/>
              </w:rPr>
              <w:t>7251</w:t>
            </w:r>
            <w:r>
              <w:rPr>
                <w:rFonts w:hint="eastAsia" w:ascii="宋体" w:hAnsi="宋体" w:eastAsia="宋体" w:cs="仿宋_GB2312"/>
                <w:color w:val="auto"/>
                <w:sz w:val="24"/>
                <w:szCs w:val="24"/>
              </w:rPr>
              <w:t>、</w:t>
            </w:r>
            <w:r>
              <w:rPr>
                <w:rFonts w:ascii="宋体" w:hAnsi="宋体" w:eastAsia="宋体" w:cs="仿宋_GB2312"/>
                <w:color w:val="auto"/>
                <w:sz w:val="24"/>
                <w:szCs w:val="24"/>
              </w:rPr>
              <w:t>7259</w:t>
            </w:r>
          </w:p>
        </w:tc>
        <w:tc>
          <w:tcPr>
            <w:tcW w:w="3913" w:type="dxa"/>
            <w:noWrap w:val="0"/>
            <w:vAlign w:val="center"/>
          </w:tcPr>
          <w:p>
            <w:pPr>
              <w:adjustRightInd w:val="0"/>
              <w:snapToGrid w:val="0"/>
              <w:spacing w:line="360" w:lineRule="exact"/>
              <w:rPr>
                <w:rFonts w:ascii="宋体" w:hAnsi="宋体" w:eastAsia="宋体" w:cs="仿宋_GB2312"/>
                <w:color w:val="auto"/>
                <w:sz w:val="24"/>
                <w:szCs w:val="24"/>
              </w:rPr>
            </w:pPr>
            <w:r>
              <w:rPr>
                <w:rFonts w:hint="eastAsia" w:ascii="宋体" w:hAnsi="宋体" w:eastAsia="宋体" w:cs="仿宋_GB2312"/>
                <w:color w:val="auto"/>
                <w:sz w:val="24"/>
                <w:szCs w:val="24"/>
              </w:rPr>
              <w:t>指在报纸、期刊、路牌、灯箱、橱窗、互联网、通讯设备及广播电影电视等媒介上为客户策划、制作的有偿宣传活动。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65"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ascii="宋体" w:hAnsi="宋体" w:eastAsia="宋体" w:cs="仿宋_GB2312"/>
                <w:color w:val="auto"/>
                <w:sz w:val="24"/>
                <w:szCs w:val="24"/>
              </w:rPr>
              <w:t>7</w:t>
            </w:r>
          </w:p>
        </w:tc>
        <w:tc>
          <w:tcPr>
            <w:tcW w:w="1839"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hint="eastAsia" w:ascii="宋体" w:hAnsi="宋体" w:eastAsia="宋体" w:cs="仿宋_GB2312"/>
                <w:color w:val="auto"/>
                <w:sz w:val="24"/>
                <w:szCs w:val="24"/>
              </w:rPr>
              <w:t>人力资源服务</w:t>
            </w:r>
          </w:p>
        </w:tc>
        <w:tc>
          <w:tcPr>
            <w:tcW w:w="2628"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ascii="宋体" w:hAnsi="宋体" w:eastAsia="宋体" w:cs="仿宋_GB2312"/>
                <w:color w:val="auto"/>
                <w:sz w:val="24"/>
                <w:szCs w:val="24"/>
              </w:rPr>
              <w:t>7261</w:t>
            </w:r>
            <w:r>
              <w:rPr>
                <w:rFonts w:hint="eastAsia" w:ascii="宋体" w:hAnsi="宋体" w:eastAsia="宋体" w:cs="仿宋_GB2312"/>
                <w:color w:val="auto"/>
                <w:sz w:val="24"/>
                <w:szCs w:val="24"/>
              </w:rPr>
              <w:t>、</w:t>
            </w:r>
            <w:r>
              <w:rPr>
                <w:rFonts w:ascii="宋体" w:hAnsi="宋体" w:eastAsia="宋体" w:cs="仿宋_GB2312"/>
                <w:color w:val="auto"/>
                <w:sz w:val="24"/>
                <w:szCs w:val="24"/>
              </w:rPr>
              <w:t>7262</w:t>
            </w:r>
            <w:r>
              <w:rPr>
                <w:rFonts w:hint="eastAsia" w:ascii="宋体" w:hAnsi="宋体" w:eastAsia="宋体" w:cs="仿宋_GB2312"/>
                <w:color w:val="auto"/>
                <w:sz w:val="24"/>
                <w:szCs w:val="24"/>
              </w:rPr>
              <w:t>、</w:t>
            </w:r>
            <w:r>
              <w:rPr>
                <w:rFonts w:ascii="宋体" w:hAnsi="宋体" w:eastAsia="宋体" w:cs="仿宋_GB2312"/>
                <w:color w:val="auto"/>
                <w:sz w:val="24"/>
                <w:szCs w:val="24"/>
              </w:rPr>
              <w:t>7263</w:t>
            </w:r>
            <w:r>
              <w:rPr>
                <w:rFonts w:hint="eastAsia" w:ascii="宋体" w:hAnsi="宋体" w:eastAsia="宋体" w:cs="仿宋_GB2312"/>
                <w:color w:val="auto"/>
                <w:sz w:val="24"/>
                <w:szCs w:val="24"/>
              </w:rPr>
              <w:t>、</w:t>
            </w:r>
            <w:r>
              <w:rPr>
                <w:rFonts w:ascii="宋体" w:hAnsi="宋体" w:eastAsia="宋体" w:cs="仿宋_GB2312"/>
                <w:color w:val="auto"/>
                <w:sz w:val="24"/>
                <w:szCs w:val="24"/>
              </w:rPr>
              <w:t>7264</w:t>
            </w:r>
            <w:r>
              <w:rPr>
                <w:rFonts w:hint="eastAsia" w:ascii="宋体" w:hAnsi="宋体" w:eastAsia="宋体" w:cs="仿宋_GB2312"/>
                <w:color w:val="auto"/>
                <w:sz w:val="24"/>
                <w:szCs w:val="24"/>
              </w:rPr>
              <w:t>、</w:t>
            </w:r>
            <w:r>
              <w:rPr>
                <w:rFonts w:ascii="宋体" w:hAnsi="宋体" w:eastAsia="宋体" w:cs="仿宋_GB2312"/>
                <w:color w:val="auto"/>
                <w:sz w:val="24"/>
                <w:szCs w:val="24"/>
              </w:rPr>
              <w:t>7269</w:t>
            </w:r>
          </w:p>
        </w:tc>
        <w:tc>
          <w:tcPr>
            <w:tcW w:w="3913" w:type="dxa"/>
            <w:noWrap w:val="0"/>
            <w:vAlign w:val="center"/>
          </w:tcPr>
          <w:p>
            <w:pPr>
              <w:adjustRightInd w:val="0"/>
              <w:snapToGrid w:val="0"/>
              <w:spacing w:line="360" w:lineRule="exact"/>
              <w:rPr>
                <w:rFonts w:ascii="宋体" w:hAnsi="宋体" w:eastAsia="宋体" w:cs="仿宋_GB2312"/>
                <w:color w:val="auto"/>
                <w:sz w:val="24"/>
                <w:szCs w:val="24"/>
              </w:rPr>
            </w:pPr>
            <w:r>
              <w:rPr>
                <w:rFonts w:hint="eastAsia" w:ascii="宋体" w:hAnsi="宋体" w:eastAsia="宋体" w:cs="仿宋_GB2312"/>
                <w:color w:val="auto"/>
                <w:sz w:val="24"/>
                <w:szCs w:val="24"/>
              </w:rPr>
              <w:t>指为劳动者就业和职业发展，为用人单位管理和开发人力资源提供的相关服务。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765"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ascii="宋体" w:hAnsi="宋体" w:eastAsia="宋体" w:cs="仿宋_GB2312"/>
                <w:color w:val="auto"/>
                <w:sz w:val="24"/>
                <w:szCs w:val="24"/>
              </w:rPr>
              <w:t>8</w:t>
            </w:r>
          </w:p>
        </w:tc>
        <w:tc>
          <w:tcPr>
            <w:tcW w:w="1839"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hint="eastAsia" w:ascii="宋体" w:hAnsi="宋体" w:eastAsia="宋体" w:cs="仿宋_GB2312"/>
                <w:color w:val="auto"/>
                <w:sz w:val="24"/>
                <w:szCs w:val="24"/>
              </w:rPr>
              <w:t>会议展览及相关服务</w:t>
            </w:r>
          </w:p>
        </w:tc>
        <w:tc>
          <w:tcPr>
            <w:tcW w:w="2628"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ascii="宋体" w:hAnsi="宋体" w:eastAsia="宋体" w:cs="仿宋_GB2312"/>
                <w:color w:val="auto"/>
                <w:sz w:val="24"/>
                <w:szCs w:val="24"/>
              </w:rPr>
              <w:t>7281</w:t>
            </w:r>
            <w:r>
              <w:rPr>
                <w:rFonts w:hint="eastAsia" w:ascii="宋体" w:hAnsi="宋体" w:eastAsia="宋体" w:cs="仿宋_GB2312"/>
                <w:color w:val="auto"/>
                <w:sz w:val="24"/>
                <w:szCs w:val="24"/>
              </w:rPr>
              <w:t>、</w:t>
            </w:r>
            <w:r>
              <w:rPr>
                <w:rFonts w:ascii="宋体" w:hAnsi="宋体" w:eastAsia="宋体" w:cs="仿宋_GB2312"/>
                <w:color w:val="auto"/>
                <w:sz w:val="24"/>
                <w:szCs w:val="24"/>
              </w:rPr>
              <w:t>7282</w:t>
            </w:r>
            <w:r>
              <w:rPr>
                <w:rFonts w:hint="eastAsia" w:ascii="宋体" w:hAnsi="宋体" w:eastAsia="宋体" w:cs="仿宋_GB2312"/>
                <w:color w:val="auto"/>
                <w:sz w:val="24"/>
                <w:szCs w:val="24"/>
              </w:rPr>
              <w:t>、</w:t>
            </w:r>
            <w:r>
              <w:rPr>
                <w:rFonts w:ascii="宋体" w:hAnsi="宋体" w:eastAsia="宋体" w:cs="仿宋_GB2312"/>
                <w:color w:val="auto"/>
                <w:sz w:val="24"/>
                <w:szCs w:val="24"/>
              </w:rPr>
              <w:t>7283</w:t>
            </w:r>
            <w:r>
              <w:rPr>
                <w:rFonts w:hint="eastAsia" w:ascii="宋体" w:hAnsi="宋体" w:eastAsia="宋体" w:cs="仿宋_GB2312"/>
                <w:color w:val="auto"/>
                <w:sz w:val="24"/>
                <w:szCs w:val="24"/>
              </w:rPr>
              <w:t>、</w:t>
            </w:r>
            <w:r>
              <w:rPr>
                <w:rFonts w:ascii="宋体" w:hAnsi="宋体" w:eastAsia="宋体" w:cs="仿宋_GB2312"/>
                <w:color w:val="auto"/>
                <w:sz w:val="24"/>
                <w:szCs w:val="24"/>
              </w:rPr>
              <w:t>7284</w:t>
            </w:r>
            <w:r>
              <w:rPr>
                <w:rFonts w:hint="eastAsia" w:ascii="宋体" w:hAnsi="宋体" w:eastAsia="宋体" w:cs="仿宋_GB2312"/>
                <w:color w:val="auto"/>
                <w:sz w:val="24"/>
                <w:szCs w:val="24"/>
              </w:rPr>
              <w:t>、</w:t>
            </w:r>
            <w:r>
              <w:rPr>
                <w:rFonts w:ascii="宋体" w:hAnsi="宋体" w:eastAsia="宋体" w:cs="仿宋_GB2312"/>
                <w:color w:val="auto"/>
                <w:sz w:val="24"/>
                <w:szCs w:val="24"/>
              </w:rPr>
              <w:t>7289</w:t>
            </w:r>
          </w:p>
        </w:tc>
        <w:tc>
          <w:tcPr>
            <w:tcW w:w="3913" w:type="dxa"/>
            <w:noWrap w:val="0"/>
            <w:vAlign w:val="center"/>
          </w:tcPr>
          <w:p>
            <w:pPr>
              <w:adjustRightInd w:val="0"/>
              <w:snapToGrid w:val="0"/>
              <w:spacing w:line="360" w:lineRule="exact"/>
              <w:rPr>
                <w:rFonts w:ascii="宋体" w:hAnsi="宋体" w:eastAsia="宋体" w:cs="仿宋_GB2312"/>
                <w:color w:val="auto"/>
                <w:sz w:val="24"/>
                <w:szCs w:val="24"/>
              </w:rPr>
            </w:pPr>
            <w:r>
              <w:rPr>
                <w:rFonts w:hint="eastAsia" w:ascii="宋体" w:hAnsi="宋体" w:eastAsia="宋体" w:cs="仿宋_GB2312"/>
                <w:color w:val="auto"/>
                <w:sz w:val="24"/>
                <w:szCs w:val="24"/>
              </w:rPr>
              <w:t>指以会议、展览为主，也可附带其他相关的活动形式，包括项目策划组织、场馆租赁、安全保障等相关服务。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ascii="宋体" w:hAnsi="宋体" w:eastAsia="宋体" w:cs="仿宋_GB2312"/>
                <w:color w:val="auto"/>
                <w:sz w:val="24"/>
                <w:szCs w:val="24"/>
              </w:rPr>
              <w:t>9</w:t>
            </w:r>
          </w:p>
        </w:tc>
        <w:tc>
          <w:tcPr>
            <w:tcW w:w="1839"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hint="eastAsia" w:ascii="宋体" w:hAnsi="宋体" w:eastAsia="宋体" w:cs="仿宋_GB2312"/>
                <w:color w:val="auto"/>
                <w:sz w:val="24"/>
                <w:szCs w:val="24"/>
              </w:rPr>
              <w:t>科学研究和技术服务</w:t>
            </w:r>
          </w:p>
        </w:tc>
        <w:tc>
          <w:tcPr>
            <w:tcW w:w="2628"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ascii="宋体" w:hAnsi="宋体" w:eastAsia="宋体" w:cs="仿宋_GB2312"/>
                <w:color w:val="auto"/>
                <w:sz w:val="24"/>
                <w:szCs w:val="24"/>
              </w:rPr>
              <w:t>731</w:t>
            </w:r>
            <w:r>
              <w:rPr>
                <w:rFonts w:hint="eastAsia" w:ascii="宋体" w:hAnsi="宋体" w:eastAsia="宋体" w:cs="仿宋_GB2312"/>
                <w:color w:val="auto"/>
                <w:sz w:val="24"/>
                <w:szCs w:val="24"/>
              </w:rPr>
              <w:t>、</w:t>
            </w:r>
            <w:r>
              <w:rPr>
                <w:rFonts w:ascii="宋体" w:hAnsi="宋体" w:eastAsia="宋体" w:cs="仿宋_GB2312"/>
                <w:color w:val="auto"/>
                <w:sz w:val="24"/>
                <w:szCs w:val="24"/>
              </w:rPr>
              <w:t>732</w:t>
            </w:r>
            <w:r>
              <w:rPr>
                <w:rFonts w:hint="eastAsia" w:ascii="宋体" w:hAnsi="宋体" w:eastAsia="宋体" w:cs="仿宋_GB2312"/>
                <w:color w:val="auto"/>
                <w:sz w:val="24"/>
                <w:szCs w:val="24"/>
              </w:rPr>
              <w:t>、</w:t>
            </w:r>
            <w:r>
              <w:rPr>
                <w:rFonts w:ascii="宋体" w:hAnsi="宋体" w:eastAsia="宋体" w:cs="仿宋_GB2312"/>
                <w:color w:val="auto"/>
                <w:sz w:val="24"/>
                <w:szCs w:val="24"/>
              </w:rPr>
              <w:t>733</w:t>
            </w:r>
            <w:r>
              <w:rPr>
                <w:rFonts w:hint="eastAsia" w:ascii="宋体" w:hAnsi="宋体" w:eastAsia="宋体" w:cs="仿宋_GB2312"/>
                <w:color w:val="auto"/>
                <w:sz w:val="24"/>
                <w:szCs w:val="24"/>
              </w:rPr>
              <w:t>、</w:t>
            </w:r>
            <w:r>
              <w:rPr>
                <w:rFonts w:ascii="宋体" w:hAnsi="宋体" w:eastAsia="宋体" w:cs="仿宋_GB2312"/>
                <w:color w:val="auto"/>
                <w:sz w:val="24"/>
                <w:szCs w:val="24"/>
              </w:rPr>
              <w:t>734</w:t>
            </w:r>
            <w:r>
              <w:rPr>
                <w:rFonts w:hint="eastAsia" w:ascii="宋体" w:hAnsi="宋体" w:eastAsia="宋体" w:cs="仿宋_GB2312"/>
                <w:color w:val="auto"/>
                <w:sz w:val="24"/>
                <w:szCs w:val="24"/>
              </w:rPr>
              <w:t>、</w:t>
            </w:r>
            <w:r>
              <w:rPr>
                <w:rFonts w:ascii="宋体" w:hAnsi="宋体" w:eastAsia="宋体" w:cs="仿宋_GB2312"/>
                <w:color w:val="auto"/>
                <w:sz w:val="24"/>
                <w:szCs w:val="24"/>
              </w:rPr>
              <w:t>735</w:t>
            </w:r>
            <w:r>
              <w:rPr>
                <w:rFonts w:hint="eastAsia" w:ascii="宋体" w:hAnsi="宋体" w:eastAsia="宋体" w:cs="仿宋_GB2312"/>
                <w:color w:val="auto"/>
                <w:sz w:val="24"/>
                <w:szCs w:val="24"/>
              </w:rPr>
              <w:t>、</w:t>
            </w:r>
            <w:r>
              <w:rPr>
                <w:rFonts w:ascii="宋体" w:hAnsi="宋体" w:eastAsia="宋体" w:cs="仿宋_GB2312"/>
                <w:color w:val="auto"/>
                <w:sz w:val="24"/>
                <w:szCs w:val="24"/>
              </w:rPr>
              <w:t>741</w:t>
            </w:r>
            <w:r>
              <w:rPr>
                <w:rFonts w:hint="eastAsia" w:ascii="宋体" w:hAnsi="宋体" w:eastAsia="宋体" w:cs="仿宋_GB2312"/>
                <w:color w:val="auto"/>
                <w:sz w:val="24"/>
                <w:szCs w:val="24"/>
              </w:rPr>
              <w:t>、</w:t>
            </w:r>
            <w:r>
              <w:rPr>
                <w:rFonts w:ascii="宋体" w:hAnsi="宋体" w:eastAsia="宋体" w:cs="仿宋_GB2312"/>
                <w:color w:val="auto"/>
                <w:sz w:val="24"/>
                <w:szCs w:val="24"/>
              </w:rPr>
              <w:t>742</w:t>
            </w:r>
            <w:r>
              <w:rPr>
                <w:rFonts w:hint="eastAsia" w:ascii="宋体" w:hAnsi="宋体" w:eastAsia="宋体" w:cs="仿宋_GB2312"/>
                <w:color w:val="auto"/>
                <w:sz w:val="24"/>
                <w:szCs w:val="24"/>
              </w:rPr>
              <w:t>、</w:t>
            </w:r>
            <w:r>
              <w:rPr>
                <w:rFonts w:ascii="宋体" w:hAnsi="宋体" w:eastAsia="宋体" w:cs="仿宋_GB2312"/>
                <w:color w:val="auto"/>
                <w:sz w:val="24"/>
                <w:szCs w:val="24"/>
              </w:rPr>
              <w:t>743</w:t>
            </w:r>
            <w:r>
              <w:rPr>
                <w:rFonts w:hint="eastAsia" w:ascii="宋体" w:hAnsi="宋体" w:eastAsia="宋体" w:cs="仿宋_GB2312"/>
                <w:color w:val="auto"/>
                <w:sz w:val="24"/>
                <w:szCs w:val="24"/>
              </w:rPr>
              <w:t>、</w:t>
            </w:r>
            <w:r>
              <w:rPr>
                <w:rFonts w:ascii="宋体" w:hAnsi="宋体" w:eastAsia="宋体" w:cs="仿宋_GB2312"/>
                <w:color w:val="auto"/>
                <w:sz w:val="24"/>
                <w:szCs w:val="24"/>
              </w:rPr>
              <w:t>744</w:t>
            </w:r>
            <w:r>
              <w:rPr>
                <w:rFonts w:hint="eastAsia" w:ascii="宋体" w:hAnsi="宋体" w:eastAsia="宋体" w:cs="仿宋_GB2312"/>
                <w:color w:val="auto"/>
                <w:sz w:val="24"/>
                <w:szCs w:val="24"/>
              </w:rPr>
              <w:t>、</w:t>
            </w:r>
            <w:r>
              <w:rPr>
                <w:rFonts w:ascii="宋体" w:hAnsi="宋体" w:eastAsia="宋体" w:cs="仿宋_GB2312"/>
                <w:color w:val="auto"/>
                <w:sz w:val="24"/>
                <w:szCs w:val="24"/>
              </w:rPr>
              <w:t>745</w:t>
            </w:r>
            <w:r>
              <w:rPr>
                <w:rFonts w:hint="eastAsia" w:ascii="宋体" w:hAnsi="宋体" w:eastAsia="宋体" w:cs="仿宋_GB2312"/>
                <w:color w:val="auto"/>
                <w:sz w:val="24"/>
                <w:szCs w:val="24"/>
              </w:rPr>
              <w:t>、746、</w:t>
            </w:r>
            <w:r>
              <w:rPr>
                <w:rFonts w:ascii="宋体" w:hAnsi="宋体" w:eastAsia="宋体" w:cs="仿宋_GB2312"/>
                <w:color w:val="auto"/>
                <w:sz w:val="24"/>
                <w:szCs w:val="24"/>
              </w:rPr>
              <w:t>747</w:t>
            </w:r>
            <w:r>
              <w:rPr>
                <w:rFonts w:hint="eastAsia" w:ascii="宋体" w:hAnsi="宋体" w:eastAsia="宋体" w:cs="仿宋_GB2312"/>
                <w:color w:val="auto"/>
                <w:sz w:val="24"/>
                <w:szCs w:val="24"/>
              </w:rPr>
              <w:t>、</w:t>
            </w:r>
            <w:r>
              <w:rPr>
                <w:rFonts w:ascii="宋体" w:hAnsi="宋体" w:eastAsia="宋体" w:cs="仿宋_GB2312"/>
                <w:color w:val="auto"/>
                <w:sz w:val="24"/>
                <w:szCs w:val="24"/>
              </w:rPr>
              <w:t>748</w:t>
            </w:r>
            <w:r>
              <w:rPr>
                <w:rFonts w:hint="eastAsia" w:ascii="宋体" w:hAnsi="宋体" w:eastAsia="宋体" w:cs="仿宋_GB2312"/>
                <w:color w:val="auto"/>
                <w:sz w:val="24"/>
                <w:szCs w:val="24"/>
              </w:rPr>
              <w:t>、</w:t>
            </w:r>
            <w:r>
              <w:rPr>
                <w:rFonts w:ascii="宋体" w:hAnsi="宋体" w:eastAsia="宋体" w:cs="仿宋_GB2312"/>
                <w:color w:val="auto"/>
                <w:sz w:val="24"/>
                <w:szCs w:val="24"/>
              </w:rPr>
              <w:t>749</w:t>
            </w:r>
          </w:p>
        </w:tc>
        <w:tc>
          <w:tcPr>
            <w:tcW w:w="3913" w:type="dxa"/>
            <w:noWrap w:val="0"/>
            <w:vAlign w:val="center"/>
          </w:tcPr>
          <w:p>
            <w:pPr>
              <w:adjustRightInd w:val="0"/>
              <w:snapToGrid w:val="0"/>
              <w:spacing w:line="360" w:lineRule="exact"/>
              <w:rPr>
                <w:rFonts w:ascii="宋体" w:hAnsi="宋体" w:eastAsia="宋体" w:cs="仿宋_GB2312"/>
                <w:color w:val="auto"/>
                <w:sz w:val="24"/>
                <w:szCs w:val="24"/>
              </w:rPr>
            </w:pPr>
            <w:r>
              <w:rPr>
                <w:rFonts w:hint="eastAsia" w:ascii="宋体" w:hAnsi="宋体" w:eastAsia="宋体" w:cs="仿宋_GB2312"/>
                <w:color w:val="auto"/>
                <w:sz w:val="24"/>
                <w:szCs w:val="24"/>
              </w:rPr>
              <w:t>主要包括自然科学研究和试验发展、工程和技术研究和试验发展、农业科学研究和试验发展、医学研究和试验发展、社会人文科学研究、气象服务、海洋服务、测绘地理信息服务、质检技术服务、环境与生态监测检测服务、地质勘查、工程技术与技术服务、工业与专业技术及其他专业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65"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ascii="宋体" w:hAnsi="宋体" w:eastAsia="宋体" w:cs="仿宋_GB2312"/>
                <w:color w:val="auto"/>
                <w:sz w:val="24"/>
                <w:szCs w:val="24"/>
              </w:rPr>
              <w:t>10</w:t>
            </w:r>
          </w:p>
        </w:tc>
        <w:tc>
          <w:tcPr>
            <w:tcW w:w="1839"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hint="eastAsia" w:ascii="宋体" w:hAnsi="宋体" w:eastAsia="宋体" w:cs="仿宋_GB2312"/>
                <w:color w:val="auto"/>
                <w:sz w:val="24"/>
                <w:szCs w:val="24"/>
              </w:rPr>
              <w:t>科技创新服务</w:t>
            </w:r>
          </w:p>
        </w:tc>
        <w:tc>
          <w:tcPr>
            <w:tcW w:w="2628"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ascii="宋体" w:hAnsi="宋体" w:eastAsia="宋体" w:cs="仿宋_GB2312"/>
                <w:color w:val="auto"/>
                <w:sz w:val="24"/>
                <w:szCs w:val="24"/>
              </w:rPr>
              <w:t>751</w:t>
            </w:r>
            <w:r>
              <w:rPr>
                <w:rFonts w:hint="eastAsia" w:ascii="宋体" w:hAnsi="宋体" w:eastAsia="宋体" w:cs="仿宋_GB2312"/>
                <w:color w:val="auto"/>
                <w:sz w:val="24"/>
                <w:szCs w:val="24"/>
              </w:rPr>
              <w:t>、</w:t>
            </w:r>
            <w:r>
              <w:rPr>
                <w:rFonts w:ascii="宋体" w:hAnsi="宋体" w:eastAsia="宋体" w:cs="仿宋_GB2312"/>
                <w:color w:val="auto"/>
                <w:sz w:val="24"/>
                <w:szCs w:val="24"/>
              </w:rPr>
              <w:t>7520</w:t>
            </w:r>
            <w:r>
              <w:rPr>
                <w:rFonts w:hint="eastAsia" w:ascii="宋体" w:hAnsi="宋体" w:eastAsia="宋体" w:cs="仿宋_GB2312"/>
                <w:color w:val="auto"/>
                <w:sz w:val="24"/>
                <w:szCs w:val="24"/>
              </w:rPr>
              <w:t>、</w:t>
            </w:r>
            <w:r>
              <w:rPr>
                <w:rFonts w:ascii="宋体" w:hAnsi="宋体" w:eastAsia="宋体" w:cs="仿宋_GB2312"/>
                <w:color w:val="auto"/>
                <w:sz w:val="24"/>
                <w:szCs w:val="24"/>
              </w:rPr>
              <w:t>7530</w:t>
            </w:r>
            <w:r>
              <w:rPr>
                <w:rFonts w:hint="eastAsia" w:ascii="宋体" w:hAnsi="宋体" w:eastAsia="宋体" w:cs="仿宋_GB2312"/>
                <w:color w:val="auto"/>
                <w:sz w:val="24"/>
                <w:szCs w:val="24"/>
              </w:rPr>
              <w:t>、</w:t>
            </w:r>
            <w:r>
              <w:rPr>
                <w:rFonts w:ascii="宋体" w:hAnsi="宋体" w:eastAsia="宋体" w:cs="仿宋_GB2312"/>
                <w:color w:val="auto"/>
                <w:sz w:val="24"/>
                <w:szCs w:val="24"/>
              </w:rPr>
              <w:t>7540</w:t>
            </w:r>
            <w:r>
              <w:rPr>
                <w:rFonts w:hint="eastAsia" w:ascii="宋体" w:hAnsi="宋体" w:eastAsia="宋体" w:cs="仿宋_GB2312"/>
                <w:color w:val="auto"/>
                <w:sz w:val="24"/>
                <w:szCs w:val="24"/>
              </w:rPr>
              <w:t>、</w:t>
            </w:r>
            <w:r>
              <w:rPr>
                <w:rFonts w:ascii="宋体" w:hAnsi="宋体" w:eastAsia="宋体" w:cs="仿宋_GB2312"/>
                <w:color w:val="auto"/>
                <w:sz w:val="24"/>
                <w:szCs w:val="24"/>
              </w:rPr>
              <w:t>7590</w:t>
            </w:r>
          </w:p>
        </w:tc>
        <w:tc>
          <w:tcPr>
            <w:tcW w:w="3913" w:type="dxa"/>
            <w:noWrap w:val="0"/>
            <w:vAlign w:val="center"/>
          </w:tcPr>
          <w:p>
            <w:pPr>
              <w:adjustRightInd w:val="0"/>
              <w:snapToGrid w:val="0"/>
              <w:spacing w:line="360" w:lineRule="exact"/>
              <w:rPr>
                <w:rFonts w:ascii="宋体" w:hAnsi="宋体" w:eastAsia="宋体" w:cs="仿宋_GB2312"/>
                <w:color w:val="auto"/>
                <w:sz w:val="24"/>
                <w:szCs w:val="24"/>
              </w:rPr>
            </w:pPr>
            <w:r>
              <w:rPr>
                <w:rFonts w:hint="eastAsia" w:ascii="宋体" w:hAnsi="宋体" w:eastAsia="宋体" w:cs="仿宋_GB2312"/>
                <w:color w:val="auto"/>
                <w:sz w:val="24"/>
                <w:szCs w:val="24"/>
              </w:rPr>
              <w:t>主要包括科技推广服务、知识产权服务、科技中介服务、创业空间服务等。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765"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ascii="宋体" w:hAnsi="宋体" w:eastAsia="宋体" w:cs="仿宋_GB2312"/>
                <w:color w:val="auto"/>
                <w:sz w:val="24"/>
                <w:szCs w:val="24"/>
              </w:rPr>
              <w:t>11</w:t>
            </w:r>
          </w:p>
        </w:tc>
        <w:tc>
          <w:tcPr>
            <w:tcW w:w="1839"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hint="eastAsia" w:ascii="宋体" w:hAnsi="宋体" w:eastAsia="宋体" w:cs="仿宋_GB2312"/>
                <w:color w:val="auto"/>
                <w:sz w:val="24"/>
                <w:szCs w:val="24"/>
              </w:rPr>
              <w:t>组织综合管理服务</w:t>
            </w:r>
          </w:p>
        </w:tc>
        <w:tc>
          <w:tcPr>
            <w:tcW w:w="2628"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ascii="宋体" w:hAnsi="宋体" w:eastAsia="宋体" w:cs="仿宋_GB2312"/>
                <w:color w:val="auto"/>
                <w:sz w:val="24"/>
                <w:szCs w:val="24"/>
              </w:rPr>
              <w:t>7211</w:t>
            </w:r>
            <w:r>
              <w:rPr>
                <w:rFonts w:hint="eastAsia" w:ascii="宋体" w:hAnsi="宋体" w:eastAsia="宋体" w:cs="仿宋_GB2312"/>
                <w:color w:val="auto"/>
                <w:sz w:val="24"/>
                <w:szCs w:val="24"/>
              </w:rPr>
              <w:t>、</w:t>
            </w:r>
            <w:r>
              <w:rPr>
                <w:rFonts w:ascii="宋体" w:hAnsi="宋体" w:eastAsia="宋体" w:cs="仿宋_GB2312"/>
                <w:color w:val="auto"/>
                <w:sz w:val="24"/>
                <w:szCs w:val="24"/>
              </w:rPr>
              <w:t>7212</w:t>
            </w:r>
            <w:r>
              <w:rPr>
                <w:rFonts w:hint="eastAsia" w:ascii="宋体" w:hAnsi="宋体" w:eastAsia="宋体" w:cs="仿宋_GB2312"/>
                <w:color w:val="auto"/>
                <w:sz w:val="24"/>
                <w:szCs w:val="24"/>
              </w:rPr>
              <w:t>、</w:t>
            </w:r>
            <w:r>
              <w:rPr>
                <w:rFonts w:ascii="宋体" w:hAnsi="宋体" w:eastAsia="宋体" w:cs="仿宋_GB2312"/>
                <w:color w:val="auto"/>
                <w:sz w:val="24"/>
                <w:szCs w:val="24"/>
              </w:rPr>
              <w:t>7213</w:t>
            </w:r>
            <w:r>
              <w:rPr>
                <w:rFonts w:hint="eastAsia" w:ascii="宋体" w:hAnsi="宋体" w:eastAsia="宋体" w:cs="仿宋_GB2312"/>
                <w:color w:val="auto"/>
                <w:sz w:val="24"/>
                <w:szCs w:val="24"/>
              </w:rPr>
              <w:t>、</w:t>
            </w:r>
            <w:r>
              <w:rPr>
                <w:rFonts w:ascii="宋体" w:hAnsi="宋体" w:eastAsia="宋体" w:cs="仿宋_GB2312"/>
                <w:color w:val="auto"/>
                <w:sz w:val="24"/>
                <w:szCs w:val="24"/>
              </w:rPr>
              <w:t>7221</w:t>
            </w:r>
            <w:r>
              <w:rPr>
                <w:rFonts w:hint="eastAsia" w:ascii="宋体" w:hAnsi="宋体" w:eastAsia="宋体" w:cs="仿宋_GB2312"/>
                <w:color w:val="auto"/>
                <w:sz w:val="24"/>
                <w:szCs w:val="24"/>
              </w:rPr>
              <w:t>、</w:t>
            </w:r>
            <w:r>
              <w:rPr>
                <w:rFonts w:ascii="宋体" w:hAnsi="宋体" w:eastAsia="宋体" w:cs="仿宋_GB2312"/>
                <w:color w:val="auto"/>
                <w:sz w:val="24"/>
                <w:szCs w:val="24"/>
              </w:rPr>
              <w:t>7222</w:t>
            </w:r>
            <w:r>
              <w:rPr>
                <w:rFonts w:hint="eastAsia" w:ascii="宋体" w:hAnsi="宋体" w:eastAsia="宋体" w:cs="仿宋_GB2312"/>
                <w:color w:val="auto"/>
                <w:sz w:val="24"/>
                <w:szCs w:val="24"/>
              </w:rPr>
              <w:t>、</w:t>
            </w:r>
            <w:r>
              <w:rPr>
                <w:rFonts w:ascii="宋体" w:hAnsi="宋体" w:eastAsia="宋体" w:cs="仿宋_GB2312"/>
                <w:color w:val="auto"/>
                <w:sz w:val="24"/>
                <w:szCs w:val="24"/>
              </w:rPr>
              <w:t>7224</w:t>
            </w:r>
            <w:r>
              <w:rPr>
                <w:rFonts w:hint="eastAsia" w:ascii="宋体" w:hAnsi="宋体" w:eastAsia="宋体" w:cs="仿宋_GB2312"/>
                <w:color w:val="auto"/>
                <w:sz w:val="24"/>
                <w:szCs w:val="24"/>
              </w:rPr>
              <w:t>、</w:t>
            </w:r>
            <w:r>
              <w:rPr>
                <w:rFonts w:ascii="宋体" w:hAnsi="宋体" w:eastAsia="宋体" w:cs="仿宋_GB2312"/>
                <w:color w:val="auto"/>
                <w:sz w:val="24"/>
                <w:szCs w:val="24"/>
              </w:rPr>
              <w:t>7229</w:t>
            </w:r>
          </w:p>
        </w:tc>
        <w:tc>
          <w:tcPr>
            <w:tcW w:w="3913" w:type="dxa"/>
            <w:noWrap w:val="0"/>
            <w:vAlign w:val="center"/>
          </w:tcPr>
          <w:p>
            <w:pPr>
              <w:adjustRightInd w:val="0"/>
              <w:snapToGrid w:val="0"/>
              <w:spacing w:line="360" w:lineRule="exact"/>
              <w:rPr>
                <w:rFonts w:ascii="宋体" w:hAnsi="宋体" w:eastAsia="宋体" w:cs="仿宋_GB2312"/>
                <w:color w:val="auto"/>
                <w:sz w:val="24"/>
                <w:szCs w:val="24"/>
              </w:rPr>
            </w:pPr>
            <w:r>
              <w:rPr>
                <w:rFonts w:hint="eastAsia" w:ascii="宋体" w:hAnsi="宋体" w:eastAsia="宋体" w:cs="仿宋_GB2312"/>
                <w:color w:val="auto"/>
                <w:sz w:val="24"/>
                <w:szCs w:val="24"/>
              </w:rPr>
              <w:t>主要包括企业总部管理、投资与资产管理、资源与产权交易服务、园区管理、供应链管理服务和其他综合管理服务等。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765"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ascii="宋体" w:hAnsi="宋体" w:eastAsia="宋体" w:cs="仿宋_GB2312"/>
                <w:color w:val="auto"/>
                <w:sz w:val="24"/>
                <w:szCs w:val="24"/>
              </w:rPr>
              <w:t>12</w:t>
            </w:r>
          </w:p>
        </w:tc>
        <w:tc>
          <w:tcPr>
            <w:tcW w:w="1839"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hint="eastAsia" w:ascii="宋体" w:hAnsi="宋体" w:eastAsia="宋体" w:cs="仿宋_GB2312"/>
                <w:color w:val="auto"/>
                <w:sz w:val="24"/>
                <w:szCs w:val="24"/>
              </w:rPr>
              <w:t>文体创意及娱乐</w:t>
            </w:r>
          </w:p>
        </w:tc>
        <w:tc>
          <w:tcPr>
            <w:tcW w:w="2628"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ascii="宋体" w:hAnsi="宋体" w:eastAsia="宋体" w:cs="仿宋_GB2312"/>
                <w:color w:val="auto"/>
                <w:sz w:val="24"/>
                <w:szCs w:val="24"/>
              </w:rPr>
              <w:t>861</w:t>
            </w:r>
            <w:r>
              <w:rPr>
                <w:rFonts w:hint="eastAsia" w:ascii="宋体" w:hAnsi="宋体" w:eastAsia="宋体" w:cs="仿宋_GB2312"/>
                <w:color w:val="auto"/>
                <w:sz w:val="24"/>
                <w:szCs w:val="24"/>
              </w:rPr>
              <w:t>、</w:t>
            </w:r>
            <w:r>
              <w:rPr>
                <w:rFonts w:ascii="宋体" w:hAnsi="宋体" w:eastAsia="宋体" w:cs="仿宋_GB2312"/>
                <w:color w:val="auto"/>
                <w:sz w:val="24"/>
                <w:szCs w:val="24"/>
              </w:rPr>
              <w:t>862</w:t>
            </w:r>
            <w:r>
              <w:rPr>
                <w:rFonts w:hint="eastAsia" w:ascii="宋体" w:hAnsi="宋体" w:eastAsia="宋体" w:cs="仿宋_GB2312"/>
                <w:color w:val="auto"/>
                <w:sz w:val="24"/>
                <w:szCs w:val="24"/>
              </w:rPr>
              <w:t>、</w:t>
            </w:r>
            <w:r>
              <w:rPr>
                <w:rFonts w:ascii="宋体" w:hAnsi="宋体" w:eastAsia="宋体" w:cs="仿宋_GB2312"/>
                <w:color w:val="auto"/>
                <w:sz w:val="24"/>
                <w:szCs w:val="24"/>
              </w:rPr>
              <w:t>871</w:t>
            </w:r>
            <w:r>
              <w:rPr>
                <w:rFonts w:hint="eastAsia" w:ascii="宋体" w:hAnsi="宋体" w:eastAsia="宋体" w:cs="仿宋_GB2312"/>
                <w:color w:val="auto"/>
                <w:sz w:val="24"/>
                <w:szCs w:val="24"/>
              </w:rPr>
              <w:t>、</w:t>
            </w:r>
            <w:r>
              <w:rPr>
                <w:rFonts w:ascii="宋体" w:hAnsi="宋体" w:eastAsia="宋体" w:cs="仿宋_GB2312"/>
                <w:color w:val="auto"/>
                <w:sz w:val="24"/>
                <w:szCs w:val="24"/>
              </w:rPr>
              <w:t>872</w:t>
            </w:r>
            <w:r>
              <w:rPr>
                <w:rFonts w:hint="eastAsia" w:ascii="宋体" w:hAnsi="宋体" w:eastAsia="宋体" w:cs="仿宋_GB2312"/>
                <w:color w:val="auto"/>
                <w:sz w:val="24"/>
                <w:szCs w:val="24"/>
              </w:rPr>
              <w:t>、</w:t>
            </w:r>
            <w:r>
              <w:rPr>
                <w:rFonts w:ascii="宋体" w:hAnsi="宋体" w:eastAsia="宋体" w:cs="仿宋_GB2312"/>
                <w:color w:val="auto"/>
                <w:sz w:val="24"/>
                <w:szCs w:val="24"/>
              </w:rPr>
              <w:t>873</w:t>
            </w:r>
            <w:r>
              <w:rPr>
                <w:rFonts w:hint="eastAsia" w:ascii="宋体" w:hAnsi="宋体" w:eastAsia="宋体" w:cs="仿宋_GB2312"/>
                <w:color w:val="auto"/>
                <w:sz w:val="24"/>
                <w:szCs w:val="24"/>
              </w:rPr>
              <w:t>、</w:t>
            </w:r>
            <w:r>
              <w:rPr>
                <w:rFonts w:ascii="宋体" w:hAnsi="宋体" w:eastAsia="宋体" w:cs="仿宋_GB2312"/>
                <w:color w:val="auto"/>
                <w:sz w:val="24"/>
                <w:szCs w:val="24"/>
              </w:rPr>
              <w:t>874</w:t>
            </w:r>
            <w:r>
              <w:rPr>
                <w:rFonts w:hint="eastAsia" w:ascii="宋体" w:hAnsi="宋体" w:eastAsia="宋体" w:cs="仿宋_GB2312"/>
                <w:color w:val="auto"/>
                <w:sz w:val="24"/>
                <w:szCs w:val="24"/>
              </w:rPr>
              <w:t>、</w:t>
            </w:r>
            <w:r>
              <w:rPr>
                <w:rFonts w:ascii="宋体" w:hAnsi="宋体" w:eastAsia="宋体" w:cs="仿宋_GB2312"/>
                <w:color w:val="auto"/>
                <w:sz w:val="24"/>
                <w:szCs w:val="24"/>
              </w:rPr>
              <w:t>875</w:t>
            </w:r>
            <w:r>
              <w:rPr>
                <w:rFonts w:hint="eastAsia" w:ascii="宋体" w:hAnsi="宋体" w:eastAsia="宋体" w:cs="仿宋_GB2312"/>
                <w:color w:val="auto"/>
                <w:sz w:val="24"/>
                <w:szCs w:val="24"/>
              </w:rPr>
              <w:t>、</w:t>
            </w:r>
            <w:r>
              <w:rPr>
                <w:rFonts w:ascii="宋体" w:hAnsi="宋体" w:eastAsia="宋体" w:cs="仿宋_GB2312"/>
                <w:color w:val="auto"/>
                <w:sz w:val="24"/>
                <w:szCs w:val="24"/>
              </w:rPr>
              <w:t>876</w:t>
            </w:r>
            <w:r>
              <w:rPr>
                <w:rFonts w:hint="eastAsia" w:ascii="宋体" w:hAnsi="宋体" w:eastAsia="宋体" w:cs="仿宋_GB2312"/>
                <w:color w:val="auto"/>
                <w:sz w:val="24"/>
                <w:szCs w:val="24"/>
              </w:rPr>
              <w:t>、</w:t>
            </w:r>
            <w:r>
              <w:rPr>
                <w:rFonts w:ascii="宋体" w:hAnsi="宋体" w:eastAsia="宋体" w:cs="仿宋_GB2312"/>
                <w:color w:val="auto"/>
                <w:sz w:val="24"/>
                <w:szCs w:val="24"/>
              </w:rPr>
              <w:t>877</w:t>
            </w:r>
            <w:r>
              <w:rPr>
                <w:rFonts w:hint="eastAsia" w:ascii="宋体" w:hAnsi="宋体" w:eastAsia="宋体" w:cs="仿宋_GB2312"/>
                <w:color w:val="auto"/>
                <w:sz w:val="24"/>
                <w:szCs w:val="24"/>
              </w:rPr>
              <w:t>、</w:t>
            </w:r>
            <w:r>
              <w:rPr>
                <w:rFonts w:ascii="宋体" w:hAnsi="宋体" w:eastAsia="宋体" w:cs="仿宋_GB2312"/>
                <w:color w:val="auto"/>
                <w:sz w:val="24"/>
                <w:szCs w:val="24"/>
              </w:rPr>
              <w:t>881</w:t>
            </w:r>
            <w:r>
              <w:rPr>
                <w:rFonts w:hint="eastAsia" w:ascii="宋体" w:hAnsi="宋体" w:eastAsia="宋体" w:cs="仿宋_GB2312"/>
                <w:color w:val="auto"/>
                <w:sz w:val="24"/>
                <w:szCs w:val="24"/>
              </w:rPr>
              <w:t>、</w:t>
            </w:r>
            <w:r>
              <w:rPr>
                <w:rFonts w:ascii="宋体" w:hAnsi="宋体" w:eastAsia="宋体" w:cs="仿宋_GB2312"/>
                <w:color w:val="auto"/>
                <w:sz w:val="24"/>
                <w:szCs w:val="24"/>
              </w:rPr>
              <w:t>882</w:t>
            </w:r>
            <w:r>
              <w:rPr>
                <w:rFonts w:hint="eastAsia" w:ascii="宋体" w:hAnsi="宋体" w:eastAsia="宋体" w:cs="仿宋_GB2312"/>
                <w:color w:val="auto"/>
                <w:sz w:val="24"/>
                <w:szCs w:val="24"/>
              </w:rPr>
              <w:t>、</w:t>
            </w:r>
            <w:r>
              <w:rPr>
                <w:rFonts w:ascii="宋体" w:hAnsi="宋体" w:eastAsia="宋体" w:cs="仿宋_GB2312"/>
                <w:color w:val="auto"/>
                <w:sz w:val="24"/>
                <w:szCs w:val="24"/>
              </w:rPr>
              <w:t>883</w:t>
            </w:r>
            <w:r>
              <w:rPr>
                <w:rFonts w:hint="eastAsia" w:ascii="宋体" w:hAnsi="宋体" w:eastAsia="宋体" w:cs="仿宋_GB2312"/>
                <w:color w:val="auto"/>
                <w:sz w:val="24"/>
                <w:szCs w:val="24"/>
              </w:rPr>
              <w:t>、</w:t>
            </w:r>
            <w:r>
              <w:rPr>
                <w:rFonts w:hint="eastAsia" w:ascii="宋体" w:hAnsi="宋体" w:eastAsia="宋体" w:cs="仿宋_GB2312"/>
                <w:color w:val="0070C0"/>
                <w:sz w:val="24"/>
                <w:szCs w:val="24"/>
                <w:lang w:val="en-US" w:eastAsia="zh-CN"/>
              </w:rPr>
              <w:t>884、885、886、</w:t>
            </w:r>
            <w:r>
              <w:rPr>
                <w:rFonts w:hint="eastAsia" w:ascii="宋体" w:hAnsi="宋体" w:eastAsia="宋体" w:cs="仿宋_GB2312"/>
                <w:color w:val="auto"/>
                <w:sz w:val="24"/>
                <w:szCs w:val="24"/>
              </w:rPr>
              <w:t>887、</w:t>
            </w:r>
            <w:r>
              <w:rPr>
                <w:rFonts w:ascii="宋体" w:hAnsi="宋体" w:eastAsia="宋体" w:cs="仿宋_GB2312"/>
                <w:color w:val="auto"/>
                <w:sz w:val="24"/>
                <w:szCs w:val="24"/>
              </w:rPr>
              <w:t>889</w:t>
            </w:r>
            <w:r>
              <w:rPr>
                <w:rFonts w:hint="eastAsia" w:ascii="宋体" w:hAnsi="宋体" w:eastAsia="宋体" w:cs="仿宋_GB2312"/>
                <w:color w:val="auto"/>
                <w:sz w:val="24"/>
                <w:szCs w:val="24"/>
              </w:rPr>
              <w:t>、</w:t>
            </w:r>
            <w:r>
              <w:rPr>
                <w:rFonts w:ascii="宋体" w:hAnsi="宋体" w:eastAsia="宋体" w:cs="仿宋_GB2312"/>
                <w:color w:val="auto"/>
                <w:sz w:val="24"/>
                <w:szCs w:val="24"/>
              </w:rPr>
              <w:t>891</w:t>
            </w:r>
            <w:r>
              <w:rPr>
                <w:rFonts w:hint="eastAsia" w:ascii="宋体" w:hAnsi="宋体" w:eastAsia="宋体" w:cs="仿宋_GB2312"/>
                <w:color w:val="auto"/>
                <w:sz w:val="24"/>
                <w:szCs w:val="24"/>
              </w:rPr>
              <w:t>、</w:t>
            </w:r>
            <w:r>
              <w:rPr>
                <w:rFonts w:ascii="宋体" w:hAnsi="宋体" w:eastAsia="宋体" w:cs="仿宋_GB2312"/>
                <w:color w:val="auto"/>
                <w:sz w:val="24"/>
                <w:szCs w:val="24"/>
              </w:rPr>
              <w:t>892</w:t>
            </w:r>
            <w:r>
              <w:rPr>
                <w:rFonts w:hint="eastAsia" w:ascii="宋体" w:hAnsi="宋体" w:eastAsia="宋体" w:cs="仿宋_GB2312"/>
                <w:color w:val="auto"/>
                <w:sz w:val="24"/>
                <w:szCs w:val="24"/>
              </w:rPr>
              <w:t>、</w:t>
            </w:r>
            <w:r>
              <w:rPr>
                <w:rFonts w:ascii="宋体" w:hAnsi="宋体" w:eastAsia="宋体" w:cs="仿宋_GB2312"/>
                <w:color w:val="auto"/>
                <w:sz w:val="24"/>
                <w:szCs w:val="24"/>
              </w:rPr>
              <w:t>893</w:t>
            </w:r>
            <w:r>
              <w:rPr>
                <w:rFonts w:hint="eastAsia" w:ascii="宋体" w:hAnsi="宋体" w:eastAsia="宋体" w:cs="仿宋_GB2312"/>
                <w:color w:val="auto"/>
                <w:sz w:val="24"/>
                <w:szCs w:val="24"/>
              </w:rPr>
              <w:t>、</w:t>
            </w:r>
            <w:r>
              <w:rPr>
                <w:rFonts w:ascii="宋体" w:hAnsi="宋体" w:eastAsia="宋体" w:cs="仿宋_GB2312"/>
                <w:color w:val="auto"/>
                <w:sz w:val="24"/>
                <w:szCs w:val="24"/>
              </w:rPr>
              <w:t>899</w:t>
            </w:r>
            <w:r>
              <w:rPr>
                <w:rFonts w:hint="eastAsia" w:ascii="宋体" w:hAnsi="宋体" w:eastAsia="宋体" w:cs="仿宋_GB2312"/>
                <w:color w:val="auto"/>
                <w:sz w:val="24"/>
                <w:szCs w:val="24"/>
              </w:rPr>
              <w:t>、901、902、903、</w:t>
            </w:r>
            <w:r>
              <w:rPr>
                <w:rFonts w:hint="eastAsia" w:ascii="宋体" w:hAnsi="宋体" w:eastAsia="宋体" w:cs="仿宋_GB2312"/>
                <w:color w:val="0070C0"/>
                <w:sz w:val="24"/>
                <w:szCs w:val="24"/>
                <w:lang w:val="en-US" w:eastAsia="zh-CN"/>
              </w:rPr>
              <w:t>904</w:t>
            </w:r>
            <w:r>
              <w:rPr>
                <w:rFonts w:hint="eastAsia" w:ascii="宋体" w:hAnsi="宋体" w:eastAsia="宋体" w:cs="仿宋_GB2312"/>
                <w:color w:val="auto"/>
                <w:sz w:val="24"/>
                <w:szCs w:val="24"/>
                <w:lang w:val="en-US" w:eastAsia="zh-CN"/>
              </w:rPr>
              <w:t>、</w:t>
            </w:r>
            <w:r>
              <w:rPr>
                <w:rFonts w:hint="eastAsia" w:ascii="宋体" w:hAnsi="宋体" w:eastAsia="宋体" w:cs="仿宋_GB2312"/>
                <w:color w:val="auto"/>
                <w:sz w:val="24"/>
                <w:szCs w:val="24"/>
              </w:rPr>
              <w:t>905、909</w:t>
            </w:r>
          </w:p>
        </w:tc>
        <w:tc>
          <w:tcPr>
            <w:tcW w:w="3913" w:type="dxa"/>
            <w:noWrap w:val="0"/>
            <w:vAlign w:val="center"/>
          </w:tcPr>
          <w:p>
            <w:pPr>
              <w:adjustRightInd w:val="0"/>
              <w:snapToGrid w:val="0"/>
              <w:spacing w:line="360" w:lineRule="exact"/>
              <w:rPr>
                <w:rFonts w:ascii="宋体" w:hAnsi="宋体" w:eastAsia="宋体" w:cs="仿宋_GB2312"/>
                <w:color w:val="auto"/>
                <w:sz w:val="24"/>
                <w:szCs w:val="24"/>
              </w:rPr>
            </w:pPr>
            <w:r>
              <w:rPr>
                <w:rFonts w:hint="eastAsia" w:ascii="宋体" w:hAnsi="宋体" w:eastAsia="宋体" w:cs="仿宋_GB2312"/>
                <w:color w:val="auto"/>
                <w:sz w:val="24"/>
                <w:szCs w:val="24"/>
              </w:rPr>
              <w:t>主要包括新闻出版业、影视制作、文艺创作与表演、体育、室内娱乐、游乐园、</w:t>
            </w:r>
            <w:r>
              <w:rPr>
                <w:rFonts w:hint="eastAsia" w:ascii="宋体" w:hAnsi="宋体" w:eastAsia="宋体" w:cs="仿宋_GB2312"/>
                <w:color w:val="0070C0"/>
                <w:sz w:val="24"/>
                <w:szCs w:val="24"/>
                <w:lang w:eastAsia="zh-CN"/>
              </w:rPr>
              <w:t>博物馆、</w:t>
            </w:r>
            <w:r>
              <w:rPr>
                <w:rFonts w:hint="eastAsia" w:ascii="宋体" w:hAnsi="宋体" w:eastAsia="宋体" w:cs="仿宋_GB2312"/>
                <w:color w:val="auto"/>
                <w:sz w:val="24"/>
                <w:szCs w:val="24"/>
              </w:rPr>
              <w:t>经纪人等。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765"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ascii="宋体" w:hAnsi="宋体" w:eastAsia="宋体" w:cs="仿宋_GB2312"/>
                <w:color w:val="auto"/>
                <w:sz w:val="24"/>
                <w:szCs w:val="24"/>
              </w:rPr>
              <w:t>13</w:t>
            </w:r>
          </w:p>
        </w:tc>
        <w:tc>
          <w:tcPr>
            <w:tcW w:w="1839"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hint="eastAsia" w:ascii="宋体" w:hAnsi="宋体" w:eastAsia="宋体" w:cs="仿宋_GB2312"/>
                <w:color w:val="auto"/>
                <w:sz w:val="24"/>
                <w:szCs w:val="24"/>
              </w:rPr>
              <w:t>其他服务</w:t>
            </w:r>
          </w:p>
        </w:tc>
        <w:tc>
          <w:tcPr>
            <w:tcW w:w="2628" w:type="dxa"/>
            <w:noWrap w:val="0"/>
            <w:vAlign w:val="center"/>
          </w:tcPr>
          <w:p>
            <w:pPr>
              <w:adjustRightInd w:val="0"/>
              <w:snapToGrid w:val="0"/>
              <w:spacing w:line="360" w:lineRule="exact"/>
              <w:jc w:val="center"/>
              <w:rPr>
                <w:rFonts w:ascii="宋体" w:hAnsi="宋体" w:eastAsia="宋体" w:cs="仿宋_GB2312"/>
                <w:color w:val="auto"/>
                <w:sz w:val="24"/>
                <w:szCs w:val="24"/>
              </w:rPr>
            </w:pPr>
            <w:r>
              <w:rPr>
                <w:rFonts w:ascii="宋体" w:hAnsi="宋体" w:eastAsia="宋体" w:cs="仿宋_GB2312"/>
                <w:color w:val="auto"/>
                <w:sz w:val="24"/>
                <w:szCs w:val="24"/>
              </w:rPr>
              <w:t>711</w:t>
            </w:r>
            <w:r>
              <w:rPr>
                <w:rFonts w:hint="eastAsia" w:ascii="宋体" w:hAnsi="宋体" w:eastAsia="宋体" w:cs="仿宋_GB2312"/>
                <w:color w:val="auto"/>
                <w:sz w:val="24"/>
                <w:szCs w:val="24"/>
              </w:rPr>
              <w:t>、</w:t>
            </w:r>
            <w:r>
              <w:rPr>
                <w:rFonts w:ascii="宋体" w:hAnsi="宋体" w:eastAsia="宋体" w:cs="仿宋_GB2312"/>
                <w:color w:val="auto"/>
                <w:sz w:val="24"/>
                <w:szCs w:val="24"/>
              </w:rPr>
              <w:t>712</w:t>
            </w:r>
            <w:r>
              <w:rPr>
                <w:rFonts w:hint="eastAsia" w:ascii="宋体" w:hAnsi="宋体" w:eastAsia="宋体" w:cs="仿宋_GB2312"/>
                <w:color w:val="auto"/>
                <w:sz w:val="24"/>
                <w:szCs w:val="24"/>
              </w:rPr>
              <w:t>、713、</w:t>
            </w:r>
            <w:r>
              <w:rPr>
                <w:rFonts w:hint="eastAsia" w:ascii="宋体" w:hAnsi="宋体" w:eastAsia="宋体" w:cs="仿宋_GB2312"/>
                <w:color w:val="auto"/>
                <w:sz w:val="24"/>
                <w:szCs w:val="24"/>
                <w:lang w:val="en-US" w:eastAsia="zh-CN"/>
              </w:rPr>
              <w:t>727、</w:t>
            </w:r>
            <w:r>
              <w:rPr>
                <w:rFonts w:ascii="宋体" w:hAnsi="宋体" w:eastAsia="宋体" w:cs="仿宋_GB2312"/>
                <w:color w:val="auto"/>
                <w:sz w:val="24"/>
                <w:szCs w:val="24"/>
              </w:rPr>
              <w:t>729</w:t>
            </w:r>
            <w:r>
              <w:rPr>
                <w:rFonts w:hint="eastAsia" w:ascii="宋体" w:hAnsi="宋体" w:eastAsia="宋体" w:cs="仿宋_GB2312"/>
                <w:color w:val="auto"/>
                <w:sz w:val="24"/>
                <w:szCs w:val="24"/>
              </w:rPr>
              <w:t>、</w:t>
            </w:r>
            <w:r>
              <w:rPr>
                <w:rFonts w:ascii="宋体" w:hAnsi="宋体" w:eastAsia="宋体" w:cs="仿宋_GB2312"/>
                <w:color w:val="auto"/>
                <w:sz w:val="24"/>
                <w:szCs w:val="24"/>
              </w:rPr>
              <w:t>801</w:t>
            </w:r>
            <w:r>
              <w:rPr>
                <w:rFonts w:hint="eastAsia" w:ascii="宋体" w:hAnsi="宋体" w:eastAsia="宋体" w:cs="仿宋_GB2312"/>
                <w:color w:val="auto"/>
                <w:sz w:val="24"/>
                <w:szCs w:val="24"/>
              </w:rPr>
              <w:t>、</w:t>
            </w:r>
            <w:r>
              <w:rPr>
                <w:rFonts w:ascii="宋体" w:hAnsi="宋体" w:eastAsia="宋体" w:cs="仿宋_GB2312"/>
                <w:color w:val="auto"/>
                <w:sz w:val="24"/>
                <w:szCs w:val="24"/>
              </w:rPr>
              <w:t>802</w:t>
            </w:r>
            <w:r>
              <w:rPr>
                <w:rFonts w:hint="eastAsia" w:ascii="宋体" w:hAnsi="宋体" w:eastAsia="宋体" w:cs="仿宋_GB2312"/>
                <w:color w:val="auto"/>
                <w:sz w:val="24"/>
                <w:szCs w:val="24"/>
              </w:rPr>
              <w:t>、</w:t>
            </w:r>
            <w:r>
              <w:rPr>
                <w:rFonts w:ascii="宋体" w:hAnsi="宋体" w:eastAsia="宋体" w:cs="仿宋_GB2312"/>
                <w:color w:val="auto"/>
                <w:sz w:val="24"/>
                <w:szCs w:val="24"/>
              </w:rPr>
              <w:t>803</w:t>
            </w:r>
            <w:r>
              <w:rPr>
                <w:rFonts w:hint="eastAsia" w:ascii="宋体" w:hAnsi="宋体" w:eastAsia="宋体" w:cs="仿宋_GB2312"/>
                <w:color w:val="auto"/>
                <w:sz w:val="24"/>
                <w:szCs w:val="24"/>
              </w:rPr>
              <w:t>、</w:t>
            </w:r>
            <w:r>
              <w:rPr>
                <w:rFonts w:ascii="宋体" w:hAnsi="宋体" w:eastAsia="宋体" w:cs="仿宋_GB2312"/>
                <w:color w:val="auto"/>
                <w:sz w:val="24"/>
                <w:szCs w:val="24"/>
              </w:rPr>
              <w:t>809</w:t>
            </w:r>
            <w:r>
              <w:rPr>
                <w:rFonts w:hint="eastAsia" w:ascii="宋体" w:hAnsi="宋体" w:eastAsia="宋体" w:cs="仿宋_GB2312"/>
                <w:color w:val="auto"/>
                <w:sz w:val="24"/>
                <w:szCs w:val="24"/>
              </w:rPr>
              <w:t>、</w:t>
            </w:r>
            <w:r>
              <w:rPr>
                <w:rFonts w:ascii="宋体" w:hAnsi="宋体" w:eastAsia="宋体" w:cs="仿宋_GB2312"/>
                <w:color w:val="auto"/>
                <w:sz w:val="24"/>
                <w:szCs w:val="24"/>
              </w:rPr>
              <w:t>811</w:t>
            </w:r>
            <w:r>
              <w:rPr>
                <w:rFonts w:hint="eastAsia" w:ascii="宋体" w:hAnsi="宋体" w:eastAsia="宋体" w:cs="仿宋_GB2312"/>
                <w:color w:val="auto"/>
                <w:sz w:val="24"/>
                <w:szCs w:val="24"/>
              </w:rPr>
              <w:t>、</w:t>
            </w:r>
            <w:r>
              <w:rPr>
                <w:rFonts w:ascii="宋体" w:hAnsi="宋体" w:eastAsia="宋体" w:cs="仿宋_GB2312"/>
                <w:color w:val="auto"/>
                <w:sz w:val="24"/>
                <w:szCs w:val="24"/>
              </w:rPr>
              <w:t>812</w:t>
            </w:r>
            <w:r>
              <w:rPr>
                <w:rFonts w:hint="eastAsia" w:ascii="宋体" w:hAnsi="宋体" w:eastAsia="宋体" w:cs="仿宋_GB2312"/>
                <w:color w:val="auto"/>
                <w:sz w:val="24"/>
                <w:szCs w:val="24"/>
              </w:rPr>
              <w:t>、</w:t>
            </w:r>
            <w:r>
              <w:rPr>
                <w:rFonts w:ascii="宋体" w:hAnsi="宋体" w:eastAsia="宋体" w:cs="仿宋_GB2312"/>
                <w:color w:val="auto"/>
                <w:sz w:val="24"/>
                <w:szCs w:val="24"/>
              </w:rPr>
              <w:t>813</w:t>
            </w:r>
            <w:r>
              <w:rPr>
                <w:rFonts w:hint="eastAsia" w:ascii="宋体" w:hAnsi="宋体" w:eastAsia="宋体" w:cs="仿宋_GB2312"/>
                <w:color w:val="auto"/>
                <w:sz w:val="24"/>
                <w:szCs w:val="24"/>
              </w:rPr>
              <w:t>、</w:t>
            </w:r>
            <w:r>
              <w:rPr>
                <w:rFonts w:ascii="宋体" w:hAnsi="宋体" w:eastAsia="宋体" w:cs="仿宋_GB2312"/>
                <w:color w:val="auto"/>
                <w:sz w:val="24"/>
                <w:szCs w:val="24"/>
              </w:rPr>
              <w:t>819</w:t>
            </w:r>
            <w:r>
              <w:rPr>
                <w:rFonts w:hint="eastAsia" w:ascii="宋体" w:hAnsi="宋体" w:eastAsia="宋体" w:cs="仿宋_GB2312"/>
                <w:color w:val="auto"/>
                <w:sz w:val="24"/>
                <w:szCs w:val="24"/>
              </w:rPr>
              <w:t>、821、829</w:t>
            </w:r>
          </w:p>
        </w:tc>
        <w:tc>
          <w:tcPr>
            <w:tcW w:w="3913" w:type="dxa"/>
            <w:noWrap w:val="0"/>
            <w:vAlign w:val="center"/>
          </w:tcPr>
          <w:p>
            <w:pPr>
              <w:adjustRightInd w:val="0"/>
              <w:snapToGrid w:val="0"/>
              <w:spacing w:line="360" w:lineRule="exact"/>
              <w:rPr>
                <w:rFonts w:ascii="宋体" w:hAnsi="宋体" w:eastAsia="宋体" w:cs="仿宋_GB2312"/>
                <w:color w:val="auto"/>
                <w:sz w:val="24"/>
                <w:szCs w:val="24"/>
              </w:rPr>
            </w:pPr>
            <w:r>
              <w:rPr>
                <w:rFonts w:hint="eastAsia" w:ascii="宋体" w:hAnsi="宋体" w:eastAsia="宋体" w:cs="仿宋_GB2312"/>
                <w:color w:val="auto"/>
                <w:sz w:val="24"/>
                <w:szCs w:val="24"/>
              </w:rPr>
              <w:t>主要包括机械设备与汽车租赁、机动车维修与维护、居民服务、旅游区管理、旅行社及相关服务、办公服务、翻译服务及其他未列明商务服务业。</w:t>
            </w:r>
          </w:p>
        </w:tc>
      </w:tr>
    </w:tbl>
    <w:p>
      <w:pPr>
        <w:spacing w:line="570" w:lineRule="exact"/>
        <w:rPr>
          <w:rFonts w:hint="eastAsia" w:ascii="Times New Roman" w:hAnsi="Times New Roman" w:eastAsia="仿宋_GB2312"/>
          <w:color w:val="0070C0"/>
          <w:lang w:eastAsia="zh-CN"/>
        </w:rPr>
      </w:pPr>
      <w:r>
        <w:rPr>
          <w:rFonts w:hint="eastAsia" w:ascii="Times New Roman" w:hAnsi="Times New Roman"/>
          <w:color w:val="0070C0"/>
          <w:lang w:eastAsia="zh-CN"/>
        </w:rPr>
        <w:t>（</w:t>
      </w:r>
      <w:r>
        <w:rPr>
          <w:rFonts w:hint="eastAsia"/>
          <w:color w:val="0070C0"/>
          <w:kern w:val="0"/>
          <w:sz w:val="28"/>
          <w:szCs w:val="28"/>
          <w:lang w:val="en-US" w:eastAsia="zh-CN"/>
        </w:rPr>
        <w:t>修订内容：根据部门意见，增加行业代码</w:t>
      </w:r>
      <w:r>
        <w:rPr>
          <w:rFonts w:hint="eastAsia" w:ascii="仿宋_GB2312" w:hAnsi="仿宋_GB2312" w:eastAsia="仿宋_GB2312" w:cs="仿宋_GB2312"/>
          <w:color w:val="0070C0"/>
          <w:kern w:val="0"/>
          <w:sz w:val="28"/>
          <w:szCs w:val="28"/>
          <w:lang w:val="en-US" w:eastAsia="zh-CN"/>
        </w:rPr>
        <w:t>884-886、904）</w:t>
      </w:r>
    </w:p>
    <w:p>
      <w:pPr>
        <w:rPr>
          <w:color w:val="auto"/>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D4E818"/>
    <w:multiLevelType w:val="singleLevel"/>
    <w:tmpl w:val="98D4E8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61C6A"/>
    <w:rsid w:val="004B02C3"/>
    <w:rsid w:val="05261C6A"/>
    <w:rsid w:val="0DE8613F"/>
    <w:rsid w:val="2F583CC1"/>
    <w:rsid w:val="306F2688"/>
    <w:rsid w:val="30EA42D4"/>
    <w:rsid w:val="438B435C"/>
    <w:rsid w:val="47BD3D12"/>
    <w:rsid w:val="4AA15C9E"/>
    <w:rsid w:val="4FED3B52"/>
    <w:rsid w:val="530C6830"/>
    <w:rsid w:val="678B182A"/>
    <w:rsid w:val="74D612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spacing w:val="16"/>
      <w:kern w:val="2"/>
      <w:sz w:val="32"/>
      <w:szCs w:val="32"/>
      <w:lang w:val="en-US" w:eastAsia="zh-CN" w:bidi="ar-SA"/>
    </w:rPr>
  </w:style>
  <w:style w:type="paragraph" w:styleId="4">
    <w:name w:val="heading 1"/>
    <w:basedOn w:val="1"/>
    <w:next w:val="1"/>
    <w:qFormat/>
    <w:uiPriority w:val="0"/>
    <w:pPr>
      <w:keepNext/>
      <w:keepLines/>
      <w:spacing w:line="560" w:lineRule="atLeast"/>
      <w:ind w:firstLine="720" w:firstLineChars="200"/>
      <w:outlineLvl w:val="0"/>
    </w:pPr>
    <w:rPr>
      <w:rFonts w:ascii="Times New Roman" w:hAnsi="Times New Roman" w:eastAsia="黑体"/>
      <w:kern w:val="44"/>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eastAsia="宋体" w:cs="Times New Roman"/>
    </w:rPr>
  </w:style>
  <w:style w:type="paragraph" w:styleId="3">
    <w:name w:val="toc 4"/>
    <w:basedOn w:val="1"/>
    <w:next w:val="1"/>
    <w:qFormat/>
    <w:uiPriority w:val="0"/>
    <w:pPr>
      <w:wordWrap w:val="0"/>
      <w:ind w:left="850"/>
    </w:pPr>
    <w:rPr>
      <w:rFonts w:ascii="Calibri" w:hAnsi="Calibri" w:cs="黑体"/>
      <w:szCs w:val="2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2023-02-15T08:13:00Z</dcterms:created>
  <dc:creator>刘洋</dc:creator>
  <cp:lastModifiedBy>Administrator</cp:lastModifiedBy>
  <cp:lastPrinted>2023-03-20T11:08:00Z</cp:lastPrinted>
  <dcterms:modified xsi:type="dcterms:W3CDTF">2023-04-06T09:10:30Z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