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440118-2023-01570</w:t>
      </w:r>
    </w:p>
    <w:p>
      <w:pPr>
        <w:jc w:val="center"/>
      </w:pPr>
      <w:r>
        <w:rPr>
          <w:b/>
          <w:sz w:val="24"/>
        </w:rPr>
        <w:t>采购项目编号：</w:t>
      </w:r>
      <w:r>
        <w:rPr>
          <w:b/>
          <w:sz w:val="24"/>
        </w:rPr>
        <w:t>440118-2023-01570</w:t>
      </w:r>
    </w:p>
    <w:p>
      <w:pPr>
        <w:jc w:val="center"/>
      </w:pPr>
      <w:r>
        <w:rPr>
          <w:b/>
          <w:sz w:val="24"/>
        </w:rPr>
        <w:t>项目名称：</w:t>
      </w:r>
      <w:r>
        <w:rPr>
          <w:b/>
          <w:sz w:val="24"/>
        </w:rPr>
        <w:t>柯灯山水厂取水口迁移工程辅助管理服务</w:t>
      </w:r>
    </w:p>
    <w:p>
      <w:pPr>
        <w:jc w:val="center"/>
      </w:pPr>
      <w:r>
        <w:rPr>
          <w:b/>
          <w:sz w:val="24"/>
        </w:rPr>
        <w:t>采购人：</w:t>
      </w:r>
      <w:r>
        <w:rPr>
          <w:b/>
          <w:sz w:val="24"/>
        </w:rPr>
        <w:t>广州市增城区水务建设管理所</w:t>
      </w:r>
    </w:p>
    <w:p>
      <w:pPr>
        <w:jc w:val="center"/>
      </w:pPr>
      <w:r>
        <w:rPr>
          <w:b/>
          <w:sz w:val="24"/>
        </w:rPr>
        <w:t>采购代理机构：</w:t>
      </w:r>
      <w:r>
        <w:rPr>
          <w:b/>
          <w:sz w:val="24"/>
        </w:rPr>
        <w:t>广州粤信工程项目管理有限公司</w:t>
      </w:r>
    </w:p>
    <w:p>
      <w:pPr>
        <w:ind w:firstLine="480"/>
      </w:pPr>
    </w:p>
    <w:p>
      <w:r>
        <w:rPr/>
        <w:t xml:space="preserve"> </w:t>
      </w:r>
    </w:p>
    <w:p/>
    <w:p>
      <w:pPr>
        <w:jc w:val="center"/>
      </w:pPr>
      <w:r>
        <w:rPr>
          <w:b/>
          <w:sz w:val="36"/>
        </w:rPr>
        <w:t>第一章投标邀请</w:t>
      </w:r>
    </w:p>
    <w:p>
      <w:pPr>
        <w:ind w:firstLine="480"/>
      </w:pPr>
      <w:r>
        <w:rPr/>
        <w:t>广州粤信工程项目管理有限公司</w:t>
      </w:r>
      <w:r>
        <w:rPr/>
        <w:t>受</w:t>
      </w:r>
      <w:r>
        <w:rPr/>
        <w:t>广州市增城区水务建设管理所</w:t>
      </w:r>
      <w:r>
        <w:rPr/>
        <w:t>的委托，采用</w:t>
      </w:r>
      <w:r>
        <w:rPr/>
        <w:t>公开招标</w:t>
      </w:r>
      <w:r>
        <w:rPr/>
        <w:t>方式组织采购</w:t>
      </w:r>
      <w:r>
        <w:rPr/>
        <w:t>柯灯山水厂取水口迁移工程辅助管理服务</w:t>
      </w:r>
      <w:r>
        <w:rPr/>
        <w:t>。欢迎符合资格条件的国内供应商参加投标。</w:t>
      </w:r>
    </w:p>
    <w:p>
      <w:r>
        <w:rPr>
          <w:b/>
          <w:sz w:val="28"/>
        </w:rPr>
        <w:t>一.项目概述</w:t>
      </w:r>
    </w:p>
    <w:p>
      <w:r>
        <w:rPr>
          <w:b/>
          <w:sz w:val="24"/>
        </w:rPr>
        <w:t>1.名称与编号</w:t>
      </w:r>
    </w:p>
    <w:p>
      <w:pPr>
        <w:ind w:firstLine="480"/>
      </w:pPr>
      <w:r>
        <w:rPr/>
        <w:t>项目名称：</w:t>
      </w:r>
      <w:r>
        <w:rPr/>
        <w:t>柯灯山水厂取水口迁移工程辅助管理服务</w:t>
      </w:r>
    </w:p>
    <w:p>
      <w:pPr>
        <w:ind w:firstLine="480"/>
      </w:pPr>
      <w:r>
        <w:rPr/>
        <w:t>采购计划编号：</w:t>
      </w:r>
      <w:r>
        <w:rPr/>
        <w:t>440118-2023-01570</w:t>
      </w:r>
    </w:p>
    <w:p>
      <w:pPr>
        <w:ind w:firstLine="480"/>
      </w:pPr>
      <w:r>
        <w:rPr/>
        <w:t>采购项目编号：</w:t>
      </w:r>
      <w:r>
        <w:rPr/>
        <w:t>440118-2023-01570</w:t>
      </w:r>
    </w:p>
    <w:p>
      <w:pPr>
        <w:ind w:firstLine="480"/>
      </w:pPr>
      <w:r>
        <w:rPr/>
        <w:t>采购方式：</w:t>
      </w:r>
      <w:r>
        <w:rPr/>
        <w:t>公开招标</w:t>
      </w:r>
    </w:p>
    <w:p>
      <w:pPr>
        <w:ind w:firstLine="480"/>
      </w:pPr>
      <w:r>
        <w:rPr/>
        <w:t>预算金额：</w:t>
      </w:r>
      <w:r>
        <w:rPr/>
        <w:t>1,426,280.00</w:t>
      </w:r>
      <w:r>
        <w:rPr/>
        <w:t>元</w:t>
      </w:r>
    </w:p>
    <w:p>
      <w:r>
        <w:rPr>
          <w:b/>
          <w:sz w:val="24"/>
        </w:rPr>
        <w:t>2.项目内容及需求情况（采购项目技术规格、参数及要求）</w:t>
      </w:r>
    </w:p>
    <w:p>
      <w:pPr>
        <w:ind w:firstLine="480"/>
      </w:pPr>
    </w:p>
    <w:p/>
    <w:p>
      <w:r>
        <w:rPr/>
        <w:t>采购包1(柯灯山水厂取水口迁移工程辅助管理服务):</w:t>
      </w:r>
    </w:p>
    <w:p>
      <w:r>
        <w:rPr/>
        <w:t>采购包预算金额：1,426,280.00元</w:t>
      </w:r>
    </w:p>
    <w:tbl>
      <w:tblPr>
        <w:tblW w:w="0" w:type="auto"/>
        <w:tblBorders>
          <w:top w:val="single"/>
          <w:left w:val="single"/>
          <w:bottom w:val="single"/>
          <w:right w:val="single"/>
          <w:insideH w:val="single"/>
          <w:insideV w:val="single"/>
        </w:tblBorders>
      </w:tblPr>
      <w:tblGrid>
        <w:gridCol w:w="1187"/>
        <w:gridCol w:w="1424"/>
        <w:gridCol w:w="2136"/>
        <w:gridCol w:w="1187"/>
        <w:gridCol w:w="1187"/>
        <w:gridCol w:w="1187"/>
      </w:tblGrid>
      <w:tr>
        <w:tc>
          <w:tcPr>
            <w:tcW w:type="dxa" w:w="1187"/>
          </w:tcPr>
          <w:p>
            <w:r>
              <w:rPr/>
              <w:t>品目号</w:t>
            </w:r>
          </w:p>
        </w:tc>
        <w:tc>
          <w:tcPr>
            <w:tcW w:type="dxa" w:w="1424"/>
          </w:tcPr>
          <w:p>
            <w:r>
              <w:rPr/>
              <w:t>品目名称</w:t>
            </w:r>
          </w:p>
        </w:tc>
        <w:tc>
          <w:tcPr>
            <w:tcW w:type="dxa" w:w="2136"/>
          </w:tcPr>
          <w:p>
            <w:r>
              <w:rPr/>
              <w:t>采购标的</w:t>
            </w:r>
          </w:p>
        </w:tc>
        <w:tc>
          <w:tcPr>
            <w:tcW w:type="dxa" w:w="1187"/>
          </w:tcPr>
          <w:p>
            <w:r>
              <w:rPr/>
              <w:t>数量（单位）</w:t>
            </w:r>
          </w:p>
        </w:tc>
        <w:tc>
          <w:tcPr>
            <w:tcW w:type="dxa" w:w="1187"/>
          </w:tcPr>
          <w:p>
            <w:r>
              <w:rPr/>
              <w:t>技术规格、参数及要求</w:t>
            </w:r>
          </w:p>
        </w:tc>
        <w:tc>
          <w:tcPr>
            <w:tcW w:type="dxa" w:w="1187"/>
          </w:tcPr>
          <w:p>
            <w:r>
              <w:rPr/>
              <w:t>是否允许进口产品</w:t>
            </w:r>
          </w:p>
        </w:tc>
      </w:tr>
      <w:tr>
        <w:tc>
          <w:tcPr>
            <w:tcW w:type="dxa" w:w="1187"/>
          </w:tcPr>
          <w:p>
            <w:r>
              <w:rPr/>
              <w:t>1-1</w:t>
            </w:r>
          </w:p>
        </w:tc>
        <w:tc>
          <w:tcPr>
            <w:tcW w:type="dxa" w:w="1424"/>
          </w:tcPr>
          <w:p>
            <w:r>
              <w:rPr/>
              <w:t>其他服务</w:t>
            </w:r>
          </w:p>
        </w:tc>
        <w:tc>
          <w:tcPr>
            <w:tcW w:type="dxa" w:w="2136"/>
          </w:tcPr>
          <w:p>
            <w:r>
              <w:rPr/>
              <w:t>柯灯山水厂取水口迁移工程辅助管理服务</w:t>
            </w:r>
          </w:p>
        </w:tc>
        <w:tc>
          <w:tcPr>
            <w:tcW w:type="dxa" w:w="1187"/>
          </w:tcPr>
          <w:p>
            <w:r>
              <w:rPr/>
              <w:t>1.00(项)</w:t>
            </w:r>
          </w:p>
        </w:tc>
        <w:tc>
          <w:tcPr>
            <w:tcW w:type="dxa" w:w="1187"/>
          </w:tcPr>
          <w:p>
            <w:r>
              <w:rPr/>
              <w:t>详见第二章</w:t>
            </w:r>
          </w:p>
        </w:tc>
        <w:tc>
          <w:tcPr>
            <w:tcW w:type="dxa" w:w="1187"/>
          </w:tcPr>
          <w:p>
            <w:r>
              <w:rPr/>
              <w:t>否</w:t>
            </w:r>
          </w:p>
        </w:tc>
      </w:tr>
    </w:tbl>
    <w:p/>
    <w:p>
      <w:r>
        <w:rPr/>
        <w:t>本采购包不接受联合体投标</w:t>
      </w:r>
    </w:p>
    <w:p/>
    <w:p>
      <w:r>
        <w:rPr/>
        <w:t>合同履行期限：两年</w:t>
      </w:r>
    </w:p>
    <w:p/>
    <w:p>
      <w:r>
        <w:rPr>
          <w:b/>
          <w:sz w:val="28"/>
        </w:rPr>
        <w:t>二.投标人的资格要求</w:t>
      </w:r>
    </w:p>
    <w:p>
      <w:r>
        <w:rPr>
          <w:b/>
          <w:sz w:val="24"/>
        </w:rPr>
        <w:t>1.投标人应具备《中华人民共和国政府采购法》第二十二条规定的条件，提供下列材料：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2）有依法缴纳税收和社会保障资金的良好记录：提交《响应承诺函》。</w:t>
      </w:r>
    </w:p>
    <w:p/>
    <w:p>
      <w:r>
        <w:rPr/>
        <w:t>3）具有良好的商业信誉和健全的财务会计制度：提交《响应承诺函》。</w:t>
      </w:r>
    </w:p>
    <w:p/>
    <w:p>
      <w:r>
        <w:rPr/>
        <w:t>4）履行合同所必需的设备和专业技术能力：提交《响应承诺函》。</w:t>
      </w:r>
    </w:p>
    <w:p/>
    <w:p>
      <w:r>
        <w:rPr/>
        <w:t>5）参加采购活动前3年内，在经营活动中没有重大违法记录：提交《响应承诺函》。</w:t>
      </w:r>
    </w:p>
    <w:p/>
    <w:p>
      <w:r>
        <w:rPr>
          <w:b/>
          <w:sz w:val="24"/>
        </w:rPr>
        <w:t>2.落实政府采购政策需满足的资格要求：</w:t>
      </w:r>
    </w:p>
    <w:p>
      <w:pPr>
        <w:ind w:firstLine="480"/>
      </w:pPr>
    </w:p>
    <w:p>
      <w:pPr>
        <w:jc w:val="left"/>
      </w:pPr>
    </w:p>
    <w:p>
      <w:r>
        <w:rPr/>
        <w:t>采购包1（柯灯山水厂取水口迁移工程辅助管理服务）：</w:t>
      </w:r>
      <w:r>
        <w:rPr/>
        <w:t>本采购包不属于专门面向中小企业采购项目。</w:t>
      </w:r>
    </w:p>
    <w:p/>
    <w:p>
      <w:r>
        <w:rPr>
          <w:b/>
          <w:sz w:val="24"/>
        </w:rPr>
        <w:t>3.本项目特定的资格要求：</w:t>
      </w:r>
    </w:p>
    <w:p>
      <w:pPr>
        <w:ind w:firstLine="480"/>
      </w:pPr>
    </w:p>
    <w:p/>
    <w:p>
      <w:r>
        <w:rPr/>
        <w:t>采购包1（柯灯山水厂取水口迁移工程辅助管理服务）：</w:t>
      </w:r>
    </w:p>
    <w:p/>
    <w:p>
      <w:r>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b/>
          <w:sz w:val="28"/>
        </w:rPr>
        <w:t>三.获取招标文件</w:t>
      </w:r>
    </w:p>
    <w:p>
      <w:pPr>
        <w:ind w:firstLine="480"/>
      </w:pPr>
      <w:r>
        <w:rPr/>
        <w:t>时间：详见招标公告及其变更公告（如有）</w:t>
      </w:r>
    </w:p>
    <w:p>
      <w:pPr>
        <w:ind w:firstLine="480"/>
      </w:pPr>
      <w:r>
        <w:rPr/>
        <w:t>地点：详见招标公告及其变更公告（如有）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rPr/>
        <w:t>售价：免费</w:t>
      </w:r>
    </w:p>
    <w:p>
      <w:r>
        <w:rPr>
          <w:b/>
          <w:sz w:val="28"/>
        </w:rPr>
        <w:t>四.提交投标文件截止时间、开标时间和地点：</w:t>
      </w:r>
    </w:p>
    <w:p>
      <w:pPr>
        <w:ind w:firstLine="480"/>
      </w:pPr>
      <w:r>
        <w:rPr/>
        <w:t>提交投标文件截止时间和开标时间：详见招标公告及其变更公告（如有）</w:t>
      </w:r>
    </w:p>
    <w:p>
      <w:pPr>
        <w:ind w:firstLine="480"/>
      </w:pPr>
      <w:r>
        <w:rPr/>
        <w:t>（自招标文件开始发出之日起至投标人提交投标文件截止之日止，不得少于20日）</w:t>
      </w:r>
    </w:p>
    <w:p>
      <w:pPr>
        <w:ind w:firstLine="480"/>
      </w:pPr>
      <w:r>
        <w:rPr/>
        <w:t>地点：详见招标公告及其变更公告（如有）</w:t>
      </w:r>
    </w:p>
    <w:p>
      <w:r>
        <w:rPr>
          <w:b/>
          <w:sz w:val="28"/>
        </w:rPr>
        <w:t>五.公告期限、发布公告的媒介：</w:t>
      </w:r>
    </w:p>
    <w:p>
      <w:pPr>
        <w:ind w:firstLine="480"/>
      </w:pPr>
      <w:r>
        <w:rPr/>
        <w:t>1、公告期限：自本公告发布之日起不得少于5个工作日。</w:t>
      </w:r>
    </w:p>
    <w:p>
      <w:pPr>
        <w:ind w:firstLine="480"/>
      </w:pPr>
      <w:r>
        <w:rPr/>
        <w:t>2、发布公告的媒介：中国政府采购网(www.ccgp.gov.cn)，广东省政府采购网(https://gdgpo.czt.gd.gov.cn/)。</w:t>
      </w:r>
    </w:p>
    <w:p>
      <w:r>
        <w:rPr>
          <w:b/>
          <w:sz w:val="28"/>
        </w:rPr>
        <w:t>六.本项目联系方式：</w:t>
      </w:r>
    </w:p>
    <w:p>
      <w:r>
        <w:rPr>
          <w:b/>
          <w:sz w:val="24"/>
        </w:rPr>
        <w:t>1.采购人信息</w:t>
      </w:r>
    </w:p>
    <w:p>
      <w:pPr>
        <w:ind w:firstLine="480"/>
      </w:pPr>
      <w:r>
        <w:rPr/>
        <w:t>名称：</w:t>
      </w:r>
      <w:r>
        <w:rPr/>
        <w:t>广州市增城区水务建设管理所</w:t>
      </w:r>
    </w:p>
    <w:p>
      <w:pPr>
        <w:ind w:firstLine="480"/>
      </w:pPr>
      <w:r>
        <w:rPr/>
        <w:t>地址：</w:t>
      </w:r>
      <w:r>
        <w:rPr/>
        <w:t>广州市增城区荔城街园圃路4号</w:t>
      </w:r>
    </w:p>
    <w:p>
      <w:pPr>
        <w:ind w:firstLine="480"/>
      </w:pPr>
      <w:r>
        <w:rPr/>
        <w:t>联系方式：</w:t>
      </w:r>
      <w:r>
        <w:rPr/>
        <w:t>020-82639382</w:t>
      </w:r>
    </w:p>
    <w:p>
      <w:r>
        <w:rPr>
          <w:b/>
          <w:sz w:val="24"/>
        </w:rPr>
        <w:t>2.采购代理机构信息</w:t>
      </w:r>
    </w:p>
    <w:p>
      <w:pPr>
        <w:ind w:firstLine="480"/>
      </w:pPr>
      <w:r>
        <w:rPr/>
        <w:t>名称：</w:t>
      </w:r>
      <w:r>
        <w:rPr/>
        <w:t>广州粤信工程项目管理有限公司</w:t>
      </w:r>
    </w:p>
    <w:p>
      <w:pPr>
        <w:ind w:firstLine="480"/>
      </w:pPr>
      <w:r>
        <w:rPr/>
        <w:t>地址：</w:t>
      </w:r>
      <w:r>
        <w:rPr/>
        <w:t>广东省广州市增城区广州市增城区新塘镇国贸中心四街40号二楼201房</w:t>
      </w:r>
    </w:p>
    <w:p>
      <w:pPr>
        <w:ind w:firstLine="480"/>
      </w:pPr>
      <w:r>
        <w:rPr/>
        <w:t>联系方式：</w:t>
      </w:r>
      <w:r>
        <w:rPr/>
        <w:t>18666551627</w:t>
      </w:r>
    </w:p>
    <w:p>
      <w:r>
        <w:rPr>
          <w:b/>
          <w:sz w:val="24"/>
        </w:rPr>
        <w:t>3.项目联系方式</w:t>
      </w:r>
    </w:p>
    <w:p>
      <w:pPr>
        <w:ind w:firstLine="480"/>
      </w:pPr>
      <w:r>
        <w:rPr/>
        <w:t>项目联系人：</w:t>
      </w:r>
      <w:r>
        <w:rPr/>
        <w:t>陈先生</w:t>
      </w:r>
    </w:p>
    <w:p>
      <w:pPr>
        <w:ind w:firstLine="480"/>
      </w:pPr>
      <w:r>
        <w:rPr/>
        <w:t>电话：</w:t>
      </w:r>
      <w:r>
        <w:rPr/>
        <w:t>18666551627</w:t>
      </w:r>
    </w:p>
    <w:p>
      <w:r>
        <w:rPr>
          <w:b/>
          <w:sz w:val="24"/>
        </w:rPr>
        <w:t>4.技术支持联系方式</w:t>
      </w:r>
    </w:p>
    <w:p>
      <w:pPr>
        <w:ind w:firstLine="480"/>
      </w:pPr>
      <w:r>
        <w:rPr/>
        <w:t>云平台联系方式：020-88696588</w:t>
      </w:r>
    </w:p>
    <w:p>
      <w:r>
        <w:rPr/>
        <w:t>采购代理机构：</w:t>
      </w:r>
      <w:r>
        <w:rPr/>
        <w:t>广州粤信工程项目管理有限公司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ind w:firstLine="482"/>
        <w:jc w:val="both"/>
      </w:pPr>
      <w:r>
        <w:rPr>
          <w:b/>
          <w:sz w:val="24"/>
        </w:rPr>
        <w:t>说明：投标人须对同一采购项目为单位的内容进行整体投标，任何只对其中一部分内容进行的投标响应都被视为无效投标。</w:t>
      </w:r>
    </w:p>
    <w:tbl>
      <w:tblPr>
        <w:tblW w:w="0" w:type="auto"/>
        <w:tblBorders>
          <w:top w:val="none" w:color="000000" w:sz="4"/>
          <w:left w:val="none" w:color="000000" w:sz="4"/>
          <w:bottom w:val="none" w:color="000000" w:sz="4"/>
          <w:right w:val="none" w:color="000000" w:sz="4"/>
          <w:insideH w:val="none"/>
          <w:insideV w:val="none"/>
        </w:tblBorders>
      </w:tblPr>
      <w:tblGrid>
        <w:gridCol w:w="3364"/>
        <w:gridCol w:w="1006"/>
        <w:gridCol w:w="1157"/>
        <w:gridCol w:w="2779"/>
      </w:tblGrid>
      <w:tr>
        <w:tc>
          <w:tcPr>
            <w:tcW w:type="dxa" w:w="3364"/>
            <w:tcBorders>
              <w:top w:val="single" w:color="000000" w:sz="4"/>
              <w:left w:val="single" w:color="000000" w:sz="4"/>
              <w:bottom w:val="single" w:color="000000" w:sz="4"/>
              <w:right w:val="single" w:color="000000" w:sz="4"/>
            </w:tcBorders>
            <w:vAlign w:val="top"/>
          </w:tcPr>
          <w:p>
            <w:pPr>
              <w:jc w:val="center"/>
            </w:pPr>
            <w:r>
              <w:rPr>
                <w:b/>
                <w:sz w:val="24"/>
              </w:rPr>
              <w:t>采购内容</w:t>
            </w:r>
          </w:p>
        </w:tc>
        <w:tc>
          <w:tcPr>
            <w:tcW w:type="dxa" w:w="1006"/>
            <w:tcBorders>
              <w:top w:val="single" w:color="000000" w:sz="4"/>
              <w:left w:val="none" w:color="000000" w:sz="4"/>
              <w:bottom w:val="single" w:color="000000" w:sz="4"/>
              <w:right w:val="single" w:color="000000" w:sz="4"/>
            </w:tcBorders>
            <w:vAlign w:val="top"/>
          </w:tcPr>
          <w:p>
            <w:pPr>
              <w:jc w:val="center"/>
            </w:pPr>
            <w:r>
              <w:rPr>
                <w:b/>
                <w:sz w:val="24"/>
              </w:rPr>
              <w:t>数量</w:t>
            </w:r>
          </w:p>
        </w:tc>
        <w:tc>
          <w:tcPr>
            <w:tcW w:type="dxa" w:w="1157"/>
            <w:tcBorders>
              <w:top w:val="single" w:color="000000" w:sz="4"/>
              <w:left w:val="none" w:color="000000" w:sz="4"/>
              <w:bottom w:val="single" w:color="000000" w:sz="4"/>
              <w:right w:val="single" w:color="000000" w:sz="4"/>
            </w:tcBorders>
            <w:vAlign w:val="top"/>
          </w:tcPr>
          <w:p>
            <w:pPr>
              <w:jc w:val="center"/>
            </w:pPr>
            <w:r>
              <w:rPr>
                <w:b/>
                <w:sz w:val="24"/>
              </w:rPr>
              <w:t>服务期限</w:t>
            </w:r>
          </w:p>
        </w:tc>
        <w:tc>
          <w:tcPr>
            <w:tcW w:type="dxa" w:w="2779"/>
            <w:tcBorders>
              <w:top w:val="single" w:color="000000" w:sz="4"/>
              <w:left w:val="none" w:color="000000" w:sz="4"/>
              <w:bottom w:val="single" w:color="000000" w:sz="4"/>
              <w:right w:val="single" w:color="000000" w:sz="4"/>
            </w:tcBorders>
            <w:vAlign w:val="top"/>
          </w:tcPr>
          <w:p>
            <w:pPr>
              <w:jc w:val="center"/>
            </w:pPr>
            <w:r>
              <w:rPr>
                <w:b/>
                <w:sz w:val="24"/>
              </w:rPr>
              <w:t>最高限价</w:t>
            </w:r>
          </w:p>
        </w:tc>
      </w:tr>
      <w:tr>
        <w:tc>
          <w:tcPr>
            <w:tcW w:type="dxa" w:w="3364"/>
            <w:tcBorders>
              <w:top w:val="none" w:color="000000" w:sz="4"/>
              <w:left w:val="single" w:color="000000" w:sz="4"/>
              <w:bottom w:val="single" w:color="000000" w:sz="4"/>
              <w:right w:val="single" w:color="000000" w:sz="4"/>
            </w:tcBorders>
            <w:vAlign w:val="top"/>
          </w:tcPr>
          <w:p>
            <w:pPr>
              <w:jc w:val="center"/>
            </w:pPr>
            <w:r>
              <w:rPr>
                <w:sz w:val="24"/>
              </w:rPr>
              <w:t>柯灯山水厂取水口迁移工程辅助管理服务</w:t>
            </w:r>
          </w:p>
        </w:tc>
        <w:tc>
          <w:tcPr>
            <w:tcW w:type="dxa" w:w="1006"/>
            <w:tcBorders>
              <w:top w:val="none" w:color="000000" w:sz="4"/>
              <w:left w:val="none" w:color="000000" w:sz="4"/>
              <w:bottom w:val="single" w:color="000000" w:sz="4"/>
              <w:right w:val="single" w:color="000000" w:sz="4"/>
            </w:tcBorders>
            <w:vAlign w:val="top"/>
          </w:tcPr>
          <w:p>
            <w:pPr>
              <w:jc w:val="center"/>
            </w:pPr>
            <w:r>
              <w:rPr>
                <w:sz w:val="24"/>
              </w:rPr>
              <w:t>1</w:t>
            </w:r>
            <w:r>
              <w:rPr>
                <w:sz w:val="24"/>
              </w:rPr>
              <w:t>项</w:t>
            </w:r>
          </w:p>
        </w:tc>
        <w:tc>
          <w:tcPr>
            <w:tcW w:type="dxa" w:w="1157"/>
            <w:tcBorders>
              <w:top w:val="none" w:color="000000" w:sz="4"/>
              <w:left w:val="none" w:color="000000" w:sz="4"/>
              <w:bottom w:val="single" w:color="000000" w:sz="4"/>
              <w:right w:val="single" w:color="000000" w:sz="4"/>
            </w:tcBorders>
            <w:vAlign w:val="top"/>
          </w:tcPr>
          <w:p>
            <w:pPr>
              <w:jc w:val="center"/>
            </w:pPr>
            <w:r>
              <w:rPr>
                <w:sz w:val="24"/>
              </w:rPr>
              <w:t>两年</w:t>
            </w:r>
          </w:p>
        </w:tc>
        <w:tc>
          <w:tcPr>
            <w:tcW w:type="dxa" w:w="2779"/>
            <w:tcBorders>
              <w:top w:val="none" w:color="000000" w:sz="4"/>
              <w:left w:val="none" w:color="000000" w:sz="4"/>
              <w:bottom w:val="single" w:color="000000" w:sz="4"/>
              <w:right w:val="single" w:color="000000" w:sz="4"/>
            </w:tcBorders>
            <w:vAlign w:val="top"/>
          </w:tcPr>
          <w:p>
            <w:pPr>
              <w:jc w:val="center"/>
            </w:pPr>
            <w:r>
              <w:rPr>
                <w:sz w:val="24"/>
              </w:rPr>
              <w:t>人民币</w:t>
            </w:r>
            <w:r>
              <w:rPr>
                <w:sz w:val="24"/>
              </w:rPr>
              <w:t>1426280.00</w:t>
            </w:r>
            <w:r>
              <w:rPr>
                <w:sz w:val="24"/>
              </w:rPr>
              <w:t>元</w:t>
            </w:r>
          </w:p>
        </w:tc>
      </w:tr>
    </w:tbl>
    <w:p>
      <w:pPr>
        <w:jc w:val="both"/>
      </w:pPr>
      <w:r>
        <w:rPr>
          <w:b/>
          <w:sz w:val="21"/>
        </w:rPr>
        <w:t xml:space="preserve">  </w:t>
      </w:r>
      <w:r>
        <w:rPr>
          <w:b/>
          <w:sz w:val="28"/>
        </w:rPr>
        <w:t>一、项目概况</w:t>
      </w:r>
    </w:p>
    <w:p>
      <w:pPr>
        <w:ind w:firstLine="480"/>
        <w:jc w:val="both"/>
      </w:pPr>
      <w:r>
        <w:rPr>
          <w:sz w:val="24"/>
        </w:rPr>
        <w:t>采购人拟通过公开招标的方式选出一家有资质、有经济实力、诚信度高、管理严格的服务公司，为采购人提供柯灯山水厂取水口迁移工程辅助管理服务。</w:t>
      </w:r>
    </w:p>
    <w:p>
      <w:pPr>
        <w:ind w:firstLine="480"/>
        <w:jc w:val="both"/>
      </w:pPr>
      <w:r>
        <w:rPr>
          <w:sz w:val="24"/>
        </w:rPr>
        <w:t>采购人地址：广州市增城区，服务期限：两年。</w:t>
      </w:r>
    </w:p>
    <w:p>
      <w:pPr>
        <w:ind w:firstLine="480"/>
        <w:jc w:val="both"/>
      </w:pPr>
      <w:r>
        <w:rPr>
          <w:b/>
          <w:sz w:val="28"/>
        </w:rPr>
        <w:t>二、服务内容</w:t>
      </w:r>
    </w:p>
    <w:p>
      <w:pPr>
        <w:ind w:firstLine="480"/>
        <w:jc w:val="both"/>
      </w:pPr>
      <w:r>
        <w:rPr>
          <w:sz w:val="24"/>
        </w:rPr>
        <w:t>1.</w:t>
      </w:r>
      <w:r>
        <w:rPr>
          <w:sz w:val="24"/>
        </w:rPr>
        <w:t>协助业主对建设项目的工程质量、工程进度、安全生产、文明施工等进行现场管理；</w:t>
      </w:r>
    </w:p>
    <w:p>
      <w:pPr>
        <w:ind w:firstLine="480"/>
        <w:jc w:val="both"/>
      </w:pPr>
      <w:r>
        <w:rPr>
          <w:sz w:val="24"/>
        </w:rPr>
        <w:t>2.</w:t>
      </w:r>
      <w:r>
        <w:rPr>
          <w:sz w:val="24"/>
        </w:rPr>
        <w:t>协助业主督促施工、监理单位做好建设项目的质量管理工作，监督检查监理工程师对重点部位、隐蔽工程的跟踪旁站监理和全过程监理工作及施工单位的质量管理工作，必要时检查施工记录和试验检测资料和数据，确保工程资料真实可靠；</w:t>
      </w:r>
    </w:p>
    <w:p>
      <w:pPr>
        <w:ind w:firstLine="480"/>
        <w:jc w:val="both"/>
      </w:pPr>
      <w:r>
        <w:rPr>
          <w:sz w:val="24"/>
        </w:rPr>
        <w:t>3.</w:t>
      </w:r>
      <w:r>
        <w:rPr>
          <w:sz w:val="24"/>
        </w:rPr>
        <w:t>协助业主督促施工、监理单位做好建设项目的进度管理工作，实施进度控制管理，按照批准的施工组织设计和进度计划，动态控制施工进度，督促检查施工单位月（周）计划的落实，根据现场施工情况和要求督促进度计划的调整和平衡工作；</w:t>
      </w:r>
    </w:p>
    <w:p>
      <w:pPr>
        <w:ind w:firstLine="480"/>
        <w:jc w:val="both"/>
      </w:pPr>
      <w:r>
        <w:rPr>
          <w:sz w:val="24"/>
        </w:rPr>
        <w:t>4.</w:t>
      </w:r>
      <w:r>
        <w:rPr>
          <w:sz w:val="24"/>
        </w:rPr>
        <w:t>协助业主督促施工、监理方建立健全各项安全生产规章制度和管理体系，杜绝安全责任事故的发生；</w:t>
      </w:r>
    </w:p>
    <w:p>
      <w:pPr>
        <w:ind w:firstLine="480"/>
        <w:jc w:val="both"/>
      </w:pPr>
      <w:r>
        <w:rPr>
          <w:sz w:val="24"/>
        </w:rPr>
        <w:t>5.</w:t>
      </w:r>
      <w:r>
        <w:rPr>
          <w:sz w:val="24"/>
        </w:rPr>
        <w:t>协助业主监督检查工程项目的文明施工工作。做到持证、挂牌上岗，督促检查承包人严格按照各项施工规范和操作规程进行施工作业；</w:t>
      </w:r>
    </w:p>
    <w:p>
      <w:pPr>
        <w:ind w:firstLine="480"/>
        <w:jc w:val="both"/>
      </w:pPr>
      <w:r>
        <w:rPr>
          <w:sz w:val="24"/>
        </w:rPr>
        <w:t>6.</w:t>
      </w:r>
      <w:r>
        <w:rPr>
          <w:sz w:val="24"/>
        </w:rPr>
        <w:t>随时对工地现场人员、机械、设备、施工工艺、监理程序等项目资源配置进行动态检查和监督，发现问题随时通报业主，提出建议；</w:t>
      </w:r>
    </w:p>
    <w:p>
      <w:pPr>
        <w:ind w:firstLine="480"/>
        <w:jc w:val="both"/>
      </w:pPr>
      <w:r>
        <w:rPr>
          <w:sz w:val="24"/>
        </w:rPr>
        <w:t>7.</w:t>
      </w:r>
      <w:r>
        <w:rPr>
          <w:sz w:val="24"/>
        </w:rPr>
        <w:t>协调设计单位解决工程施工过程中的一般性技术问题；对施工和监理单位质疑的重大技术问题，提请业主组织专家和设计单位进行会审；</w:t>
      </w:r>
    </w:p>
    <w:p>
      <w:pPr>
        <w:ind w:firstLine="480"/>
        <w:jc w:val="both"/>
      </w:pPr>
      <w:r>
        <w:rPr>
          <w:sz w:val="24"/>
        </w:rPr>
        <w:t>8.</w:t>
      </w:r>
      <w:r>
        <w:rPr>
          <w:sz w:val="24"/>
        </w:rPr>
        <w:t>协助业主对工程进行造价控制及辅助财务管理；</w:t>
      </w:r>
    </w:p>
    <w:p>
      <w:pPr>
        <w:ind w:firstLine="480"/>
        <w:jc w:val="both"/>
      </w:pPr>
      <w:r>
        <w:rPr>
          <w:sz w:val="24"/>
        </w:rPr>
        <w:t>9.</w:t>
      </w:r>
      <w:r>
        <w:rPr>
          <w:sz w:val="24"/>
        </w:rPr>
        <w:t>为驻场人员提供商业意外保险。</w:t>
      </w:r>
    </w:p>
    <w:p>
      <w:pPr>
        <w:ind w:firstLine="480"/>
        <w:jc w:val="both"/>
      </w:pPr>
      <w:r>
        <w:rPr>
          <w:b/>
          <w:sz w:val="28"/>
        </w:rPr>
        <w:t>三、人员要求</w:t>
      </w:r>
    </w:p>
    <w:p>
      <w:pPr>
        <w:ind w:firstLine="480"/>
        <w:jc w:val="both"/>
      </w:pPr>
      <w:r>
        <w:rPr>
          <w:sz w:val="24"/>
        </w:rPr>
        <w:t>本项目共需服务人员</w:t>
      </w:r>
      <w:r>
        <w:rPr>
          <w:sz w:val="24"/>
        </w:rPr>
        <w:t>5</w:t>
      </w:r>
      <w:r>
        <w:rPr>
          <w:sz w:val="24"/>
        </w:rPr>
        <w:t>人，具体工作岗位、需求人数、岗位职责及条件要求如下表：</w:t>
      </w:r>
    </w:p>
    <w:tbl>
      <w:tblPr>
        <w:tblW w:w="0" w:type="auto"/>
        <w:tblBorders>
          <w:top w:val="none" w:color="000000" w:sz="4"/>
          <w:left w:val="none" w:color="000000" w:sz="4"/>
          <w:bottom w:val="none" w:color="000000" w:sz="4"/>
          <w:right w:val="none" w:color="000000" w:sz="4"/>
          <w:insideH w:val="none"/>
          <w:insideV w:val="none"/>
        </w:tblBorders>
      </w:tblPr>
      <w:tblGrid>
        <w:gridCol w:w="580"/>
        <w:gridCol w:w="1429"/>
        <w:gridCol w:w="806"/>
        <w:gridCol w:w="2943"/>
        <w:gridCol w:w="2546"/>
      </w:tblGrid>
      <w:tr>
        <w:tc>
          <w:tcPr>
            <w:tcW w:type="dxa" w:w="580"/>
            <w:tcBorders>
              <w:top w:val="single" w:color="000000" w:sz="8"/>
              <w:left w:val="single" w:color="000000" w:sz="8"/>
              <w:bottom w:val="single" w:color="000000" w:sz="8"/>
              <w:right w:val="single" w:color="000000" w:sz="8"/>
            </w:tcBorders>
          </w:tcPr>
          <w:p>
            <w:pPr>
              <w:jc w:val="center"/>
            </w:pPr>
            <w:r>
              <w:rPr>
                <w:b/>
                <w:sz w:val="24"/>
              </w:rPr>
              <w:t>序号</w:t>
            </w:r>
          </w:p>
        </w:tc>
        <w:tc>
          <w:tcPr>
            <w:tcW w:type="dxa" w:w="1429"/>
            <w:tcBorders>
              <w:top w:val="single" w:color="000000" w:sz="8"/>
              <w:left w:val="none" w:color="000000" w:sz="4"/>
              <w:bottom w:val="single" w:color="000000" w:sz="8"/>
              <w:right w:val="single" w:color="000000" w:sz="8"/>
            </w:tcBorders>
          </w:tcPr>
          <w:p>
            <w:pPr>
              <w:jc w:val="center"/>
            </w:pPr>
            <w:r>
              <w:rPr>
                <w:b/>
                <w:sz w:val="24"/>
              </w:rPr>
              <w:t>工作岗位</w:t>
            </w:r>
          </w:p>
        </w:tc>
        <w:tc>
          <w:tcPr>
            <w:tcW w:type="dxa" w:w="806"/>
            <w:tcBorders>
              <w:top w:val="single" w:color="000000" w:sz="8"/>
              <w:left w:val="none" w:color="000000" w:sz="4"/>
              <w:bottom w:val="single" w:color="000000" w:sz="8"/>
              <w:right w:val="single" w:color="000000" w:sz="8"/>
            </w:tcBorders>
          </w:tcPr>
          <w:p>
            <w:pPr>
              <w:jc w:val="center"/>
            </w:pPr>
            <w:r>
              <w:rPr>
                <w:b/>
                <w:sz w:val="24"/>
              </w:rPr>
              <w:t>需求</w:t>
            </w:r>
          </w:p>
          <w:p>
            <w:pPr>
              <w:jc w:val="center"/>
            </w:pPr>
            <w:r>
              <w:rPr>
                <w:b/>
                <w:sz w:val="24"/>
              </w:rPr>
              <w:t>人数</w:t>
            </w:r>
          </w:p>
        </w:tc>
        <w:tc>
          <w:tcPr>
            <w:tcW w:type="dxa" w:w="2943"/>
            <w:tcBorders>
              <w:top w:val="single" w:color="000000" w:sz="8"/>
              <w:left w:val="none" w:color="000000" w:sz="4"/>
              <w:bottom w:val="single" w:color="000000" w:sz="8"/>
              <w:right w:val="single" w:color="000000" w:sz="8"/>
            </w:tcBorders>
          </w:tcPr>
          <w:p>
            <w:pPr>
              <w:jc w:val="center"/>
            </w:pPr>
            <w:r>
              <w:rPr>
                <w:b/>
                <w:sz w:val="24"/>
              </w:rPr>
              <w:t>学历要求</w:t>
            </w:r>
          </w:p>
        </w:tc>
        <w:tc>
          <w:tcPr>
            <w:tcW w:type="dxa" w:w="2546"/>
            <w:tcBorders>
              <w:top w:val="single" w:color="000000" w:sz="8"/>
              <w:left w:val="none" w:color="000000" w:sz="4"/>
              <w:bottom w:val="single" w:color="000000" w:sz="8"/>
              <w:right w:val="single" w:color="000000" w:sz="8"/>
            </w:tcBorders>
          </w:tcPr>
          <w:p>
            <w:pPr>
              <w:jc w:val="center"/>
            </w:pPr>
            <w:r>
              <w:rPr>
                <w:b/>
                <w:sz w:val="24"/>
              </w:rPr>
              <w:t>条件要求</w:t>
            </w:r>
          </w:p>
        </w:tc>
      </w:tr>
      <w:tr>
        <w:tc>
          <w:tcPr>
            <w:tcW w:type="dxa" w:w="580"/>
            <w:tcBorders>
              <w:top w:val="none" w:color="000000" w:sz="4"/>
              <w:left w:val="single" w:color="000000" w:sz="8"/>
              <w:bottom w:val="single" w:color="000000" w:sz="8"/>
              <w:right w:val="single" w:color="000000" w:sz="8"/>
            </w:tcBorders>
          </w:tcPr>
          <w:p>
            <w:pPr>
              <w:jc w:val="center"/>
            </w:pPr>
            <w:r>
              <w:rPr>
                <w:sz w:val="24"/>
              </w:rPr>
              <w:t>1</w:t>
            </w:r>
          </w:p>
        </w:tc>
        <w:tc>
          <w:tcPr>
            <w:tcW w:type="dxa" w:w="1429"/>
            <w:tcBorders>
              <w:top w:val="none" w:color="000000" w:sz="4"/>
              <w:left w:val="none" w:color="000000" w:sz="4"/>
              <w:bottom w:val="single" w:color="000000" w:sz="8"/>
              <w:right w:val="single" w:color="000000" w:sz="8"/>
            </w:tcBorders>
          </w:tcPr>
          <w:p>
            <w:pPr>
              <w:jc w:val="both"/>
            </w:pPr>
            <w:r>
              <w:rPr>
                <w:sz w:val="24"/>
              </w:rPr>
              <w:t>技术岗位</w:t>
            </w:r>
            <w:r>
              <w:rPr>
                <w:sz w:val="24"/>
              </w:rPr>
              <w:t>1</w:t>
            </w:r>
          </w:p>
        </w:tc>
        <w:tc>
          <w:tcPr>
            <w:tcW w:type="dxa" w:w="806"/>
            <w:tcBorders>
              <w:top w:val="none" w:color="000000" w:sz="4"/>
              <w:left w:val="none" w:color="000000" w:sz="4"/>
              <w:bottom w:val="single" w:color="000000" w:sz="8"/>
              <w:right w:val="single" w:color="000000" w:sz="8"/>
            </w:tcBorders>
          </w:tcPr>
          <w:p>
            <w:pPr>
              <w:jc w:val="center"/>
            </w:pPr>
            <w:r>
              <w:rPr>
                <w:sz w:val="24"/>
              </w:rPr>
              <w:t>2</w:t>
            </w:r>
            <w:r>
              <w:rPr>
                <w:sz w:val="24"/>
              </w:rPr>
              <w:t>人</w:t>
            </w:r>
          </w:p>
        </w:tc>
        <w:tc>
          <w:tcPr>
            <w:tcW w:type="dxa" w:w="2943"/>
            <w:tcBorders>
              <w:top w:val="none" w:color="000000" w:sz="4"/>
              <w:left w:val="none" w:color="000000" w:sz="4"/>
              <w:bottom w:val="single" w:color="000000" w:sz="8"/>
              <w:right w:val="single" w:color="000000" w:sz="8"/>
            </w:tcBorders>
          </w:tcPr>
          <w:p>
            <w:pPr>
              <w:jc w:val="both"/>
            </w:pPr>
            <w:r>
              <w:rPr>
                <w:sz w:val="24"/>
              </w:rPr>
              <w:t>本科且具备初级工程师职称。</w:t>
            </w:r>
          </w:p>
        </w:tc>
        <w:tc>
          <w:tcPr>
            <w:tcW w:type="dxa" w:w="2546"/>
            <w:vMerge w:val="restart"/>
            <w:tcBorders>
              <w:top w:val="none" w:color="000000" w:sz="4"/>
              <w:left w:val="none" w:color="000000" w:sz="4"/>
              <w:bottom w:val="single" w:color="000000" w:sz="8"/>
              <w:right w:val="single" w:color="000000" w:sz="8"/>
            </w:tcBorders>
          </w:tcPr>
          <w:p>
            <w:pPr>
              <w:jc w:val="both"/>
            </w:pPr>
            <w:r>
              <w:rPr>
                <w:sz w:val="24"/>
              </w:rPr>
              <w:t>（一）遵纪守法，品行端正，大局观念强；</w:t>
            </w:r>
          </w:p>
          <w:p>
            <w:pPr>
              <w:jc w:val="both"/>
            </w:pPr>
            <w:r>
              <w:rPr>
                <w:sz w:val="24"/>
              </w:rPr>
              <w:t>（二）爱岗敬业，踏实肯干，服务意识强。</w:t>
            </w:r>
          </w:p>
          <w:p>
            <w:pPr>
              <w:jc w:val="both"/>
            </w:pPr>
            <w:r>
              <w:rPr>
                <w:sz w:val="24"/>
              </w:rPr>
              <w:t>（三）工作积极，服从安排，团队精神强。</w:t>
            </w:r>
          </w:p>
        </w:tc>
      </w:tr>
      <w:tr>
        <w:tc>
          <w:tcPr>
            <w:tcW w:type="dxa" w:w="580"/>
            <w:tcBorders>
              <w:top w:val="none" w:color="000000" w:sz="4"/>
              <w:left w:val="single" w:color="000000" w:sz="8"/>
              <w:bottom w:val="single" w:color="000000" w:sz="8"/>
              <w:right w:val="single" w:color="000000" w:sz="8"/>
            </w:tcBorders>
          </w:tcPr>
          <w:p>
            <w:pPr>
              <w:jc w:val="center"/>
            </w:pPr>
            <w:r>
              <w:rPr>
                <w:sz w:val="24"/>
              </w:rPr>
              <w:t>2</w:t>
            </w:r>
          </w:p>
        </w:tc>
        <w:tc>
          <w:tcPr>
            <w:tcW w:type="dxa" w:w="1429"/>
            <w:tcBorders>
              <w:top w:val="none" w:color="000000" w:sz="4"/>
              <w:left w:val="none" w:color="000000" w:sz="4"/>
              <w:bottom w:val="single" w:color="000000" w:sz="8"/>
              <w:right w:val="single" w:color="000000" w:sz="8"/>
            </w:tcBorders>
          </w:tcPr>
          <w:p>
            <w:pPr>
              <w:jc w:val="both"/>
            </w:pPr>
            <w:r>
              <w:rPr>
                <w:sz w:val="24"/>
              </w:rPr>
              <w:t>技术岗位</w:t>
            </w:r>
            <w:r>
              <w:rPr>
                <w:sz w:val="24"/>
              </w:rPr>
              <w:t>2</w:t>
            </w:r>
          </w:p>
        </w:tc>
        <w:tc>
          <w:tcPr>
            <w:tcW w:type="dxa" w:w="806"/>
            <w:tcBorders>
              <w:top w:val="none" w:color="000000" w:sz="4"/>
              <w:left w:val="none" w:color="000000" w:sz="4"/>
              <w:bottom w:val="single" w:color="000000" w:sz="8"/>
              <w:right w:val="single" w:color="000000" w:sz="8"/>
            </w:tcBorders>
          </w:tcPr>
          <w:p>
            <w:pPr>
              <w:jc w:val="center"/>
            </w:pPr>
            <w:r>
              <w:rPr>
                <w:sz w:val="24"/>
              </w:rPr>
              <w:t>1</w:t>
            </w:r>
            <w:r>
              <w:rPr>
                <w:sz w:val="24"/>
              </w:rPr>
              <w:t>人</w:t>
            </w:r>
          </w:p>
        </w:tc>
        <w:tc>
          <w:tcPr>
            <w:tcW w:type="dxa" w:w="2943"/>
            <w:tcBorders>
              <w:top w:val="none" w:color="000000" w:sz="4"/>
              <w:left w:val="none" w:color="000000" w:sz="4"/>
              <w:bottom w:val="single" w:color="000000" w:sz="8"/>
              <w:right w:val="single" w:color="000000" w:sz="8"/>
            </w:tcBorders>
          </w:tcPr>
          <w:p>
            <w:pPr>
              <w:jc w:val="both"/>
            </w:pPr>
            <w:r>
              <w:rPr>
                <w:sz w:val="24"/>
              </w:rPr>
              <w:t>本科且具备中级工程师职称。</w:t>
            </w:r>
          </w:p>
        </w:tc>
      </w:tr>
      <w:tr>
        <w:tc>
          <w:tcPr>
            <w:tcW w:type="dxa" w:w="580"/>
            <w:tcBorders>
              <w:top w:val="none" w:color="000000" w:sz="4"/>
              <w:left w:val="single" w:color="000000" w:sz="8"/>
              <w:bottom w:val="single" w:color="000000" w:sz="8"/>
              <w:right w:val="single" w:color="000000" w:sz="8"/>
            </w:tcBorders>
          </w:tcPr>
          <w:p>
            <w:pPr>
              <w:jc w:val="center"/>
            </w:pPr>
            <w:r>
              <w:rPr>
                <w:sz w:val="24"/>
              </w:rPr>
              <w:t>3</w:t>
            </w:r>
          </w:p>
        </w:tc>
        <w:tc>
          <w:tcPr>
            <w:tcW w:type="dxa" w:w="1429"/>
            <w:tcBorders>
              <w:top w:val="none" w:color="000000" w:sz="4"/>
              <w:left w:val="none" w:color="000000" w:sz="4"/>
              <w:bottom w:val="single" w:color="000000" w:sz="8"/>
              <w:right w:val="single" w:color="000000" w:sz="8"/>
            </w:tcBorders>
          </w:tcPr>
          <w:p>
            <w:pPr>
              <w:jc w:val="both"/>
            </w:pPr>
            <w:r>
              <w:rPr>
                <w:sz w:val="24"/>
              </w:rPr>
              <w:t>技术岗位</w:t>
            </w:r>
            <w:r>
              <w:rPr>
                <w:sz w:val="24"/>
              </w:rPr>
              <w:t>3</w:t>
            </w:r>
          </w:p>
        </w:tc>
        <w:tc>
          <w:tcPr>
            <w:tcW w:type="dxa" w:w="806"/>
            <w:tcBorders>
              <w:top w:val="none" w:color="000000" w:sz="4"/>
              <w:left w:val="none" w:color="000000" w:sz="4"/>
              <w:bottom w:val="single" w:color="000000" w:sz="8"/>
              <w:right w:val="single" w:color="000000" w:sz="8"/>
            </w:tcBorders>
          </w:tcPr>
          <w:p>
            <w:pPr>
              <w:jc w:val="center"/>
            </w:pPr>
            <w:r>
              <w:rPr>
                <w:sz w:val="24"/>
              </w:rPr>
              <w:t>1</w:t>
            </w:r>
            <w:r>
              <w:rPr>
                <w:sz w:val="24"/>
              </w:rPr>
              <w:t>人</w:t>
            </w:r>
          </w:p>
        </w:tc>
        <w:tc>
          <w:tcPr>
            <w:tcW w:type="dxa" w:w="2943"/>
            <w:tcBorders>
              <w:top w:val="none" w:color="000000" w:sz="4"/>
              <w:left w:val="none" w:color="000000" w:sz="4"/>
              <w:bottom w:val="single" w:color="000000" w:sz="8"/>
              <w:right w:val="single" w:color="000000" w:sz="8"/>
            </w:tcBorders>
          </w:tcPr>
          <w:p>
            <w:pPr>
              <w:jc w:val="both"/>
            </w:pPr>
            <w:r>
              <w:rPr>
                <w:sz w:val="24"/>
              </w:rPr>
              <w:t>大专且具备中级工程师职称。</w:t>
            </w:r>
          </w:p>
        </w:tc>
      </w:tr>
      <w:tr>
        <w:tc>
          <w:tcPr>
            <w:tcW w:type="dxa" w:w="580"/>
            <w:tcBorders>
              <w:top w:val="none" w:color="000000" w:sz="4"/>
              <w:left w:val="single" w:color="000000" w:sz="8"/>
              <w:bottom w:val="single" w:color="000000" w:sz="8"/>
              <w:right w:val="single" w:color="000000" w:sz="8"/>
            </w:tcBorders>
          </w:tcPr>
          <w:p>
            <w:pPr>
              <w:jc w:val="center"/>
            </w:pPr>
            <w:r>
              <w:rPr>
                <w:sz w:val="24"/>
              </w:rPr>
              <w:t>4</w:t>
            </w:r>
          </w:p>
        </w:tc>
        <w:tc>
          <w:tcPr>
            <w:tcW w:type="dxa" w:w="1429"/>
            <w:tcBorders>
              <w:top w:val="none" w:color="000000" w:sz="4"/>
              <w:left w:val="none" w:color="000000" w:sz="4"/>
              <w:bottom w:val="single" w:color="000000" w:sz="8"/>
              <w:right w:val="single" w:color="000000" w:sz="8"/>
            </w:tcBorders>
          </w:tcPr>
          <w:p>
            <w:pPr>
              <w:jc w:val="both"/>
            </w:pPr>
            <w:r>
              <w:rPr>
                <w:sz w:val="24"/>
              </w:rPr>
              <w:t>技术岗位</w:t>
            </w:r>
            <w:r>
              <w:rPr>
                <w:sz w:val="24"/>
              </w:rPr>
              <w:t>4</w:t>
            </w:r>
          </w:p>
        </w:tc>
        <w:tc>
          <w:tcPr>
            <w:tcW w:type="dxa" w:w="806"/>
            <w:tcBorders>
              <w:top w:val="none" w:color="000000" w:sz="4"/>
              <w:left w:val="none" w:color="000000" w:sz="4"/>
              <w:bottom w:val="single" w:color="000000" w:sz="8"/>
              <w:right w:val="single" w:color="000000" w:sz="8"/>
            </w:tcBorders>
          </w:tcPr>
          <w:p>
            <w:pPr>
              <w:jc w:val="center"/>
            </w:pPr>
            <w:r>
              <w:rPr>
                <w:sz w:val="24"/>
              </w:rPr>
              <w:t>1</w:t>
            </w:r>
            <w:r>
              <w:rPr>
                <w:sz w:val="24"/>
              </w:rPr>
              <w:t>人</w:t>
            </w:r>
          </w:p>
        </w:tc>
        <w:tc>
          <w:tcPr>
            <w:tcW w:type="dxa" w:w="2943"/>
            <w:tcBorders>
              <w:top w:val="none" w:color="000000" w:sz="4"/>
              <w:left w:val="none" w:color="000000" w:sz="4"/>
              <w:bottom w:val="single" w:color="000000" w:sz="8"/>
              <w:right w:val="single" w:color="000000" w:sz="8"/>
            </w:tcBorders>
          </w:tcPr>
          <w:p>
            <w:pPr>
              <w:jc w:val="both"/>
            </w:pPr>
            <w:r>
              <w:rPr>
                <w:sz w:val="24"/>
              </w:rPr>
              <w:t>无学历要求和职称要求。</w:t>
            </w:r>
          </w:p>
        </w:tc>
      </w:tr>
      <w:tr>
        <w:tc>
          <w:tcPr>
            <w:tcW w:type="dxa" w:w="2009"/>
            <w:gridSpan w:val="2"/>
            <w:tcBorders>
              <w:top w:val="none" w:color="000000" w:sz="4"/>
              <w:left w:val="single" w:color="000000" w:sz="8"/>
              <w:bottom w:val="single" w:color="000000" w:sz="8"/>
              <w:right w:val="single" w:color="000000" w:sz="8"/>
            </w:tcBorders>
          </w:tcPr>
          <w:p>
            <w:pPr>
              <w:jc w:val="center"/>
            </w:pPr>
            <w:r>
              <w:rPr>
                <w:sz w:val="21"/>
              </w:rPr>
              <w:t>合计</w:t>
            </w:r>
          </w:p>
        </w:tc>
        <w:tc>
          <w:tcPr>
            <w:tcW w:type="dxa" w:w="806"/>
            <w:tcBorders>
              <w:top w:val="none" w:color="000000" w:sz="4"/>
              <w:left w:val="none" w:color="000000" w:sz="4"/>
              <w:bottom w:val="single" w:color="000000" w:sz="8"/>
              <w:right w:val="single" w:color="000000" w:sz="8"/>
            </w:tcBorders>
          </w:tcPr>
          <w:p>
            <w:pPr>
              <w:jc w:val="center"/>
            </w:pPr>
            <w:r>
              <w:rPr>
                <w:sz w:val="21"/>
              </w:rPr>
              <w:t>5</w:t>
            </w:r>
            <w:r>
              <w:rPr>
                <w:sz w:val="21"/>
              </w:rPr>
              <w:t>人</w:t>
            </w:r>
          </w:p>
        </w:tc>
        <w:tc>
          <w:tcPr>
            <w:tcW w:type="dxa" w:w="5489"/>
            <w:gridSpan w:val="2"/>
            <w:tcBorders>
              <w:top w:val="none" w:color="000000" w:sz="4"/>
              <w:left w:val="none" w:color="000000" w:sz="4"/>
              <w:bottom w:val="single" w:color="000000" w:sz="8"/>
              <w:right w:val="single" w:color="000000" w:sz="8"/>
            </w:tcBorders>
          </w:tcPr>
          <w:p>
            <w:pPr>
              <w:jc w:val="left"/>
            </w:pPr>
          </w:p>
        </w:tc>
      </w:tr>
    </w:tbl>
    <w:p>
      <w:pPr>
        <w:ind w:firstLine="480"/>
        <w:jc w:val="both"/>
      </w:pPr>
      <w:r>
        <w:rPr>
          <w:b/>
          <w:sz w:val="28"/>
        </w:rPr>
        <w:t>四、管理要求</w:t>
      </w:r>
    </w:p>
    <w:p>
      <w:pPr>
        <w:ind w:firstLine="480"/>
        <w:jc w:val="both"/>
      </w:pPr>
      <w:r>
        <w:rPr>
          <w:sz w:val="24"/>
        </w:rPr>
        <w:t>1.</w:t>
      </w:r>
      <w:r>
        <w:rPr>
          <w:sz w:val="24"/>
        </w:rPr>
        <w:t>中标人根据劳务人数和服务项目配备专门的劳务管理人员，中标人负责劳务人员的日常事务，协调处理劳务人员与采购人之间的关系，向采购人提供相关方面服务。</w:t>
      </w:r>
    </w:p>
    <w:p>
      <w:pPr>
        <w:ind w:firstLine="480"/>
        <w:jc w:val="both"/>
      </w:pPr>
      <w:r>
        <w:rPr>
          <w:sz w:val="24"/>
        </w:rPr>
        <w:t>2.</w:t>
      </w:r>
      <w:r>
        <w:rPr>
          <w:sz w:val="24"/>
        </w:rPr>
        <w:t>中标人按照有关法律法规规定与劳务人员订立书面劳动合同，为劳务人员在采购人单位注册所在地办理社会保险手续等，并配合采购人要求建立完善的员工考勤、考核、教育培训、奖惩管理机制。</w:t>
      </w:r>
    </w:p>
    <w:p>
      <w:pPr>
        <w:ind w:firstLine="480"/>
        <w:jc w:val="both"/>
      </w:pPr>
      <w:r>
        <w:rPr>
          <w:sz w:val="24"/>
        </w:rPr>
        <w:t>3.</w:t>
      </w:r>
      <w:r>
        <w:rPr>
          <w:sz w:val="24"/>
        </w:rPr>
        <w:t>中标人要及时掌握国家和省有关劳动标准、劳动条件、工资福利、社会保险等方面的最新政策动态并知采购人，积极配合采购人对新政策规定的组织实施。</w:t>
      </w:r>
    </w:p>
    <w:p>
      <w:pPr>
        <w:ind w:firstLine="480"/>
        <w:jc w:val="both"/>
      </w:pPr>
      <w:r>
        <w:rPr>
          <w:sz w:val="24"/>
        </w:rPr>
        <w:t>4.</w:t>
      </w:r>
      <w:r>
        <w:rPr>
          <w:sz w:val="24"/>
        </w:rPr>
        <w:t>劳务人员须严格遵守采购人的规章制度和管理规范规程、忠于职守、文明礼貌、严格遵守劳动纪律、服从和执行采购人做出的工作安排和调度。</w:t>
      </w:r>
    </w:p>
    <w:p>
      <w:pPr>
        <w:ind w:firstLine="480"/>
        <w:jc w:val="both"/>
      </w:pPr>
      <w:r>
        <w:rPr>
          <w:sz w:val="24"/>
        </w:rPr>
        <w:t>5.</w:t>
      </w:r>
      <w:r>
        <w:rPr>
          <w:sz w:val="24"/>
        </w:rPr>
        <w:t>中标人要定期会同采购人共同对劳务人员进行考核，并依据采购人提供的考核、考勤和奖惩资料，及时足额给劳务人员发放工资、绩效奖励等待遇。</w:t>
      </w:r>
    </w:p>
    <w:p>
      <w:pPr>
        <w:ind w:firstLine="480"/>
        <w:jc w:val="both"/>
      </w:pPr>
      <w:r>
        <w:rPr>
          <w:sz w:val="24"/>
        </w:rPr>
        <w:t>6.</w:t>
      </w:r>
      <w:r>
        <w:rPr>
          <w:sz w:val="24"/>
        </w:rPr>
        <w:t>服务期内发生劳资纠纷由中标人负责处理，产生的经济补偿及赔偿包含在投标报价中，由中标人负责。</w:t>
      </w:r>
    </w:p>
    <w:p>
      <w:pPr>
        <w:ind w:firstLine="480"/>
        <w:jc w:val="both"/>
      </w:pPr>
      <w:r>
        <w:rPr>
          <w:sz w:val="24"/>
        </w:rPr>
        <w:t>7.</w:t>
      </w:r>
      <w:r>
        <w:rPr>
          <w:sz w:val="24"/>
        </w:rPr>
        <w:t>劳务人员用工期间发生工伤事故，或重大疾病、非因工死亡等事故风险由中标人承担，中标人应以雇主身份参与调查及处理，并为员工进行工伤鉴定和待遇申报、经济补偿、赔偿等相应手续。</w:t>
      </w:r>
    </w:p>
    <w:p>
      <w:pPr>
        <w:ind w:firstLine="480"/>
        <w:jc w:val="both"/>
      </w:pPr>
      <w:r>
        <w:rPr>
          <w:b/>
          <w:sz w:val="28"/>
        </w:rPr>
        <w:t>五、服务考核</w:t>
      </w:r>
    </w:p>
    <w:p>
      <w:pPr>
        <w:ind w:firstLine="480"/>
        <w:jc w:val="both"/>
      </w:pPr>
      <w:r>
        <w:rPr>
          <w:sz w:val="24"/>
        </w:rPr>
        <w:t>（一）考核标准（采购人可根据实际工作要求进行调整）</w:t>
      </w:r>
    </w:p>
    <w:tbl>
      <w:tblPr>
        <w:tblW w:w="0" w:type="auto"/>
        <w:tblInd w:type="dxa" w:w="255"/>
        <w:tblBorders>
          <w:top w:val="none" w:color="000000" w:sz="4"/>
          <w:left w:val="none" w:color="000000" w:sz="4"/>
          <w:bottom w:val="none" w:color="000000" w:sz="4"/>
          <w:right w:val="none" w:color="000000" w:sz="4"/>
          <w:insideH w:val="none"/>
          <w:insideV w:val="none"/>
        </w:tblBorders>
      </w:tblPr>
      <w:tblGrid>
        <w:gridCol w:w="1709"/>
        <w:gridCol w:w="1709"/>
        <w:gridCol w:w="4888"/>
      </w:tblGrid>
      <w:tr>
        <w:tc>
          <w:tcPr>
            <w:tcW w:type="dxa" w:w="1709"/>
            <w:tcBorders>
              <w:top w:val="single" w:color="000000" w:sz="4"/>
              <w:left w:val="single" w:color="000000" w:sz="4"/>
              <w:bottom w:val="single" w:color="000000" w:sz="4"/>
              <w:right w:val="single" w:color="000000" w:sz="4"/>
            </w:tcBorders>
            <w:vAlign w:val="top"/>
          </w:tcPr>
          <w:p>
            <w:pPr>
              <w:jc w:val="center"/>
            </w:pPr>
            <w:r>
              <w:rPr>
                <w:b/>
                <w:sz w:val="24"/>
              </w:rPr>
              <w:t>考核项目</w:t>
            </w:r>
          </w:p>
          <w:p>
            <w:pPr>
              <w:jc w:val="center"/>
            </w:pPr>
            <w:r>
              <w:rPr>
                <w:b/>
                <w:sz w:val="24"/>
              </w:rPr>
              <w:t>（</w:t>
            </w:r>
            <w:r>
              <w:rPr>
                <w:b/>
                <w:sz w:val="24"/>
              </w:rPr>
              <w:t>100</w:t>
            </w:r>
            <w:r>
              <w:rPr>
                <w:b/>
                <w:sz w:val="24"/>
              </w:rPr>
              <w:t>分）</w:t>
            </w:r>
          </w:p>
        </w:tc>
        <w:tc>
          <w:tcPr>
            <w:tcW w:type="dxa" w:w="1709"/>
            <w:tcBorders>
              <w:top w:val="single" w:color="000000" w:sz="4"/>
              <w:left w:val="none" w:color="000000" w:sz="4"/>
              <w:bottom w:val="single" w:color="000000" w:sz="4"/>
              <w:right w:val="single" w:color="000000" w:sz="4"/>
            </w:tcBorders>
            <w:vAlign w:val="top"/>
          </w:tcPr>
          <w:p>
            <w:pPr>
              <w:jc w:val="center"/>
            </w:pPr>
            <w:r>
              <w:rPr>
                <w:b/>
                <w:sz w:val="24"/>
              </w:rPr>
              <w:t>考核指标</w:t>
            </w:r>
          </w:p>
        </w:tc>
        <w:tc>
          <w:tcPr>
            <w:tcW w:type="dxa" w:w="4888"/>
            <w:tcBorders>
              <w:top w:val="single" w:color="000000" w:sz="4"/>
              <w:left w:val="none" w:color="000000" w:sz="4"/>
              <w:bottom w:val="single" w:color="000000" w:sz="4"/>
              <w:right w:val="single" w:color="000000" w:sz="4"/>
            </w:tcBorders>
            <w:vAlign w:val="top"/>
          </w:tcPr>
          <w:p>
            <w:pPr>
              <w:jc w:val="center"/>
            </w:pPr>
            <w:r>
              <w:rPr>
                <w:b/>
                <w:sz w:val="24"/>
              </w:rPr>
              <w:t>考核说明</w:t>
            </w:r>
          </w:p>
        </w:tc>
      </w:tr>
      <w:tr>
        <w:tc>
          <w:tcPr>
            <w:tcW w:type="dxa" w:w="1709"/>
            <w:vMerge w:val="restart"/>
            <w:tcBorders>
              <w:top w:val="none" w:color="000000" w:sz="4"/>
              <w:left w:val="single" w:color="000000" w:sz="4"/>
              <w:bottom w:val="single" w:color="000000" w:sz="4"/>
              <w:right w:val="single" w:color="000000" w:sz="4"/>
            </w:tcBorders>
            <w:vAlign w:val="top"/>
          </w:tcPr>
          <w:p>
            <w:pPr>
              <w:jc w:val="center"/>
            </w:pPr>
            <w:r>
              <w:rPr>
                <w:sz w:val="24"/>
              </w:rPr>
              <w:t>岗位质量</w:t>
            </w:r>
          </w:p>
          <w:p>
            <w:pPr>
              <w:jc w:val="center"/>
            </w:pPr>
            <w:r>
              <w:rPr>
                <w:sz w:val="24"/>
              </w:rPr>
              <w:t>（</w:t>
            </w:r>
            <w:r>
              <w:rPr>
                <w:sz w:val="24"/>
              </w:rPr>
              <w:t>25</w:t>
            </w:r>
            <w:r>
              <w:rPr>
                <w:sz w:val="24"/>
              </w:rPr>
              <w:t>分）</w:t>
            </w:r>
          </w:p>
        </w:tc>
        <w:tc>
          <w:tcPr>
            <w:tcW w:type="dxa" w:w="1709"/>
            <w:tcBorders>
              <w:top w:val="none" w:color="000000" w:sz="4"/>
              <w:left w:val="none" w:color="000000" w:sz="4"/>
              <w:bottom w:val="single" w:color="000000" w:sz="4"/>
              <w:right w:val="single" w:color="000000" w:sz="4"/>
            </w:tcBorders>
            <w:vAlign w:val="top"/>
          </w:tcPr>
          <w:p>
            <w:pPr>
              <w:jc w:val="center"/>
            </w:pPr>
            <w:r>
              <w:rPr>
                <w:sz w:val="24"/>
              </w:rPr>
              <w:t>人员素质要求</w:t>
            </w:r>
          </w:p>
          <w:p>
            <w:pPr>
              <w:jc w:val="center"/>
            </w:pPr>
            <w:r>
              <w:rPr>
                <w:sz w:val="24"/>
              </w:rPr>
              <w:t>（</w:t>
            </w:r>
            <w:r>
              <w:rPr>
                <w:sz w:val="24"/>
              </w:rPr>
              <w:t>15</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提供服务的人员是否符合采购需求，综合素质是否能够胜任采购方的相关岗位的能力要求。</w:t>
            </w:r>
          </w:p>
        </w:tc>
      </w:tr>
      <w:tr>
        <w:tc>
          <w:tcPr>
            <w:tcW w:type="dxa" w:w="1709"/>
            <w:vMerge/>
            <w:tcBorders>
              <w:top w:val="none" w:color="000000" w:sz="4"/>
              <w:left w:val="single" w:color="000000" w:sz="4"/>
              <w:bottom w:val="single" w:color="000000" w:sz="4"/>
              <w:right w:val="single" w:color="000000" w:sz="4"/>
            </w:tcBorders>
          </w:tcPr>
          <w:p/>
        </w:tc>
        <w:tc>
          <w:tcPr>
            <w:tcW w:type="dxa" w:w="1709"/>
            <w:tcBorders>
              <w:top w:val="none" w:color="000000" w:sz="4"/>
              <w:left w:val="none" w:color="000000" w:sz="4"/>
              <w:bottom w:val="single" w:color="000000" w:sz="4"/>
              <w:right w:val="single" w:color="000000" w:sz="4"/>
            </w:tcBorders>
            <w:vAlign w:val="top"/>
          </w:tcPr>
          <w:p>
            <w:pPr>
              <w:jc w:val="center"/>
            </w:pPr>
            <w:r>
              <w:rPr>
                <w:sz w:val="24"/>
              </w:rPr>
              <w:t>人员稳定性</w:t>
            </w:r>
          </w:p>
          <w:p>
            <w:pPr>
              <w:jc w:val="center"/>
            </w:pPr>
            <w:r>
              <w:rPr>
                <w:sz w:val="24"/>
              </w:rPr>
              <w:t>（</w:t>
            </w:r>
            <w:r>
              <w:rPr>
                <w:sz w:val="24"/>
              </w:rPr>
              <w:t>10</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人员满岗率须每月不低于</w:t>
            </w:r>
            <w:r>
              <w:rPr>
                <w:sz w:val="24"/>
              </w:rPr>
              <w:t>97%</w:t>
            </w:r>
            <w:r>
              <w:rPr>
                <w:sz w:val="24"/>
              </w:rPr>
              <w:t>，每低</w:t>
            </w:r>
            <w:r>
              <w:rPr>
                <w:sz w:val="24"/>
              </w:rPr>
              <w:t>1</w:t>
            </w:r>
            <w:r>
              <w:rPr>
                <w:sz w:val="24"/>
              </w:rPr>
              <w:t>个百分点扣</w:t>
            </w:r>
            <w:r>
              <w:rPr>
                <w:sz w:val="24"/>
              </w:rPr>
              <w:t>2</w:t>
            </w:r>
            <w:r>
              <w:rPr>
                <w:sz w:val="24"/>
              </w:rPr>
              <w:t>分。</w:t>
            </w:r>
          </w:p>
        </w:tc>
      </w:tr>
      <w:tr>
        <w:tc>
          <w:tcPr>
            <w:tcW w:type="dxa" w:w="1709"/>
            <w:vMerge w:val="restart"/>
            <w:tcBorders>
              <w:top w:val="none" w:color="000000" w:sz="4"/>
              <w:left w:val="single" w:color="000000" w:sz="4"/>
              <w:bottom w:val="single" w:color="000000" w:sz="4"/>
              <w:right w:val="single" w:color="000000" w:sz="4"/>
            </w:tcBorders>
            <w:vAlign w:val="top"/>
          </w:tcPr>
          <w:p>
            <w:pPr>
              <w:jc w:val="center"/>
            </w:pPr>
            <w:r>
              <w:rPr>
                <w:sz w:val="24"/>
              </w:rPr>
              <w:t>人员培训</w:t>
            </w:r>
          </w:p>
          <w:p>
            <w:pPr>
              <w:jc w:val="center"/>
            </w:pPr>
            <w:r>
              <w:rPr>
                <w:sz w:val="24"/>
              </w:rPr>
              <w:t>（</w:t>
            </w:r>
            <w:r>
              <w:rPr>
                <w:sz w:val="24"/>
              </w:rPr>
              <w:t>10</w:t>
            </w:r>
            <w:r>
              <w:rPr>
                <w:sz w:val="24"/>
              </w:rPr>
              <w:t>分）</w:t>
            </w:r>
          </w:p>
        </w:tc>
        <w:tc>
          <w:tcPr>
            <w:tcW w:type="dxa" w:w="1709"/>
            <w:vMerge w:val="restart"/>
            <w:tcBorders>
              <w:top w:val="none" w:color="000000" w:sz="4"/>
              <w:left w:val="none" w:color="000000" w:sz="4"/>
              <w:bottom w:val="single" w:color="000000" w:sz="4"/>
              <w:right w:val="single" w:color="000000" w:sz="4"/>
            </w:tcBorders>
            <w:vAlign w:val="top"/>
          </w:tcPr>
          <w:p>
            <w:pPr>
              <w:jc w:val="center"/>
            </w:pPr>
            <w:r>
              <w:rPr>
                <w:sz w:val="24"/>
              </w:rPr>
              <w:t>培训情况</w:t>
            </w:r>
          </w:p>
          <w:p>
            <w:pPr>
              <w:jc w:val="center"/>
            </w:pPr>
            <w:r>
              <w:rPr>
                <w:sz w:val="24"/>
              </w:rPr>
              <w:t>（</w:t>
            </w:r>
            <w:r>
              <w:rPr>
                <w:sz w:val="24"/>
              </w:rPr>
              <w:t>10</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1.</w:t>
            </w:r>
            <w:r>
              <w:rPr>
                <w:sz w:val="24"/>
              </w:rPr>
              <w:t>对新派驻的工作人员是否进行了岗前培训。</w:t>
            </w:r>
          </w:p>
        </w:tc>
      </w:tr>
      <w:tr>
        <w:tc>
          <w:tcPr>
            <w:tcW w:type="dxa" w:w="1709"/>
            <w:vMerge/>
            <w:tcBorders>
              <w:top w:val="none" w:color="000000" w:sz="4"/>
              <w:left w:val="single" w:color="000000" w:sz="4"/>
              <w:bottom w:val="single" w:color="000000" w:sz="4"/>
              <w:right w:val="single" w:color="000000" w:sz="4"/>
            </w:tcBorders>
          </w:tcPr>
          <w:p/>
        </w:tc>
        <w:tc>
          <w:tcPr>
            <w:tcW w:type="dxa" w:w="1709"/>
            <w:vMerge/>
            <w:tcBorders>
              <w:top w:val="none" w:color="000000" w:sz="4"/>
              <w:left w:val="none" w:color="000000" w:sz="4"/>
              <w:bottom w:val="single" w:color="000000" w:sz="4"/>
              <w:right w:val="single" w:color="000000" w:sz="4"/>
            </w:tcBorders>
          </w:tcPr>
          <w:p/>
        </w:tc>
        <w:tc>
          <w:tcPr>
            <w:tcW w:type="dxa" w:w="4888"/>
            <w:tcBorders>
              <w:top w:val="none" w:color="000000" w:sz="4"/>
              <w:left w:val="none" w:color="000000" w:sz="4"/>
              <w:bottom w:val="single" w:color="000000" w:sz="4"/>
              <w:right w:val="single" w:color="000000" w:sz="4"/>
            </w:tcBorders>
            <w:vAlign w:val="top"/>
          </w:tcPr>
          <w:p>
            <w:pPr>
              <w:jc w:val="both"/>
            </w:pPr>
            <w:r>
              <w:rPr>
                <w:sz w:val="24"/>
              </w:rPr>
              <w:t>2.</w:t>
            </w:r>
            <w:r>
              <w:rPr>
                <w:sz w:val="24"/>
              </w:rPr>
              <w:t>是否定期组织工作人员进行业务知识、服务标准化等方面培训。</w:t>
            </w:r>
          </w:p>
        </w:tc>
      </w:tr>
      <w:tr>
        <w:tc>
          <w:tcPr>
            <w:tcW w:type="dxa" w:w="1709"/>
            <w:vMerge w:val="restart"/>
            <w:tcBorders>
              <w:top w:val="none" w:color="000000" w:sz="4"/>
              <w:left w:val="single" w:color="000000" w:sz="4"/>
              <w:bottom w:val="single" w:color="000000" w:sz="4"/>
              <w:right w:val="single" w:color="000000" w:sz="4"/>
            </w:tcBorders>
            <w:vAlign w:val="top"/>
          </w:tcPr>
          <w:p>
            <w:pPr>
              <w:jc w:val="center"/>
            </w:pPr>
            <w:r>
              <w:rPr>
                <w:sz w:val="24"/>
              </w:rPr>
              <w:t>服务质量</w:t>
            </w:r>
          </w:p>
          <w:p>
            <w:pPr>
              <w:jc w:val="center"/>
            </w:pPr>
            <w:r>
              <w:rPr>
                <w:sz w:val="24"/>
              </w:rPr>
              <w:t>（</w:t>
            </w:r>
            <w:r>
              <w:rPr>
                <w:sz w:val="24"/>
              </w:rPr>
              <w:t>50</w:t>
            </w:r>
            <w:r>
              <w:rPr>
                <w:sz w:val="24"/>
              </w:rPr>
              <w:t>分）</w:t>
            </w:r>
          </w:p>
        </w:tc>
        <w:tc>
          <w:tcPr>
            <w:tcW w:type="dxa" w:w="1709"/>
            <w:tcBorders>
              <w:top w:val="none" w:color="000000" w:sz="4"/>
              <w:left w:val="none" w:color="000000" w:sz="4"/>
              <w:bottom w:val="single" w:color="000000" w:sz="4"/>
              <w:right w:val="single" w:color="000000" w:sz="4"/>
            </w:tcBorders>
            <w:vAlign w:val="top"/>
          </w:tcPr>
          <w:p>
            <w:pPr>
              <w:jc w:val="center"/>
            </w:pPr>
            <w:r>
              <w:rPr>
                <w:sz w:val="24"/>
              </w:rPr>
              <w:t>综合服务质量</w:t>
            </w:r>
          </w:p>
          <w:p>
            <w:pPr>
              <w:jc w:val="center"/>
            </w:pPr>
            <w:r>
              <w:rPr>
                <w:sz w:val="24"/>
              </w:rPr>
              <w:t>（</w:t>
            </w:r>
            <w:r>
              <w:rPr>
                <w:sz w:val="24"/>
              </w:rPr>
              <w:t>30</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是否能按业主要求做好服务内容要求工作。</w:t>
            </w:r>
          </w:p>
        </w:tc>
      </w:tr>
      <w:tr>
        <w:tc>
          <w:tcPr>
            <w:tcW w:type="dxa" w:w="1709"/>
            <w:vMerge/>
            <w:tcBorders>
              <w:top w:val="none" w:color="000000" w:sz="4"/>
              <w:left w:val="single" w:color="000000" w:sz="4"/>
              <w:bottom w:val="single" w:color="000000" w:sz="4"/>
              <w:right w:val="single" w:color="000000" w:sz="4"/>
            </w:tcBorders>
          </w:tcPr>
          <w:p/>
        </w:tc>
        <w:tc>
          <w:tcPr>
            <w:tcW w:type="dxa" w:w="1709"/>
            <w:vMerge w:val="restart"/>
            <w:tcBorders>
              <w:top w:val="none" w:color="000000" w:sz="4"/>
              <w:left w:val="none" w:color="000000" w:sz="4"/>
              <w:bottom w:val="single" w:color="000000" w:sz="4"/>
              <w:right w:val="single" w:color="000000" w:sz="4"/>
            </w:tcBorders>
            <w:vAlign w:val="top"/>
          </w:tcPr>
          <w:p>
            <w:pPr>
              <w:jc w:val="center"/>
            </w:pPr>
            <w:r>
              <w:rPr>
                <w:sz w:val="24"/>
              </w:rPr>
              <w:t>服务满意情况</w:t>
            </w:r>
          </w:p>
          <w:p>
            <w:pPr>
              <w:jc w:val="center"/>
            </w:pPr>
            <w:r>
              <w:rPr>
                <w:sz w:val="24"/>
              </w:rPr>
              <w:t>（</w:t>
            </w:r>
            <w:r>
              <w:rPr>
                <w:sz w:val="24"/>
              </w:rPr>
              <w:t>20</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1.</w:t>
            </w:r>
            <w:r>
              <w:rPr>
                <w:sz w:val="24"/>
              </w:rPr>
              <w:t>服务人员在工作中存在因工作失误、服务态度差等不良行为遭服务对象投诉、媒体爆光的，视情节严重程度酌情扣分。</w:t>
            </w:r>
          </w:p>
        </w:tc>
      </w:tr>
      <w:tr>
        <w:tc>
          <w:tcPr>
            <w:tcW w:type="dxa" w:w="1709"/>
            <w:vMerge/>
            <w:tcBorders>
              <w:top w:val="none" w:color="000000" w:sz="4"/>
              <w:left w:val="single" w:color="000000" w:sz="4"/>
              <w:bottom w:val="single" w:color="000000" w:sz="4"/>
              <w:right w:val="single" w:color="000000" w:sz="4"/>
            </w:tcBorders>
          </w:tcPr>
          <w:p/>
        </w:tc>
        <w:tc>
          <w:tcPr>
            <w:tcW w:type="dxa" w:w="1709"/>
            <w:vMerge/>
            <w:tcBorders>
              <w:top w:val="none" w:color="000000" w:sz="4"/>
              <w:left w:val="none" w:color="000000" w:sz="4"/>
              <w:bottom w:val="single" w:color="000000" w:sz="4"/>
              <w:right w:val="single" w:color="000000" w:sz="4"/>
            </w:tcBorders>
          </w:tcPr>
          <w:p/>
        </w:tc>
        <w:tc>
          <w:tcPr>
            <w:tcW w:type="dxa" w:w="4888"/>
            <w:tcBorders>
              <w:top w:val="none" w:color="000000" w:sz="4"/>
              <w:left w:val="none" w:color="000000" w:sz="4"/>
              <w:bottom w:val="single" w:color="000000" w:sz="4"/>
              <w:right w:val="single" w:color="000000" w:sz="4"/>
            </w:tcBorders>
            <w:vAlign w:val="top"/>
          </w:tcPr>
          <w:p>
            <w:pPr>
              <w:jc w:val="both"/>
            </w:pPr>
            <w:r>
              <w:rPr>
                <w:sz w:val="24"/>
              </w:rPr>
              <w:t>2.</w:t>
            </w:r>
            <w:r>
              <w:rPr>
                <w:sz w:val="24"/>
              </w:rPr>
              <w:t>服务人员存在不服从甲方的合理工作安排的行为，视情节严重程度酌情扣分。</w:t>
            </w:r>
          </w:p>
        </w:tc>
      </w:tr>
      <w:tr>
        <w:tc>
          <w:tcPr>
            <w:tcW w:type="dxa" w:w="1709"/>
            <w:tcBorders>
              <w:top w:val="none" w:color="000000" w:sz="4"/>
              <w:left w:val="single" w:color="000000" w:sz="4"/>
              <w:bottom w:val="single" w:color="000000" w:sz="4"/>
              <w:right w:val="single" w:color="000000" w:sz="4"/>
            </w:tcBorders>
            <w:vAlign w:val="top"/>
          </w:tcPr>
          <w:p>
            <w:pPr>
              <w:jc w:val="center"/>
            </w:pPr>
            <w:r>
              <w:rPr>
                <w:sz w:val="24"/>
              </w:rPr>
              <w:t>其他</w:t>
            </w:r>
          </w:p>
          <w:p>
            <w:pPr>
              <w:jc w:val="center"/>
            </w:pPr>
            <w:r>
              <w:rPr>
                <w:sz w:val="24"/>
              </w:rPr>
              <w:t>（</w:t>
            </w:r>
            <w:r>
              <w:rPr>
                <w:sz w:val="24"/>
              </w:rPr>
              <w:t>15</w:t>
            </w:r>
            <w:r>
              <w:rPr>
                <w:sz w:val="24"/>
              </w:rPr>
              <w:t>分）</w:t>
            </w:r>
          </w:p>
        </w:tc>
        <w:tc>
          <w:tcPr>
            <w:tcW w:type="dxa" w:w="1709"/>
            <w:tcBorders>
              <w:top w:val="none" w:color="000000" w:sz="4"/>
              <w:left w:val="none" w:color="000000" w:sz="4"/>
              <w:bottom w:val="single" w:color="000000" w:sz="4"/>
              <w:right w:val="single" w:color="000000" w:sz="4"/>
            </w:tcBorders>
            <w:vAlign w:val="top"/>
          </w:tcPr>
          <w:p>
            <w:pPr>
              <w:jc w:val="center"/>
            </w:pPr>
            <w:r>
              <w:rPr>
                <w:sz w:val="24"/>
              </w:rPr>
              <w:t>其他管理需求</w:t>
            </w:r>
          </w:p>
          <w:p>
            <w:pPr>
              <w:jc w:val="center"/>
            </w:pPr>
            <w:r>
              <w:rPr>
                <w:sz w:val="24"/>
              </w:rPr>
              <w:t>响应情况</w:t>
            </w:r>
          </w:p>
          <w:p>
            <w:pPr>
              <w:jc w:val="center"/>
            </w:pPr>
            <w:r>
              <w:rPr>
                <w:sz w:val="24"/>
              </w:rPr>
              <w:t>（</w:t>
            </w:r>
            <w:r>
              <w:rPr>
                <w:sz w:val="24"/>
              </w:rPr>
              <w:t>15</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采购人根据日常工作需求，对中标人提出新的要求，根据中标人的配合情况进行评分。</w:t>
            </w:r>
          </w:p>
        </w:tc>
      </w:tr>
      <w:tr>
        <w:tc>
          <w:tcPr>
            <w:tcW w:type="dxa" w:w="1709"/>
            <w:vMerge w:val="restart"/>
            <w:tcBorders>
              <w:top w:val="none" w:color="000000" w:sz="4"/>
              <w:left w:val="single" w:color="000000" w:sz="4"/>
              <w:bottom w:val="single" w:color="000000" w:sz="4"/>
              <w:right w:val="single" w:color="000000" w:sz="4"/>
            </w:tcBorders>
            <w:vAlign w:val="top"/>
          </w:tcPr>
          <w:p>
            <w:pPr>
              <w:jc w:val="center"/>
            </w:pPr>
            <w:r>
              <w:rPr>
                <w:sz w:val="24"/>
              </w:rPr>
              <w:t>加分项</w:t>
            </w:r>
          </w:p>
          <w:p>
            <w:pPr>
              <w:jc w:val="center"/>
            </w:pPr>
            <w:r>
              <w:rPr>
                <w:sz w:val="24"/>
              </w:rPr>
              <w:t>（</w:t>
            </w:r>
            <w:r>
              <w:rPr>
                <w:sz w:val="24"/>
              </w:rPr>
              <w:t>10</w:t>
            </w:r>
            <w:r>
              <w:rPr>
                <w:sz w:val="24"/>
              </w:rPr>
              <w:t>分）</w:t>
            </w:r>
          </w:p>
        </w:tc>
        <w:tc>
          <w:tcPr>
            <w:tcW w:type="dxa" w:w="1709"/>
            <w:tcBorders>
              <w:top w:val="none" w:color="000000" w:sz="4"/>
              <w:left w:val="none" w:color="000000" w:sz="4"/>
              <w:bottom w:val="single" w:color="000000" w:sz="4"/>
              <w:right w:val="single" w:color="000000" w:sz="4"/>
            </w:tcBorders>
            <w:vAlign w:val="top"/>
          </w:tcPr>
          <w:p>
            <w:pPr>
              <w:jc w:val="center"/>
            </w:pPr>
            <w:r>
              <w:rPr>
                <w:sz w:val="24"/>
              </w:rPr>
              <w:t>表扬情况</w:t>
            </w:r>
          </w:p>
          <w:p>
            <w:pPr>
              <w:jc w:val="center"/>
            </w:pPr>
            <w:r>
              <w:rPr>
                <w:sz w:val="24"/>
              </w:rPr>
              <w:t>（</w:t>
            </w:r>
            <w:r>
              <w:rPr>
                <w:sz w:val="24"/>
              </w:rPr>
              <w:t>5</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服务工作人员因服务质量好，获得服务对象的锦旗、表扬信、评价卡等好评的，视当月的表扬情况给予加分。</w:t>
            </w:r>
          </w:p>
        </w:tc>
      </w:tr>
      <w:tr>
        <w:tc>
          <w:tcPr>
            <w:tcW w:type="dxa" w:w="1709"/>
            <w:vMerge/>
            <w:tcBorders>
              <w:top w:val="none" w:color="000000" w:sz="4"/>
              <w:left w:val="single" w:color="000000" w:sz="4"/>
              <w:bottom w:val="single" w:color="000000" w:sz="4"/>
              <w:right w:val="single" w:color="000000" w:sz="4"/>
            </w:tcBorders>
          </w:tcPr>
          <w:p/>
        </w:tc>
        <w:tc>
          <w:tcPr>
            <w:tcW w:type="dxa" w:w="1709"/>
            <w:tcBorders>
              <w:top w:val="none" w:color="000000" w:sz="4"/>
              <w:left w:val="none" w:color="000000" w:sz="4"/>
              <w:bottom w:val="single" w:color="000000" w:sz="4"/>
              <w:right w:val="single" w:color="000000" w:sz="4"/>
            </w:tcBorders>
            <w:vAlign w:val="top"/>
          </w:tcPr>
          <w:p>
            <w:pPr>
              <w:jc w:val="center"/>
            </w:pPr>
            <w:r>
              <w:rPr>
                <w:sz w:val="24"/>
              </w:rPr>
              <w:t>提出建议情况</w:t>
            </w:r>
          </w:p>
          <w:p>
            <w:pPr>
              <w:jc w:val="center"/>
            </w:pPr>
            <w:r>
              <w:rPr>
                <w:sz w:val="24"/>
              </w:rPr>
              <w:t>（</w:t>
            </w:r>
            <w:r>
              <w:rPr>
                <w:sz w:val="24"/>
              </w:rPr>
              <w:t>5</w:t>
            </w:r>
            <w:r>
              <w:rPr>
                <w:sz w:val="24"/>
              </w:rPr>
              <w:t>分）</w:t>
            </w:r>
          </w:p>
        </w:tc>
        <w:tc>
          <w:tcPr>
            <w:tcW w:type="dxa" w:w="4888"/>
            <w:tcBorders>
              <w:top w:val="none" w:color="000000" w:sz="4"/>
              <w:left w:val="none" w:color="000000" w:sz="4"/>
              <w:bottom w:val="single" w:color="000000" w:sz="4"/>
              <w:right w:val="single" w:color="000000" w:sz="4"/>
            </w:tcBorders>
            <w:vAlign w:val="top"/>
          </w:tcPr>
          <w:p>
            <w:pPr>
              <w:jc w:val="both"/>
            </w:pPr>
            <w:r>
              <w:rPr>
                <w:sz w:val="24"/>
              </w:rPr>
              <w:t>中标方结合实际，提出切实可行的创新服务举措，大幅提高工作效率和群众满意度的，或者得到上级或社会权威机构认可的，当月给予加分。</w:t>
            </w:r>
          </w:p>
        </w:tc>
      </w:tr>
    </w:tbl>
    <w:p>
      <w:pPr>
        <w:ind w:firstLine="480"/>
        <w:jc w:val="both"/>
      </w:pPr>
      <w:r>
        <w:rPr>
          <w:sz w:val="24"/>
        </w:rPr>
        <w:t>（二）绩效考核</w:t>
      </w:r>
    </w:p>
    <w:p>
      <w:pPr>
        <w:ind w:firstLine="420"/>
        <w:jc w:val="both"/>
      </w:pPr>
      <w:r>
        <w:rPr>
          <w:sz w:val="24"/>
        </w:rPr>
        <w:t>采购人每季度对中标人提供的服务质量按百分制进行考核评分。</w:t>
      </w:r>
    </w:p>
    <w:p>
      <w:pPr>
        <w:ind w:firstLine="420"/>
        <w:jc w:val="both"/>
      </w:pPr>
      <w:r>
        <w:rPr>
          <w:sz w:val="24"/>
        </w:rPr>
        <w:t>1.</w:t>
      </w:r>
      <w:r>
        <w:rPr>
          <w:sz w:val="24"/>
        </w:rPr>
        <w:t>当季高于</w:t>
      </w:r>
      <w:r>
        <w:rPr>
          <w:sz w:val="24"/>
        </w:rPr>
        <w:t>90</w:t>
      </w:r>
      <w:r>
        <w:rPr>
          <w:sz w:val="24"/>
        </w:rPr>
        <w:t>分（含）的，一次性支付本季度服务费。</w:t>
      </w:r>
    </w:p>
    <w:p>
      <w:pPr>
        <w:ind w:firstLine="420"/>
        <w:jc w:val="both"/>
      </w:pPr>
      <w:r>
        <w:rPr>
          <w:sz w:val="24"/>
        </w:rPr>
        <w:t>2.</w:t>
      </w:r>
      <w:r>
        <w:rPr>
          <w:sz w:val="24"/>
        </w:rPr>
        <w:t>当季度考核评分高于</w:t>
      </w:r>
      <w:r>
        <w:rPr>
          <w:sz w:val="24"/>
        </w:rPr>
        <w:t>80</w:t>
      </w:r>
      <w:r>
        <w:rPr>
          <w:sz w:val="24"/>
        </w:rPr>
        <w:t>分（含）低于</w:t>
      </w:r>
      <w:r>
        <w:rPr>
          <w:sz w:val="24"/>
        </w:rPr>
        <w:t>90</w:t>
      </w:r>
      <w:r>
        <w:rPr>
          <w:sz w:val="24"/>
        </w:rPr>
        <w:t>分的，扣除本季度服务费的</w:t>
      </w:r>
      <w:r>
        <w:rPr>
          <w:sz w:val="24"/>
        </w:rPr>
        <w:t>5%</w:t>
      </w:r>
      <w:r>
        <w:rPr>
          <w:sz w:val="24"/>
        </w:rPr>
        <w:t>违约金。</w:t>
      </w:r>
    </w:p>
    <w:p>
      <w:pPr>
        <w:ind w:firstLine="420"/>
        <w:jc w:val="both"/>
      </w:pPr>
      <w:r>
        <w:rPr>
          <w:sz w:val="24"/>
        </w:rPr>
        <w:t>3.</w:t>
      </w:r>
      <w:r>
        <w:rPr>
          <w:sz w:val="24"/>
        </w:rPr>
        <w:t>当季度考核评分低于</w:t>
      </w:r>
      <w:r>
        <w:rPr>
          <w:sz w:val="24"/>
        </w:rPr>
        <w:t>80</w:t>
      </w:r>
      <w:r>
        <w:rPr>
          <w:sz w:val="24"/>
        </w:rPr>
        <w:t>分（不含）以下的，扣除本季度服务费的</w:t>
      </w:r>
      <w:r>
        <w:rPr>
          <w:sz w:val="24"/>
        </w:rPr>
        <w:t>10%</w:t>
      </w:r>
      <w:r>
        <w:rPr>
          <w:sz w:val="24"/>
        </w:rPr>
        <w:t>的违约金；连续</w:t>
      </w:r>
      <w:r>
        <w:rPr>
          <w:sz w:val="24"/>
        </w:rPr>
        <w:t>2</w:t>
      </w:r>
      <w:r>
        <w:rPr>
          <w:sz w:val="24"/>
        </w:rPr>
        <w:t>次或累计</w:t>
      </w:r>
      <w:r>
        <w:rPr>
          <w:sz w:val="24"/>
        </w:rPr>
        <w:t>3</w:t>
      </w:r>
      <w:r>
        <w:rPr>
          <w:sz w:val="24"/>
        </w:rPr>
        <w:t>次低于</w:t>
      </w:r>
      <w:r>
        <w:rPr>
          <w:sz w:val="24"/>
        </w:rPr>
        <w:t>80</w:t>
      </w:r>
      <w:r>
        <w:rPr>
          <w:sz w:val="24"/>
        </w:rPr>
        <w:t>分（不含）的，采购人有权终止或解除服务合同，取消供应商的服务资格。</w:t>
      </w:r>
    </w:p>
    <w:p>
      <w:pPr>
        <w:ind w:firstLine="420"/>
        <w:jc w:val="both"/>
      </w:pPr>
      <w:r>
        <w:rPr>
          <w:b/>
          <w:sz w:val="28"/>
        </w:rPr>
        <w:t>六、保密工作要求</w:t>
      </w:r>
    </w:p>
    <w:p>
      <w:pPr>
        <w:ind w:firstLine="420"/>
        <w:jc w:val="both"/>
      </w:pPr>
      <w:r>
        <w:rPr>
          <w:sz w:val="24"/>
        </w:rPr>
        <w:t>双方应对其通过工作及其他渠道接触、得知或者取得的有关对方的文件及资料（包括商业秘密、计划、运营活动、财务信息、技术信息、经营信息、相关数据等）严格保密，未经对方事先书面同意，不得向任何第三方泄露或进行不当使用，双方须在职责范围内要求中标人工作人员履行上述保密义务，否则，须依法承担法律责任并赔偿守约方的全部直接或间接损失。本条约定的保密义务不受合同期限限制，但基于政府信息公开规定及便民服务要求必须公开的情形除外。法律、法规、相关行业规定、政府文件，对保密期限另有规定的按照相应规定执行。</w:t>
      </w:r>
    </w:p>
    <w:p>
      <w:pPr>
        <w:ind w:firstLine="420"/>
        <w:jc w:val="both"/>
      </w:pPr>
      <w:r>
        <w:rPr>
          <w:b/>
          <w:sz w:val="28"/>
        </w:rPr>
        <w:t>七、付款方式</w:t>
      </w:r>
    </w:p>
    <w:p>
      <w:pPr>
        <w:ind w:firstLine="480"/>
        <w:jc w:val="both"/>
      </w:pPr>
      <w:r>
        <w:rPr>
          <w:sz w:val="24"/>
        </w:rPr>
        <w:t>（一）采购人按以下方式付款：</w:t>
      </w:r>
    </w:p>
    <w:p>
      <w:pPr>
        <w:ind w:firstLine="480"/>
        <w:jc w:val="both"/>
      </w:pPr>
      <w:r>
        <w:rPr>
          <w:sz w:val="24"/>
        </w:rPr>
        <w:t>1.</w:t>
      </w:r>
      <w:r>
        <w:rPr>
          <w:sz w:val="24"/>
        </w:rPr>
        <w:t>合同签订后，原则上五个工作日内支付第一年合同服务费的</w:t>
      </w:r>
      <w:r>
        <w:rPr>
          <w:sz w:val="24"/>
        </w:rPr>
        <w:t>30%</w:t>
      </w:r>
      <w:r>
        <w:rPr>
          <w:sz w:val="24"/>
        </w:rPr>
        <w:t>作为预付款。</w:t>
      </w:r>
    </w:p>
    <w:p>
      <w:pPr>
        <w:ind w:firstLine="480"/>
        <w:jc w:val="both"/>
      </w:pPr>
      <w:r>
        <w:rPr>
          <w:sz w:val="24"/>
        </w:rPr>
        <w:t>2.</w:t>
      </w:r>
      <w:r>
        <w:rPr>
          <w:sz w:val="24"/>
        </w:rPr>
        <w:t>剩余金额按季度（每</w:t>
      </w:r>
      <w:r>
        <w:rPr>
          <w:sz w:val="24"/>
        </w:rPr>
        <w:t>3</w:t>
      </w:r>
      <w:r>
        <w:rPr>
          <w:sz w:val="24"/>
        </w:rPr>
        <w:t>个月）进行支付，每季度第</w:t>
      </w:r>
      <w:r>
        <w:rPr>
          <w:sz w:val="24"/>
        </w:rPr>
        <w:t>1</w:t>
      </w:r>
      <w:r>
        <w:rPr>
          <w:sz w:val="24"/>
        </w:rPr>
        <w:t>个月结合上季度考核情况支付上季度的服务费，即每季度服务费</w:t>
      </w:r>
      <w:r>
        <w:rPr>
          <w:sz w:val="24"/>
        </w:rPr>
        <w:t>=</w:t>
      </w:r>
      <w:r>
        <w:rPr>
          <w:sz w:val="24"/>
        </w:rPr>
        <w:t>（中标价</w:t>
      </w:r>
      <w:r>
        <w:rPr>
          <w:sz w:val="24"/>
        </w:rPr>
        <w:t>-</w:t>
      </w:r>
      <w:r>
        <w:rPr>
          <w:sz w:val="24"/>
        </w:rPr>
        <w:t>预付款）</w:t>
      </w:r>
      <w:r>
        <w:rPr>
          <w:sz w:val="24"/>
        </w:rPr>
        <w:t>÷12×3-</w:t>
      </w:r>
      <w:r>
        <w:rPr>
          <w:sz w:val="24"/>
        </w:rPr>
        <w:t>季考核减款项。</w:t>
      </w:r>
    </w:p>
    <w:p>
      <w:pPr>
        <w:ind w:firstLine="480"/>
        <w:jc w:val="both"/>
      </w:pPr>
      <w:r>
        <w:rPr>
          <w:sz w:val="24"/>
        </w:rPr>
        <w:t>（二）中标人凭以下有效文件与采购人结算：</w:t>
      </w:r>
    </w:p>
    <w:p>
      <w:pPr>
        <w:ind w:firstLine="480"/>
        <w:jc w:val="both"/>
      </w:pPr>
      <w:r>
        <w:rPr>
          <w:sz w:val="24"/>
        </w:rPr>
        <w:t>1.</w:t>
      </w:r>
      <w:r>
        <w:rPr>
          <w:sz w:val="24"/>
        </w:rPr>
        <w:t>合同。</w:t>
      </w:r>
    </w:p>
    <w:p>
      <w:pPr>
        <w:ind w:firstLine="480"/>
        <w:jc w:val="both"/>
      </w:pPr>
      <w:r>
        <w:rPr>
          <w:sz w:val="24"/>
        </w:rPr>
        <w:t>2.</w:t>
      </w:r>
      <w:r>
        <w:rPr>
          <w:sz w:val="24"/>
        </w:rPr>
        <w:t>中标人开具的正式发票。</w:t>
      </w:r>
    </w:p>
    <w:p>
      <w:pPr>
        <w:ind w:firstLine="480"/>
        <w:jc w:val="both"/>
      </w:pPr>
      <w:r>
        <w:rPr>
          <w:sz w:val="24"/>
        </w:rPr>
        <w:t>3.</w:t>
      </w:r>
      <w:r>
        <w:rPr>
          <w:sz w:val="24"/>
        </w:rPr>
        <w:t>中标通知书。</w:t>
      </w:r>
    </w:p>
    <w:p>
      <w:pPr>
        <w:ind w:firstLine="480"/>
        <w:jc w:val="both"/>
      </w:pPr>
      <w:r>
        <w:rPr>
          <w:sz w:val="24"/>
        </w:rPr>
        <w:t>4.</w:t>
      </w:r>
      <w:r>
        <w:rPr>
          <w:sz w:val="24"/>
        </w:rPr>
        <w:t>采购人要求的其它支付证明文件。</w:t>
      </w:r>
    </w:p>
    <w:p>
      <w:pPr>
        <w:ind w:firstLine="480"/>
        <w:jc w:val="both"/>
      </w:pPr>
      <w:r>
        <w:rPr>
          <w:sz w:val="24"/>
        </w:rPr>
        <w:t>（三）因采购人使用的是财政资金，采购人在前款规定的付款时间为向政府采购支付部门提出办理财政支付申请手续的时间（不含政府财政支付部门审核的时间），在规定时间内提出支付申请手续后即视为采购人已经按期支付。中标人不能因此主张采购人违反合同约定，不能因此主张解除合同。若因财政拨款或采购人内部审批流程等单方原因导致付款延迟的，采购人不需承担违约付款责任。</w:t>
      </w:r>
    </w:p>
    <w:p>
      <w:pPr>
        <w:ind w:firstLine="480"/>
        <w:jc w:val="both"/>
      </w:pPr>
      <w:r>
        <w:rPr>
          <w:b/>
          <w:sz w:val="28"/>
        </w:rPr>
        <w:t>八、其他服务要求</w:t>
      </w:r>
    </w:p>
    <w:p>
      <w:pPr>
        <w:ind w:firstLine="480"/>
        <w:jc w:val="both"/>
      </w:pPr>
      <w:r>
        <w:rPr>
          <w:sz w:val="24"/>
        </w:rPr>
        <w:t>★</w:t>
      </w:r>
      <w:r>
        <w:rPr>
          <w:sz w:val="24"/>
        </w:rPr>
        <w:t>（一）为了提高本项目的服务质量，确保项目的资金用到实处，投标人须承诺投入到本项目的人力资源、标准化建设等费用不少于本项目总费用的</w:t>
      </w:r>
      <w:r>
        <w:rPr>
          <w:sz w:val="24"/>
        </w:rPr>
        <w:t>90%</w:t>
      </w:r>
      <w:r>
        <w:rPr>
          <w:sz w:val="24"/>
        </w:rPr>
        <w:t>。</w:t>
      </w:r>
    </w:p>
    <w:p>
      <w:pPr>
        <w:ind w:firstLine="480"/>
        <w:jc w:val="both"/>
      </w:pPr>
      <w:r>
        <w:rPr>
          <w:sz w:val="24"/>
        </w:rPr>
        <w:t>（二）中标人不得将采购人委托的综合服务工作的整体责任及利益转让给他人或其他单位。</w:t>
      </w:r>
    </w:p>
    <w:p>
      <w:pPr>
        <w:ind w:firstLine="480"/>
        <w:jc w:val="both"/>
      </w:pPr>
      <w:r>
        <w:rPr>
          <w:sz w:val="24"/>
        </w:rPr>
        <w:t>（三）中标人必须遵守采购人的各项规定制度。</w:t>
      </w:r>
    </w:p>
    <w:p>
      <w:pPr>
        <w:ind w:firstLine="480"/>
        <w:jc w:val="both"/>
      </w:pPr>
      <w:r>
        <w:rPr>
          <w:sz w:val="24"/>
        </w:rPr>
        <w:t>（四）中标人应依照国家、省、市的规定及采购人的要求提供相应的服务。</w:t>
      </w:r>
    </w:p>
    <w:p>
      <w:pPr>
        <w:ind w:firstLine="480"/>
        <w:jc w:val="both"/>
      </w:pPr>
      <w:r>
        <w:rPr>
          <w:sz w:val="24"/>
        </w:rPr>
        <w:t>（五）项目服务期间，中标人派驻服务人员发生工伤事故的，由中标人通过国家社保机构及保险公司，按照国家、省、市有关规定处理，社会保险赔偿金额不足以承担法律法规规定的经济责任时，超过社会保险赔偿的部分由中标人承担；劳务人员患病或非因公（工）发生的伤亡事故，其医疗待遇、病假工资等相关福利待遇由中标人按照国家、省、市及采购人有关规定执行。</w:t>
      </w:r>
    </w:p>
    <w:p>
      <w:pPr>
        <w:ind w:firstLine="480"/>
        <w:jc w:val="both"/>
      </w:pPr>
      <w:r>
        <w:rPr>
          <w:sz w:val="24"/>
        </w:rPr>
        <w:t>（六）中标方应提供其安排在本项目中的服务人员的基本劳动保障。如因此产生的劳动纠纷由中标方全权负责，与采购人无关。如因中标方引起的劳资纠纷问题，影响正常工作的，采购人有权另行聘请人员确保正常工作，所产生的费用由中标人承担。</w:t>
      </w:r>
    </w:p>
    <w:p>
      <w:pPr>
        <w:ind w:firstLine="480"/>
        <w:jc w:val="both"/>
      </w:pPr>
      <w:r>
        <w:rPr>
          <w:sz w:val="24"/>
        </w:rPr>
        <w:t>（七）如遇工作人员请、休假连续超过一周的，中标方需提前补充相应数量能替代工作的人员。</w:t>
      </w:r>
    </w:p>
    <w:p>
      <w:pPr>
        <w:ind w:firstLine="480"/>
        <w:jc w:val="both"/>
      </w:pPr>
      <w:r>
        <w:rPr>
          <w:sz w:val="24"/>
        </w:rPr>
        <w:t>（八）合同期满或因中标人原因，采购人提前解除合同的，中标人必须按采购人的要求按时撤离，并做好服务事项交接和相关资料的移交工作。</w:t>
      </w:r>
    </w:p>
    <w:p>
      <w:pPr>
        <w:ind w:firstLine="480"/>
        <w:jc w:val="both"/>
      </w:pPr>
      <w:r>
        <w:rPr>
          <w:sz w:val="24"/>
        </w:rPr>
        <w:t>（九）本项目合同生效后</w:t>
      </w:r>
      <w:r>
        <w:rPr>
          <w:sz w:val="24"/>
        </w:rPr>
        <w:t>15</w:t>
      </w:r>
      <w:r>
        <w:rPr>
          <w:sz w:val="24"/>
        </w:rPr>
        <w:t>日内，中标人应按采购人需求配齐人员，否则视为中标人主动违约，采购人有权终止合同。</w:t>
      </w:r>
    </w:p>
    <w:p>
      <w:r>
        <w:rPr>
          <w:sz w:val="24"/>
        </w:rPr>
        <w:t>（十）项目未尽事宜将在采购合同中另行约定，中标人需无条件同意采购人基于为顺利完成本项目所提出的各项合理要求。</w:t>
      </w:r>
    </w:p>
    <w:p/>
    <w:p>
      <w:pPr>
        <w:ind w:firstLine="480"/>
      </w:pPr>
    </w:p>
    <w:p/>
    <w:p>
      <w:r>
        <w:rPr/>
        <w:t>采购包1（柯灯山水厂取水口迁移工程辅助管理服务）</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两年</w:t>
            </w:r>
          </w:p>
        </w:tc>
      </w:tr>
      <w:tr>
        <w:tc>
          <w:tcPr>
            <w:tcW w:type="dxa" w:w="4153"/>
          </w:tcPr>
          <w:p>
            <w:r>
              <w:rPr/>
              <w:t>标的提供的地点</w:t>
            </w:r>
          </w:p>
        </w:tc>
        <w:tc>
          <w:tcPr>
            <w:tcW w:type="dxa" w:w="4153"/>
          </w:tcPr>
          <w:p/>
          <w:p>
            <w:r>
              <w:rPr/>
              <w:t>广州市增城区</w:t>
            </w:r>
          </w:p>
        </w:tc>
      </w:tr>
      <w:tr>
        <w:tc>
          <w:tcPr>
            <w:tcW w:type="dxa" w:w="4153"/>
          </w:tcPr>
          <w:p>
            <w:r>
              <w:rPr/>
              <w:t>付款方式</w:t>
            </w:r>
          </w:p>
        </w:tc>
        <w:tc>
          <w:tcPr>
            <w:tcW w:type="dxa" w:w="4153"/>
          </w:tcPr>
          <w:p/>
          <w:p/>
          <w:p>
            <w:r>
              <w:rPr/>
              <w:t>1期：支付比例100%,（一）采购人按以下方式付款： 1.合同签订后，原则上五个工作日内支付第一年合同服务费的30%作为预付款。 2.剩余金额按季度（每3个月）进行支付，每季度第1个月结合上季度考核情况支付上季度的服务费，即每季度服务费=（中标价-预付款）÷12×3-季考核减款项。 （二）中标人凭以下有效文件与采购人结算： 1.合同。 2.中标人开具的正式发票。  3.中标通知书。  4.采购人要求的其它支付证明文件。  （三）因采购人使用的是财政资金，采购人在前款规定的付款时间为向政府采购支付部门提出办理财政支付申请手续的时间（不含政府财政支付部门审核的时间），在规定时间内提出支付申请手续后即视为采购人已经按期支付。中标人不能因此主张采购人违反合同约定，不能因此主张解除合同。若因财政拨款或采购人内部审批流程等单方原因导致付款延迟的，采购人不需承担违约付款责任。</w:t>
            </w:r>
          </w:p>
        </w:tc>
      </w:tr>
      <w:tr>
        <w:tc>
          <w:tcPr>
            <w:tcW w:type="dxa" w:w="4153"/>
          </w:tcPr>
          <w:p>
            <w:r>
              <w:rPr/>
              <w:t>验收要求</w:t>
            </w:r>
          </w:p>
        </w:tc>
        <w:tc>
          <w:tcPr>
            <w:tcW w:type="dxa" w:w="4153"/>
          </w:tcPr>
          <w:p/>
          <w:p/>
          <w:p/>
          <w:p>
            <w:r>
              <w:rPr/>
              <w:t>1期：1期：（一）考核标准（采购人可根据实际工作要求进行调整） 考核项目 （100分）</w:t>
              <w:tab/>
              <w:t>考核指标</w:t>
              <w:tab/>
              <w:t>考核说明 岗位质量 （25分）</w:t>
              <w:tab/>
              <w:t>人员素质要求 （15分）</w:t>
              <w:tab/>
              <w:t>提供服务的人员是否符合采购需求，综合素质是否能够胜任采购方的相关岗位的能力要求。</w:t>
              <w:tab/>
              <w:t xml:space="preserve"> 人员稳定性 （10分）</w:t>
              <w:tab/>
              <w:t>人员满岗率须每月不低于97%，每低1个百分点扣2分。 人员培训  （10分）</w:t>
              <w:tab/>
              <w:t>培训情况 （10分）</w:t>
              <w:tab/>
              <w:t>1.对新派驻的工作人员是否进行了岗前培训。</w:t>
              <w:tab/>
              <w:tab/>
              <w:t xml:space="preserve"> 2.是否定期组织工作人员进行业务知识、服务标准化等方面培训。 服务质量 （50分）</w:t>
              <w:tab/>
              <w:t>综合服务质量 （30分）</w:t>
              <w:tab/>
              <w:t>是否能按业主要求做好服务内容要求工作。</w:t>
              <w:tab/>
              <w:t xml:space="preserve"> 服务满意情况 （20分）</w:t>
              <w:tab/>
              <w:t>1.服务人员在工作中存在因工作失误、服务态度差等不良行为遭服务对象投诉、媒体爆光的，视情节严重程度酌情扣分。</w:t>
              <w:tab/>
              <w:tab/>
              <w:t xml:space="preserve"> 2.服务人员存在不服从甲方的合理工作安排的行为，视情节严重程度酌情扣分。 其他 （15分）</w:t>
              <w:tab/>
              <w:t>其他管理需求 响应情况 （15分）</w:t>
              <w:tab/>
              <w:t>采购人根据日常工作需求，对中标人提出新的要求，根据中标人的配合情况进行评分。 加分项 （10分）</w:t>
              <w:tab/>
              <w:t>表扬情况 （5分）</w:t>
              <w:tab/>
              <w:t>服务工作人员因服务质量好，获得服务对象的锦旗、表扬信、评价卡等好评的，视当月的表扬情况给予加分。</w:t>
              <w:tab/>
              <w:t xml:space="preserve"> 提出建议情况 （5分）</w:t>
              <w:tab/>
              <w:t>中标方结合实际，提出切实可行的创新服务举措，大幅提高工作效率和群众满意度的，或者得到上级或社会权威机构认可的，当月给予加分。 （二）绩效考核 采购人每季度对中标人提供的服务质量按百分制进行考核评分。 1.当季高于90分（含）的，一次性支付本季度服务费。 2.当季度考核评分高于80分（含）低于90分的，扣除本季度服务费的5%违约金。 3.当季度考核评分低于80分（不含）以下的，扣除本季度服务费的10%的违约金；连续2次或累计3次低于80分（不含）的，采购人有权终止或解除服务合同，取消供应商的服务资格。</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其他服务</w:t>
            </w:r>
          </w:p>
        </w:tc>
        <w:tc>
          <w:tcPr>
            <w:tcW w:type="dxa" w:w="933"/>
          </w:tcPr>
          <w:p>
            <w:pPr>
              <w:jc w:val="left"/>
            </w:pPr>
            <w:r>
              <w:rPr/>
              <w:t>柯灯山水厂取水口迁移工程辅助管理服务</w:t>
            </w:r>
          </w:p>
        </w:tc>
        <w:tc>
          <w:tcPr>
            <w:tcW w:type="dxa" w:w="933"/>
          </w:tcPr>
          <w:p>
            <w:pPr>
              <w:jc w:val="left"/>
            </w:pPr>
            <w:r>
              <w:rPr/>
              <w:t>项</w:t>
            </w:r>
          </w:p>
        </w:tc>
        <w:tc>
          <w:tcPr>
            <w:tcW w:type="dxa" w:w="933"/>
          </w:tcPr>
          <w:p>
            <w:pPr>
              <w:jc w:val="right"/>
            </w:pPr>
            <w:r>
              <w:rPr/>
              <w:t>1.00</w:t>
            </w:r>
          </w:p>
        </w:tc>
        <w:tc>
          <w:tcPr>
            <w:tcW w:type="dxa" w:w="933"/>
          </w:tcPr>
          <w:p>
            <w:pPr>
              <w:jc w:val="right"/>
            </w:pPr>
            <w:r>
              <w:rPr/>
              <w:t>1,426,280.00</w:t>
            </w:r>
          </w:p>
        </w:tc>
        <w:tc>
          <w:tcPr>
            <w:tcW w:type="dxa" w:w="933"/>
          </w:tcPr>
          <w:p>
            <w:pPr>
              <w:jc w:val="right"/>
            </w:pPr>
            <w:r>
              <w:rPr/>
              <w:t>1,426,280.00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柯灯山水厂取水口迁移工程辅助管理服务</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r>
              <w:rPr/>
              <w:t>★</w:t>
            </w:r>
          </w:p>
        </w:tc>
        <w:tc>
          <w:tcPr>
            <w:tcW w:type="dxa" w:w="415"/>
          </w:tcPr>
          <w:p>
            <w:r>
              <w:rPr/>
              <w:t>1</w:t>
            </w:r>
          </w:p>
        </w:tc>
        <w:tc>
          <w:tcPr>
            <w:tcW w:type="dxa" w:w="5814"/>
          </w:tcPr>
          <w:p>
            <w:r>
              <w:rPr>
                <w:color w:val="000000"/>
                <w:sz w:val="24"/>
              </w:rPr>
              <w:t>为了提高本项目的服务质量，确保项目的资金用到实处，投标人须承诺投入到本项目的人力资源、标准化建设等费用不少于本项目总费用的</w:t>
            </w:r>
            <w:r>
              <w:rPr>
                <w:color w:val="000000"/>
                <w:sz w:val="24"/>
              </w:rPr>
              <w:t>90%</w:t>
            </w:r>
            <w:r>
              <w:rPr>
                <w:color w:val="000000"/>
                <w:sz w:val="24"/>
              </w:rPr>
              <w:t>。</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投标人须知</w:t>
      </w:r>
    </w:p>
    <w:p>
      <w:pPr>
        <w:ind w:firstLine="480"/>
      </w:pPr>
      <w:r>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rP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rPr/>
        <w:t>1.采购代理机构：本项目是指广州粤信工程项目管理有限公司，负责整个采购活动的组织，依法负责编制和发布招标文件，对招标文件拥有最终的解释权，不以任何身份出任评标委员会成员。</w:t>
      </w:r>
    </w:p>
    <w:p>
      <w:pPr>
        <w:ind w:firstLine="480"/>
      </w:pPr>
      <w:r>
        <w:rPr/>
        <w:t>2.采购人：本项目是指</w:t>
      </w:r>
      <w:r>
        <w:rPr/>
        <w:t>广州市增城区水务建设管理所</w:t>
      </w:r>
      <w:r>
        <w:rPr/>
        <w:t>，是采购活动当事人之一，负责项目的整体规划、技术方案可行性设计论证与实施，作为合同采购方（用户）的主体承担质疑回复、履行合同、验收与评价等义务。</w:t>
      </w:r>
    </w:p>
    <w:p>
      <w:pPr>
        <w:ind w:firstLine="480"/>
      </w:pPr>
      <w:r>
        <w:rPr/>
        <w:t>3.投标人：是指在云平台项目采购系统完成本项目投标登记并提交电子投标文件的供应商。</w:t>
      </w:r>
    </w:p>
    <w:p>
      <w:pPr>
        <w:ind w:firstLine="480"/>
      </w:pPr>
      <w:r>
        <w:rPr/>
        <w:t>4.“评标委员会”是指根据《中华人民共和国政府采购法》等法律法规规定，由采购人代表和有关专家组成以确定中标供应商或者推荐中标候选人的临时组织。</w:t>
      </w:r>
    </w:p>
    <w:p>
      <w:pPr>
        <w:ind w:firstLine="480"/>
      </w:pPr>
      <w:r>
        <w:rPr/>
        <w:t>5.“中标供应商”是指经评标委员会评审确定的对招标文件做出实质性响应，经采购人按照规定在评标委员会推荐的中标候选人中确定的或评标委员会受采购人委托直接确认的投标人。</w:t>
      </w:r>
    </w:p>
    <w:p>
      <w:pPr>
        <w:ind w:firstLine="480"/>
      </w:pPr>
      <w:r>
        <w:rPr/>
        <w:t>6.招标文件：是指包括招标公告和招标文件及其补充、变更和澄清等一系列文件。</w:t>
      </w:r>
    </w:p>
    <w:p>
      <w:pPr>
        <w:ind w:firstLine="480"/>
      </w:pPr>
      <w:r>
        <w:rPr/>
        <w:t>7.电子投标文件：是指使用云平台提供的投标客户端制作加密并上传到系统的投标文件。（投标客户端制作投标文件时，生成的后缀为“.标书”的文件）</w:t>
      </w:r>
    </w:p>
    <w:p>
      <w:pPr>
        <w:ind w:firstLine="480"/>
      </w:pPr>
      <w:r>
        <w:rPr/>
        <w:t>8.备用电子投标文件：是指使用云平台提供的投标客户端制作电子投标文件时，同时生成的同一版本的备用投标文件。（投标客户端制作投标文件时，生成的后缀为“.备用标书”的文件）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本表与招标文件对应章节的内容若不一致，以本表为准。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r>
              <w:rPr/>
              <w:t>1</w:t>
            </w:r>
          </w:p>
        </w:tc>
        <w:tc>
          <w:tcPr>
            <w:tcW w:type="dxa" w:w="2252"/>
          </w:tcPr>
          <w:p>
            <w:r>
              <w:rPr/>
              <w:t>采购包情况</w:t>
            </w:r>
          </w:p>
        </w:tc>
        <w:tc>
          <w:tcPr>
            <w:tcW w:type="dxa" w:w="5004"/>
          </w:tcPr>
          <w:p>
            <w:r>
              <w:rPr/>
              <w:t>本项目共</w:t>
            </w:r>
            <w:r>
              <w:rPr/>
              <w:t>1</w:t>
            </w:r>
            <w:r>
              <w:rPr/>
              <w:t>个采购包</w:t>
            </w:r>
          </w:p>
        </w:tc>
      </w:tr>
      <w:tr>
        <w:tc>
          <w:tcPr>
            <w:tcW w:type="dxa" w:w="1051"/>
          </w:tcPr>
          <w:p>
            <w:r>
              <w:rPr/>
              <w:t>2</w:t>
            </w:r>
          </w:p>
        </w:tc>
        <w:tc>
          <w:tcPr>
            <w:tcW w:type="dxa" w:w="2252"/>
          </w:tcPr>
          <w:p>
            <w:r>
              <w:rPr/>
              <w:t>开标方式</w:t>
            </w:r>
          </w:p>
        </w:tc>
        <w:tc>
          <w:tcPr>
            <w:tcW w:type="dxa" w:w="5004"/>
          </w:tcPr>
          <w:p>
            <w:r>
              <w:rPr/>
              <w:t>现场电子开标</w:t>
            </w:r>
          </w:p>
        </w:tc>
      </w:tr>
      <w:tr>
        <w:tc>
          <w:tcPr>
            <w:tcW w:type="dxa" w:w="1051"/>
          </w:tcPr>
          <w:p>
            <w:r>
              <w:rPr/>
              <w:t>3</w:t>
            </w:r>
          </w:p>
        </w:tc>
        <w:tc>
          <w:tcPr>
            <w:tcW w:type="dxa" w:w="2252"/>
          </w:tcPr>
          <w:p>
            <w:r>
              <w:rPr/>
              <w:t>评标方式</w:t>
            </w:r>
          </w:p>
        </w:tc>
        <w:tc>
          <w:tcPr>
            <w:tcW w:type="dxa" w:w="5004"/>
          </w:tcPr>
          <w:p>
            <w:r>
              <w:rPr/>
              <w:t>现场电子评标</w:t>
            </w:r>
            <w:r>
              <w:rPr/>
              <w:t>（供应商应当审慎标记各评审项的应答部分，标记内容清晰且完整，否则将自行承担不利后果）</w:t>
            </w:r>
          </w:p>
        </w:tc>
      </w:tr>
      <w:tr>
        <w:tc>
          <w:tcPr>
            <w:tcW w:type="dxa" w:w="1051"/>
          </w:tcPr>
          <w:p>
            <w:r>
              <w:rPr/>
              <w:t>4</w:t>
            </w:r>
          </w:p>
        </w:tc>
        <w:tc>
          <w:tcPr>
            <w:tcW w:type="dxa" w:w="2252"/>
          </w:tcPr>
          <w:p>
            <w:r>
              <w:rPr/>
              <w:t>评标办法</w:t>
            </w:r>
          </w:p>
        </w:tc>
        <w:tc>
          <w:tcPr>
            <w:tcW w:type="dxa" w:w="5004"/>
          </w:tcPr>
          <w:p>
            <w:r>
              <w:rPr/>
              <w:t>采购包1：综合评分法</w:t>
            </w:r>
          </w:p>
        </w:tc>
      </w:tr>
      <w:tr>
        <w:tc>
          <w:tcPr>
            <w:tcW w:type="dxa" w:w="1051"/>
          </w:tcPr>
          <w:p>
            <w:r>
              <w:rPr/>
              <w:t>5</w:t>
            </w:r>
          </w:p>
        </w:tc>
        <w:tc>
          <w:tcPr>
            <w:tcW w:type="dxa" w:w="2252"/>
          </w:tcPr>
          <w:p>
            <w:r>
              <w:rPr/>
              <w:t>报价形式</w:t>
            </w:r>
          </w:p>
        </w:tc>
        <w:tc>
          <w:tcPr>
            <w:tcW w:type="dxa" w:w="5004"/>
          </w:tcPr>
          <w:p/>
          <w:p>
            <w:r>
              <w:rPr/>
              <w:t>采购包1：总价</w:t>
            </w:r>
          </w:p>
        </w:tc>
      </w:tr>
      <w:tr>
        <w:tc>
          <w:tcPr>
            <w:tcW w:type="dxa" w:w="1051"/>
          </w:tcPr>
          <w:p>
            <w:r>
              <w:rPr/>
              <w:t>6</w:t>
            </w:r>
          </w:p>
        </w:tc>
        <w:tc>
          <w:tcPr>
            <w:tcW w:type="dxa" w:w="2252"/>
          </w:tcPr>
          <w:p>
            <w:r>
              <w:rPr/>
              <w:t>报价要求</w:t>
            </w:r>
          </w:p>
        </w:tc>
        <w:tc>
          <w:tcPr>
            <w:tcW w:type="dxa" w:w="5004"/>
          </w:tcPr>
          <w:p>
            <w:r>
              <w:rPr/>
              <w:t>各采购包报价不超过预算总价</w:t>
            </w:r>
          </w:p>
        </w:tc>
      </w:tr>
      <w:tr>
        <w:tc>
          <w:tcPr>
            <w:tcW w:type="dxa" w:w="1051"/>
          </w:tcPr>
          <w:p>
            <w:r>
              <w:rPr/>
              <w:t>7</w:t>
            </w:r>
          </w:p>
        </w:tc>
        <w:tc>
          <w:tcPr>
            <w:tcW w:type="dxa" w:w="2252"/>
          </w:tcPr>
          <w:p>
            <w:r>
              <w:rPr/>
              <w:t>现场踏勘</w:t>
            </w:r>
          </w:p>
        </w:tc>
        <w:tc>
          <w:tcPr>
            <w:tcW w:type="dxa" w:w="5004"/>
          </w:tcPr>
          <w:p/>
          <w:p>
            <w:r>
              <w:rPr/>
              <w:t>否</w:t>
            </w:r>
          </w:p>
        </w:tc>
      </w:tr>
      <w:tr>
        <w:tc>
          <w:tcPr>
            <w:tcW w:type="dxa" w:w="1051"/>
          </w:tcPr>
          <w:p>
            <w:r>
              <w:rPr/>
              <w:t>8</w:t>
            </w:r>
          </w:p>
        </w:tc>
        <w:tc>
          <w:tcPr>
            <w:tcW w:type="dxa" w:w="2252"/>
          </w:tcPr>
          <w:p>
            <w:r>
              <w:rPr/>
              <w:t>投标有效期</w:t>
            </w:r>
          </w:p>
        </w:tc>
        <w:tc>
          <w:tcPr>
            <w:tcW w:type="dxa" w:w="5004"/>
          </w:tcPr>
          <w:p>
            <w:r>
              <w:rPr/>
              <w:t>从提交投标（响应）文件的截止之日起90日历天</w:t>
            </w:r>
          </w:p>
        </w:tc>
      </w:tr>
      <w:tr>
        <w:tc>
          <w:tcPr>
            <w:tcW w:type="dxa" w:w="1051"/>
          </w:tcPr>
          <w:p>
            <w:r>
              <w:rPr/>
              <w:t>9</w:t>
            </w:r>
          </w:p>
        </w:tc>
        <w:tc>
          <w:tcPr>
            <w:tcW w:type="dxa" w:w="2252"/>
          </w:tcPr>
          <w:p>
            <w:r>
              <w:rPr/>
              <w:t>投标保证金</w:t>
            </w:r>
          </w:p>
        </w:tc>
        <w:tc>
          <w:tcPr>
            <w:tcW w:type="dxa" w:w="5004"/>
          </w:tcPr>
          <w:p>
            <w:pPr>
              <w:ind w:firstLine="480"/>
            </w:p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pPr>
              <w:ind w:firstLine="480"/>
            </w:pPr>
            <w:r>
              <w:rPr/>
              <w:t>投标保证金有效期∶与投标有效期一致。</w:t>
            </w:r>
          </w:p>
          <w:p>
            <w:pPr>
              <w:ind w:firstLine="480"/>
            </w:pPr>
            <w:r>
              <w:rPr/>
              <w:t>投标保函提交方式：供应商可通过"广东政府采购智慧云平台金融服务中心"(http://gdgpo.czt.gd.gov.cn/zcdservice/zcd/guangdong/)，申请办理投标（响应）担保函、保险（保证）凭证，成功出函的等效于现金缴纳投标保证金。</w:t>
            </w:r>
          </w:p>
        </w:tc>
      </w:tr>
      <w:tr>
        <w:tc>
          <w:tcPr>
            <w:tcW w:type="dxa" w:w="1051"/>
          </w:tcPr>
          <w:p>
            <w:r>
              <w:rPr/>
              <w:t>10</w:t>
            </w:r>
          </w:p>
        </w:tc>
        <w:tc>
          <w:tcPr>
            <w:tcW w:type="dxa" w:w="2252"/>
          </w:tcPr>
          <w:p>
            <w:r>
              <w:rPr/>
              <w:t>投标文件要求</w:t>
            </w:r>
          </w:p>
        </w:tc>
        <w:tc>
          <w:tcPr>
            <w:tcW w:type="dxa" w:w="5004"/>
          </w:tcPr>
          <w:p>
            <w:pPr>
              <w:ind w:firstLine="480"/>
            </w:pPr>
            <w:r>
              <w:rPr>
                <w:b/>
              </w:rPr>
              <w:t>一、电子投标文件（必须提供）：</w:t>
            </w:r>
          </w:p>
          <w:p>
            <w:pPr>
              <w:ind w:firstLine="480"/>
            </w:pPr>
            <w:r>
              <w:rPr/>
              <w:t>（1）加密的电子投标文件 1 份（需在递交投标文件截止时间前成功上传至云平台项目采购系统）。</w:t>
            </w:r>
          </w:p>
          <w:p>
            <w:pPr>
              <w:ind w:firstLine="480"/>
            </w:pPr>
            <w:r>
              <w:rPr/>
              <w:t>（2）非加密电子版文件 U 盘(或光盘)</w:t>
            </w:r>
            <w:r>
              <w:rPr/>
              <w:t>0</w:t>
            </w:r>
            <w:r>
              <w:rPr/>
              <w:t>份，加密的电子投标文件与非加密的电子投标文件必须完全一致。</w:t>
            </w:r>
          </w:p>
          <w:p>
            <w:pPr>
              <w:ind w:firstLine="480"/>
            </w:pPr>
            <w:r>
              <w:rPr>
                <w:b/>
              </w:rPr>
              <w:t>非加密电子版投标文件使用情形:</w:t>
            </w:r>
            <w:r>
              <w:rPr/>
              <w:t>当无法使用 CA 证书在云平台项目采购系统进行电子投标文件开标解密时，供应商须在代理机构指引下启用非加密电子版投标文件。</w:t>
            </w:r>
          </w:p>
          <w:p>
            <w:pPr>
              <w:ind w:firstLine="480"/>
            </w:pPr>
            <w:r>
              <w:rPr>
                <w:b/>
              </w:rPr>
              <w:t>二、纸质投标文件（代理机构自行选择）：</w:t>
            </w:r>
            <w:r>
              <w:rPr/>
              <w:t>（3）纸质投标文件正本0份，纸质投标文件副本0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r>
              <w:rPr/>
              <w:t>11</w:t>
            </w:r>
          </w:p>
        </w:tc>
        <w:tc>
          <w:tcPr>
            <w:tcW w:type="dxa" w:w="2252"/>
          </w:tcPr>
          <w:p>
            <w:r>
              <w:rPr/>
              <w:t>中标候选供应商推荐家数</w:t>
            </w:r>
          </w:p>
        </w:tc>
        <w:tc>
          <w:tcPr>
            <w:tcW w:type="dxa" w:w="5004"/>
          </w:tcPr>
          <w:p>
            <w:r>
              <w:rPr/>
              <w:t>采购包1：</w:t>
            </w:r>
            <w:r>
              <w:rPr/>
              <w:t>3家</w:t>
            </w:r>
          </w:p>
        </w:tc>
      </w:tr>
      <w:tr>
        <w:tc>
          <w:tcPr>
            <w:tcW w:type="dxa" w:w="1051"/>
          </w:tcPr>
          <w:p>
            <w:r>
              <w:rPr/>
              <w:t>12</w:t>
            </w:r>
          </w:p>
        </w:tc>
        <w:tc>
          <w:tcPr>
            <w:tcW w:type="dxa" w:w="2252"/>
          </w:tcPr>
          <w:p>
            <w:pPr>
              <w:ind w:firstLine="480"/>
            </w:pPr>
            <w:r>
              <w:rPr/>
              <w:t>中标供应商数量</w:t>
            </w:r>
          </w:p>
        </w:tc>
        <w:tc>
          <w:tcPr>
            <w:tcW w:type="dxa" w:w="5004"/>
          </w:tcPr>
          <w:p>
            <w:pPr>
              <w:ind w:firstLine="480"/>
            </w:pPr>
          </w:p>
          <w:p>
            <w:r>
              <w:rPr/>
              <w:t>采购包1：</w:t>
            </w:r>
            <w:r>
              <w:rPr/>
              <w:t>1家</w:t>
            </w:r>
          </w:p>
          <w:p/>
        </w:tc>
      </w:tr>
      <w:tr>
        <w:tc>
          <w:tcPr>
            <w:tcW w:type="dxa" w:w="1051"/>
          </w:tcPr>
          <w:p>
            <w:r>
              <w:rPr/>
              <w:t>13</w:t>
            </w:r>
          </w:p>
        </w:tc>
        <w:tc>
          <w:tcPr>
            <w:tcW w:type="dxa" w:w="2252"/>
          </w:tcPr>
          <w:p>
            <w:pPr>
              <w:ind w:firstLine="480"/>
            </w:pPr>
            <w:r>
              <w:rPr/>
              <w:t>有效供应商家数</w:t>
            </w:r>
          </w:p>
        </w:tc>
        <w:tc>
          <w:tcPr>
            <w:tcW w:type="dxa" w:w="5004"/>
          </w:tcPr>
          <w:p>
            <w:pPr>
              <w:ind w:firstLine="480"/>
            </w:pPr>
          </w:p>
          <w:p>
            <w:pPr>
              <w:jc w:val="left"/>
            </w:pPr>
          </w:p>
          <w:p>
            <w:r>
              <w:rPr/>
              <w:t>采购包1：3家</w:t>
            </w:r>
          </w:p>
          <w:p/>
          <w:p>
            <w:pPr>
              <w:ind w:firstLine="480"/>
            </w:pPr>
            <w:r>
              <w:rPr/>
              <w:t>此人数约定了开标与评标过程中的最低有效供应商家数，当家数不足时项目将不得开标、不得评标或直接废标。</w:t>
            </w:r>
          </w:p>
        </w:tc>
      </w:tr>
      <w:tr>
        <w:tc>
          <w:tcPr>
            <w:tcW w:type="dxa" w:w="1051"/>
          </w:tcPr>
          <w:p>
            <w:r>
              <w:rPr/>
              <w:t>14</w:t>
            </w:r>
          </w:p>
        </w:tc>
        <w:tc>
          <w:tcPr>
            <w:tcW w:type="dxa" w:w="2252"/>
          </w:tcPr>
          <w:p>
            <w:r>
              <w:rPr/>
              <w:t>项目兼投兼中规则</w:t>
            </w:r>
          </w:p>
        </w:tc>
        <w:tc>
          <w:tcPr>
            <w:tcW w:type="dxa" w:w="5004"/>
          </w:tcPr>
          <w:p>
            <w:r>
              <w:rPr/>
              <w:t>兼投兼中：-</w:t>
            </w:r>
          </w:p>
        </w:tc>
      </w:tr>
      <w:tr>
        <w:tc>
          <w:tcPr>
            <w:tcW w:type="dxa" w:w="1051"/>
          </w:tcPr>
          <w:p>
            <w:r>
              <w:rPr/>
              <w:t>15</w:t>
            </w:r>
          </w:p>
        </w:tc>
        <w:tc>
          <w:tcPr>
            <w:tcW w:type="dxa" w:w="2252"/>
          </w:tcPr>
          <w:p>
            <w:r>
              <w:rPr/>
              <w:t>中标供应商确定方式</w:t>
            </w:r>
          </w:p>
        </w:tc>
        <w:tc>
          <w:tcPr>
            <w:tcW w:type="dxa" w:w="5004"/>
          </w:tcPr>
          <w:p>
            <w:r>
              <w:rPr/>
              <w:t>采购人按照评审报告中推荐的成交候选人确定中标（成交）人。</w:t>
            </w:r>
          </w:p>
        </w:tc>
      </w:tr>
      <w:tr>
        <w:tc>
          <w:tcPr>
            <w:tcW w:type="dxa" w:w="1051"/>
          </w:tcPr>
          <w:p>
            <w:r>
              <w:rPr/>
              <w:t>16</w:t>
            </w:r>
          </w:p>
        </w:tc>
        <w:tc>
          <w:tcPr>
            <w:tcW w:type="dxa" w:w="2252"/>
          </w:tcPr>
          <w:p>
            <w:r>
              <w:rPr/>
              <w:t>代理服务费</w:t>
            </w:r>
          </w:p>
        </w:tc>
        <w:tc>
          <w:tcPr>
            <w:tcW w:type="dxa" w:w="5004"/>
          </w:tcPr>
          <w:p>
            <w:r>
              <w:rPr/>
              <w:t>收取。</w:t>
            </w:r>
            <w:r>
              <w:rPr/>
              <w:t>采购机构代理服务收费标准：招标代理服务费按照国家计委《招标代理服务收费管理暂行办法》(计价格[2002]1980)号文标准下浮 11%收取。中选供应商在领取《中选通知书》时，必须按《交纳服务费承诺书》向采购代理机构直接交纳代理服务费。 收款单位：广州粤信工程项目管理有限公司 开户银行：招商银行股份有限公司广州新塘支行 银行账号：120919318910201（交纳招标代理服务费账号，非保证金专用账户） 注明项目名称。</w:t>
            </w:r>
          </w:p>
        </w:tc>
      </w:tr>
      <w:tr>
        <w:tc>
          <w:tcPr>
            <w:tcW w:type="dxa" w:w="1051"/>
          </w:tcPr>
          <w:p>
            <w:r>
              <w:rPr/>
              <w:t>17</w:t>
            </w:r>
          </w:p>
        </w:tc>
        <w:tc>
          <w:tcPr>
            <w:tcW w:type="dxa" w:w="2252"/>
          </w:tcPr>
          <w:p>
            <w:r>
              <w:rPr/>
              <w:t>代理服务费收取方式</w:t>
            </w:r>
          </w:p>
        </w:tc>
        <w:tc>
          <w:tcPr>
            <w:tcW w:type="dxa" w:w="5004"/>
          </w:tcPr>
          <w:p>
            <w:r>
              <w:rPr/>
              <w:t>向中标/成交供应商收取</w:t>
            </w:r>
          </w:p>
        </w:tc>
      </w:tr>
      <w:tr>
        <w:tc>
          <w:tcPr>
            <w:tcW w:type="dxa" w:w="1051"/>
          </w:tcPr>
          <w:p>
            <w:r>
              <w:rPr/>
              <w:t>18</w:t>
            </w:r>
          </w:p>
        </w:tc>
        <w:tc>
          <w:tcPr>
            <w:tcW w:type="dxa" w:w="2252"/>
          </w:tcPr>
          <w:p>
            <w:r>
              <w:rPr/>
              <w:t>其他</w:t>
            </w:r>
          </w:p>
        </w:tc>
        <w:tc>
          <w:tcPr>
            <w:tcW w:type="dxa" w:w="5004"/>
          </w:tcPr>
          <w:p>
            <w:pPr>
              <w:jc w:val="left"/>
            </w:pPr>
            <w:r>
              <w:rPr/>
              <w:t>其他，中标供应商中标后，需提供五套纸质响应文件（其中正本一份，副本四份）至采购人。</w:t>
            </w:r>
          </w:p>
        </w:tc>
      </w:tr>
      <w:tr>
        <w:tc>
          <w:tcPr>
            <w:tcW w:type="dxa" w:w="1051"/>
          </w:tcPr>
          <w:p>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r>
              <w:rPr/>
              <w:t>20</w:t>
            </w:r>
          </w:p>
        </w:tc>
        <w:tc>
          <w:tcPr>
            <w:tcW w:type="dxa" w:w="2252"/>
          </w:tcPr>
          <w:p>
            <w:r>
              <w:rPr/>
              <w:t>专门面向中小企业采购</w:t>
            </w:r>
          </w:p>
        </w:tc>
        <w:tc>
          <w:tcPr>
            <w:tcW w:type="dxa" w:w="5004"/>
          </w:tcPr>
          <w:p>
            <w:pPr>
              <w:jc w:val="left"/>
            </w:pPr>
            <w:r>
              <w:rPr/>
              <w:t>采购包1：非专门面向中小企业</w:t>
            </w:r>
          </w:p>
        </w:tc>
      </w:tr>
    </w:tbl>
    <w:p>
      <w:r>
        <w:rPr>
          <w:b/>
          <w:sz w:val="28"/>
        </w:rPr>
        <w:t>三、说明</w:t>
      </w:r>
    </w:p>
    <w:p>
      <w:r>
        <w:rPr>
          <w:b/>
          <w:sz w:val="24"/>
        </w:rPr>
        <w:t>1.总则</w:t>
      </w:r>
    </w:p>
    <w:p>
      <w:pPr>
        <w:ind w:firstLine="480"/>
      </w:pPr>
      <w:r>
        <w:rPr/>
        <w:t>采购人、采购代理机构及投标人进行的本次采购活动适用《中华人民共和国政府采购法》及其配套的法规、规章、政策。</w:t>
      </w:r>
    </w:p>
    <w:p>
      <w:pPr>
        <w:ind w:firstLine="480"/>
      </w:pPr>
      <w:r>
        <w:rP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rPr/>
        <w:t>本次公开招标项目，是以招标公告的方式邀请非特定的投标人参加投标。</w:t>
      </w:r>
    </w:p>
    <w:p>
      <w:r>
        <w:rPr>
          <w:b/>
          <w:sz w:val="24"/>
        </w:rPr>
        <w:t>2.适用范围</w:t>
      </w:r>
    </w:p>
    <w:p>
      <w:pPr>
        <w:ind w:firstLine="480"/>
      </w:pPr>
      <w:r>
        <w:rPr/>
        <w:t>本招标文件仅适用于本次招标公告中所涉及的项目和内容。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4.投标的费用</w:t>
      </w:r>
    </w:p>
    <w:p>
      <w:pPr>
        <w:ind w:firstLine="480"/>
      </w:pPr>
      <w:r>
        <w:rP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rPr/>
        <w:t>5.1联合体各方均应当满足《中华人民共和国政府采购法》第二十二条规定的条件，并在投标文件中提供联合体各方的相关证明材料。</w:t>
      </w:r>
    </w:p>
    <w:p>
      <w:pPr>
        <w:ind w:firstLine="480"/>
      </w:pPr>
      <w:r>
        <w:rPr/>
        <w:t>5.2</w:t>
        <w:tab/>
        <w:tab/>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rPr/>
        <w:t>5.3</w:t>
        <w:tab/>
        <w:tab/>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6.关联企业投标说明</w:t>
      </w:r>
    </w:p>
    <w:p>
      <w:pPr>
        <w:ind w:firstLine="480"/>
      </w:pPr>
      <w:r>
        <w:rPr/>
        <w:t>6.1</w:t>
        <w:tab/>
        <w:tab/>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rPr/>
        <w:t>6.2</w:t>
        <w:tab/>
        <w:tab/>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rPr/>
        <w:t>8.2在确定中标供应商之前，投标人不得与采购人就投标价格、投标方案等实质性内容进行谈判，也不得私下接触评标委员会成员。</w:t>
      </w:r>
    </w:p>
    <w:p>
      <w:pPr>
        <w:ind w:firstLine="480"/>
      </w:pPr>
      <w:r>
        <w:rPr/>
        <w:t>8.3在确定中标供应商之前，投标人试图在投标文件审查、澄清、比较和评价时对评标委员会、采购人和采购代理机构施加任何影响都可能导致其投标无效。</w:t>
      </w:r>
    </w:p>
    <w:p>
      <w:pPr>
        <w:ind w:firstLine="480"/>
      </w:pPr>
      <w:r>
        <w:rPr/>
        <w:t>8.4获得本招标文件者，须履行本项目下保密义务，不得将因本次项目获得的信息向第三人外传，不得将招标文件用作本次投标以外的任何用途。</w:t>
      </w:r>
    </w:p>
    <w:p>
      <w:pPr>
        <w:ind w:firstLine="480"/>
      </w:pPr>
      <w:r>
        <w:rP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rPr/>
        <w:t>8.6采购人或采购代理机构有权将供应商提供的所有资料向有关政府部门或评审小组披露。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9.2除非招标文件的技术规格中另有规定，投标人在投标文件中及其与采购人和采购代理机构的所有往来文件中的计量单位均应采用中华人民共和国法定计量单位。</w:t>
      </w:r>
    </w:p>
    <w:p>
      <w:pPr>
        <w:ind w:firstLine="480"/>
      </w:pPr>
      <w:r>
        <w:rPr/>
        <w:t>9.3投标人所提供的货物和服务均应以人民币报价，货币单位：元。</w:t>
      </w:r>
    </w:p>
    <w:p>
      <w:r>
        <w:rPr>
          <w:b/>
          <w:sz w:val="24"/>
        </w:rPr>
        <w:t>10. 现场踏勘（如有）</w:t>
      </w:r>
    </w:p>
    <w:p>
      <w:pPr>
        <w:ind w:firstLine="480"/>
      </w:pPr>
      <w:r>
        <w:rPr/>
        <w:t>10.1招标文件规定组织踏勘现场的，采购人按招标文件规定的时间、地点组织投标人踏勘项目现场。</w:t>
      </w:r>
    </w:p>
    <w:p>
      <w:pPr>
        <w:ind w:firstLine="480"/>
      </w:pPr>
      <w:r>
        <w:rPr/>
        <w:t>10.2投标人自行承担踏勘现场发生的责任、风险和自身费用。</w:t>
      </w:r>
    </w:p>
    <w:p>
      <w:pPr>
        <w:ind w:firstLine="480"/>
      </w:pPr>
      <w:r>
        <w:rPr/>
        <w:t>10.3采购人在踏勘现场中介绍的资料和数据等，只是为了使投标人能够利用招标人现有的资料。招标人对投标人由此而作出的推论、解释和结论概不负责。</w:t>
      </w:r>
    </w:p>
    <w:p>
      <w:r>
        <w:rPr>
          <w:b/>
          <w:sz w:val="24"/>
        </w:rPr>
        <w:t>11.关于分支机构投标</w:t>
      </w:r>
    </w:p>
    <w:p>
      <w:pPr>
        <w:ind w:firstLine="480"/>
      </w:pPr>
      <w:r>
        <w:rPr/>
        <w:t>对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依法设立登记的分支机构以自己的名义参加政府采购活动，产生的民事责任由法人承担。（保险类项目则为：本项目只接受保险分公司或中心支公司以上的保险机构投标；分公司或中心支公司的保险机构投标的，还须提供分公司或中心支公司的保险机构的营业执照。依法设立登记的分支机构以自己的名义参加政府采购活动，产生的民事责任由法人承担。 ）</w:t>
      </w:r>
    </w:p>
    <w:p>
      <w:r>
        <w:rPr>
          <w:b/>
          <w:sz w:val="28"/>
        </w:rPr>
        <w:t>四、招标文件的澄清和修改</w:t>
      </w:r>
    </w:p>
    <w:p>
      <w:pPr>
        <w:ind w:firstLine="480"/>
      </w:pPr>
      <w:r>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rPr/>
        <w:t>3.如更正公告有重新发布电子招标文件的，供应商应登录云平台项目采购系统下载最新发布的电子招标文件制作投标文件。</w:t>
      </w:r>
    </w:p>
    <w:p>
      <w:pPr>
        <w:ind w:firstLine="480"/>
      </w:pPr>
      <w:r>
        <w:rP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rP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rPr/>
        <w:t>2.1投标文件中，所有内容均以电子文件编制，其格式要求详见第六章说明。如因不按要求编制导致系统无法检索、读取相关信息时，其后果由投标人承担。由于本项目采用电子化投标，请充分考虑设备、网络环境、人员对系统熟悉度等因素，合理安排投标文件制作、提交时间，建议至少提前一天完成制作、提交工作。</w:t>
      </w:r>
    </w:p>
    <w:p>
      <w:pPr>
        <w:ind w:firstLine="480"/>
      </w:pPr>
      <w:r>
        <w:rP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rP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rPr/>
        <w:t>(2)投标报价包括本项目采购需求和投入使用的所有费用，包括但不限于主件、标准附件、备品备件、施工、服务、专用工具、安装、调试、检验、培训、运输、保险、税款等。</w:t>
      </w:r>
    </w:p>
    <w:p>
      <w:pPr>
        <w:ind w:firstLine="480"/>
      </w:pPr>
      <w:r>
        <w:rPr/>
        <w:t>2.3 如有对多个采购包投标的，要对每个采购包独立制作电子投标文件。</w:t>
      </w:r>
    </w:p>
    <w:p>
      <w:pPr>
        <w:ind w:firstLine="480"/>
      </w:pPr>
      <w:r>
        <w:rPr/>
        <w:t>2.4投标人不得将同一个项目或同一个采购包的内容拆开投标，否则其报价将被视为非实质性响应。</w:t>
      </w:r>
    </w:p>
    <w:p>
      <w:pPr>
        <w:ind w:firstLine="480"/>
      </w:pPr>
      <w:r>
        <w:rPr/>
        <w:t>2.5投标人须对招标文件的对应要求给予唯一的实质性响应，否则将视为不响应。</w:t>
      </w:r>
    </w:p>
    <w:p>
      <w:pPr>
        <w:ind w:firstLine="480"/>
      </w:pPr>
      <w:r>
        <w:rPr/>
        <w:t>2.6招标文件中，凡标有“★”的地方均为实质性响应条款，投标人若有一项带“★”的条款未响应或不满足，将按无效投标处理。</w:t>
      </w:r>
    </w:p>
    <w:p>
      <w:pPr>
        <w:ind w:firstLine="480"/>
      </w:pPr>
      <w:r>
        <w:rP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rP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rPr/>
        <w:t>3.2代理机构对因不可抗力事件造成的投标文件的损坏、丢失的，不承担责任。</w:t>
      </w:r>
    </w:p>
    <w:p>
      <w:pPr>
        <w:ind w:firstLine="480"/>
      </w:pPr>
      <w:r>
        <w:rPr/>
        <w:t>3.3出现下述情形之一，属于未成功提交投标文件，按无效投标处理：</w:t>
      </w:r>
    </w:p>
    <w:p>
      <w:pPr>
        <w:ind w:firstLine="480"/>
      </w:pPr>
      <w:r>
        <w:rPr/>
        <w:t>（1）至提交投标文件截止时，投标文件未完整上传的。</w:t>
      </w:r>
    </w:p>
    <w:p>
      <w:pPr>
        <w:ind w:firstLine="480"/>
      </w:pPr>
      <w:r>
        <w:rPr/>
        <w:t>（2）投标文件未按投标格式中注明需签字盖章的要求进行签名（含电子签名）和加盖电子印章，或签名（含电子签名）或电子印章不完整的。</w:t>
      </w:r>
    </w:p>
    <w:p>
      <w:pPr>
        <w:ind w:firstLine="480"/>
      </w:pPr>
      <w:r>
        <w:rPr/>
        <w:t>（3）投标文件损坏或格式不正确的。</w:t>
      </w:r>
    </w:p>
    <w:p>
      <w:r>
        <w:rPr>
          <w:b/>
          <w:sz w:val="24"/>
        </w:rPr>
        <w:t>4.投标文件的修改、撤回与撤销</w:t>
      </w:r>
    </w:p>
    <w:p>
      <w:pPr>
        <w:ind w:firstLine="480"/>
      </w:pPr>
      <w:r>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rPr/>
        <w:t>4.2在提交投标文件截止时间后，投标人不得补充、修改和更换投标文件。</w:t>
      </w:r>
    </w:p>
    <w:p>
      <w:r>
        <w:rPr>
          <w:b/>
          <w:sz w:val="24"/>
        </w:rPr>
        <w:t>5.投标文件的解密</w:t>
      </w:r>
    </w:p>
    <w:p>
      <w:pPr>
        <w:ind w:firstLine="480"/>
      </w:pPr>
      <w:r>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rPr/>
        <w:t>本项目不收取投标保证金</w:t>
      </w:r>
    </w:p>
    <w:p>
      <w:r>
        <w:rPr>
          <w:b/>
          <w:sz w:val="24"/>
        </w:rPr>
        <w:t>7.投标有效期</w:t>
      </w:r>
    </w:p>
    <w:p>
      <w:pPr>
        <w:ind w:firstLine="480"/>
      </w:pPr>
      <w:r>
        <w:rPr/>
        <w:t>7.1投标有效期内投标人撤销投标文件的，采购人或者采购代理机构可以不退还投标保证金（如有）。采用投标保函方式替代保证金的，采购人或者采购代理机构可以向担保机构索赔保证金。</w:t>
      </w:r>
    </w:p>
    <w:p>
      <w:pPr>
        <w:ind w:firstLine="480"/>
      </w:pPr>
      <w:r>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rPr/>
        <w:t>8.1招标文件规定投标人提交样品的，样品属于投标文件的组成部分。样品的生产、运输、安装、保全等一切费用由投标人自理。</w:t>
      </w:r>
    </w:p>
    <w:p>
      <w:pPr>
        <w:ind w:firstLine="480"/>
      </w:pPr>
      <w:r>
        <w:rPr/>
        <w:t>8.2投标截止时间前，投标人应将样品送达至指定地点。若需要现场演示的，投标人应提前做好演示准备（包括演示设备）。</w:t>
      </w:r>
    </w:p>
    <w:p>
      <w:pPr>
        <w:ind w:firstLine="480"/>
      </w:pPr>
      <w:r>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rPr/>
        <w:t>9.1投标文件未按照招标文件要求签署、盖章；</w:t>
      </w:r>
    </w:p>
    <w:p>
      <w:pPr>
        <w:ind w:firstLine="480"/>
      </w:pPr>
      <w:r>
        <w:rPr/>
        <w:t>9.2不符合招标文件中规定的资格要求；</w:t>
      </w:r>
    </w:p>
    <w:p>
      <w:pPr>
        <w:ind w:firstLine="480"/>
      </w:pPr>
      <w:r>
        <w:rPr/>
        <w:t>9.3投标报价超过招标文件中规定的预算金额或最高限价；</w:t>
      </w:r>
    </w:p>
    <w:p>
      <w:pPr>
        <w:ind w:firstLine="480"/>
      </w:pPr>
      <w:r>
        <w:rPr/>
        <w:t>9.4投标文件含有采购人不能接受的附加条件；</w:t>
      </w:r>
    </w:p>
    <w:p>
      <w:pPr>
        <w:ind w:firstLine="480"/>
      </w:pPr>
      <w:r>
        <w:rPr/>
        <w:t>9.5有关法律、法规和规章及招标文件规定的其他无效情形。</w:t>
      </w:r>
    </w:p>
    <w:p>
      <w:r>
        <w:rPr>
          <w:b/>
          <w:sz w:val="28"/>
        </w:rPr>
        <w:t>六、开标、评标和定标</w:t>
      </w:r>
    </w:p>
    <w:p>
      <w:r>
        <w:rPr>
          <w:b/>
          <w:sz w:val="24"/>
        </w:rPr>
        <w:t>1.开标</w:t>
      </w:r>
    </w:p>
    <w:p>
      <w:pPr>
        <w:ind w:firstLine="480"/>
      </w:pPr>
      <w:r>
        <w:rPr/>
        <w:t>1.1 开标程序</w:t>
      </w:r>
    </w:p>
    <w:p>
      <w:pPr>
        <w:ind w:firstLine="480"/>
      </w:pPr>
      <w:r>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rP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rP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rPr/>
        <w:t>1.2开标异议</w:t>
      </w:r>
    </w:p>
    <w:p>
      <w:pPr>
        <w:ind w:firstLine="480"/>
      </w:pPr>
      <w:r>
        <w:rPr/>
        <w:t>投标人代表对开标过程和开标记录有疑义，以及认为采购人、采购代理机构相关工作人员有需要回避的情形的，应当场提出询问或者回避申请。投标人未参加开标的，视同认可开标结果。</w:t>
      </w:r>
    </w:p>
    <w:p>
      <w:pPr>
        <w:ind w:firstLine="480"/>
      </w:pPr>
      <w:r>
        <w:rPr/>
        <w:t>1.3 投标截止时间后，投标人不足须知前附表中约定的有效供应商家数的，不得开标。同时，本次采购活动结束。</w:t>
      </w:r>
    </w:p>
    <w:p>
      <w:pPr>
        <w:ind w:firstLine="480"/>
      </w:pPr>
      <w:r>
        <w:rPr/>
        <w:t>1.4开标时出现下列情况的，视为投标无效处理：</w:t>
      </w:r>
    </w:p>
    <w:p>
      <w:pPr>
        <w:ind w:firstLine="480"/>
      </w:pPr>
      <w:r>
        <w:rPr/>
        <w:t>（1）经检查数字证书无效的；</w:t>
      </w:r>
    </w:p>
    <w:p>
      <w:pPr>
        <w:ind w:firstLine="480"/>
      </w:pPr>
      <w:r>
        <w:rPr/>
        <w:t>（2）因投标人自身原因，未在规定时间内完成电子投标文件解密的；</w:t>
      </w:r>
    </w:p>
    <w:p>
      <w:pPr>
        <w:ind w:firstLine="480"/>
      </w:pPr>
      <w:r>
        <w:rP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rPr/>
        <w:t>3.1中标公告：</w:t>
      </w:r>
    </w:p>
    <w:p>
      <w:pPr>
        <w:ind w:firstLine="480"/>
      </w:pPr>
      <w:r>
        <w:rPr/>
        <w:t>中标供应商确定之日起2个工作日内，</w:t>
        <w:tab/>
        <w:tab/>
        <w:t xml:space="preserve"> 采购人或采购代理机构将在中国政府采购网(www.ccgp.gov.cn)、广东省政府采购网(https://gdgpo.czt.gd.gov.cn/)上以公告的形式发布中标结果，中标公告的公告期限为 1</w:t>
        <w:tab/>
        <w:tab/>
        <w:t xml:space="preserve"> 个工作日。中标公告同时作为采购代理机构通知除中标供应商外的其他投标人没有中标的书面形式，采购代理机构不再以其它方式另行通知。</w:t>
      </w:r>
    </w:p>
    <w:p>
      <w:pPr>
        <w:ind w:firstLine="480"/>
      </w:pPr>
      <w:r>
        <w:rPr/>
        <w:t>3.2中标通知书：</w:t>
      </w:r>
    </w:p>
    <w:p>
      <w:pPr>
        <w:ind w:firstLine="480"/>
      </w:pPr>
      <w:r>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r>
        <w:rPr/>
        <w:t>3.3项目废标处理：</w:t>
      </w:r>
    </w:p>
    <w:p>
      <w:pPr>
        <w:ind w:firstLine="480"/>
      </w:pPr>
      <w:r>
        <w:rPr/>
        <w:t>根据《中华人民共和国政府采购法》第三十六条及招标文件的约定，本项目或分包下列情况出现将作废标处理：</w:t>
      </w:r>
    </w:p>
    <w:p>
      <w:pPr>
        <w:ind w:firstLine="480"/>
      </w:pPr>
      <w:r>
        <w:rPr/>
        <w:t>（1）符合专业资格条件的投标人或者对招标文件作实质响应的有效投标人不足三家的（说明：使用综合评分法的采购项目，提供相同品牌产品且通过资格审查、符合性审查的不同投标人参加同一合同项下投标的，按一家投标人计算） 。</w:t>
      </w:r>
    </w:p>
    <w:p>
      <w:pPr>
        <w:ind w:firstLine="480"/>
      </w:pPr>
      <w:r>
        <w:rPr/>
        <w:t>（2）出现影响采购公正的违法、违规行为的。</w:t>
      </w:r>
    </w:p>
    <w:p>
      <w:pPr>
        <w:ind w:firstLine="480"/>
      </w:pPr>
      <w:r>
        <w:rPr/>
        <w:t>（3）投标人的报价均超过了采购预算，采购人不能支付的。</w:t>
      </w:r>
    </w:p>
    <w:p>
      <w:pPr>
        <w:ind w:firstLine="480"/>
      </w:pPr>
      <w:r>
        <w:rPr/>
        <w:t>（4）因重大变故，采购任务取消的。</w:t>
      </w:r>
    </w:p>
    <w:p>
      <w:pPr>
        <w:ind w:firstLine="480"/>
      </w:pPr>
      <w:r>
        <w:rPr/>
        <w:t>对废标的采购项目，评标委员会应出具采购文件是否存在不合理条款的论证意见。</w:t>
      </w:r>
    </w:p>
    <w:p/>
    <w:p>
      <w:pPr>
        <w:ind w:firstLine="480"/>
      </w:pPr>
      <w:r>
        <w:rPr/>
        <w:t>3.4终止公告：</w:t>
      </w:r>
    </w:p>
    <w:p>
      <w:pPr>
        <w:ind w:firstLine="480"/>
      </w:pPr>
      <w:r>
        <w:rPr/>
        <w:t>项目废标后，采购人或采购代理机构将在中国政府采购网(www.ccgp.gov.cn)、广东省政府采购网(https://gdgpo.czt.gd.gov.cn/)、上发布终止公告，终止公告的公告期限为1个工作日。</w:t>
      </w:r>
    </w:p>
    <w:p>
      <w:r>
        <w:rPr>
          <w:b/>
          <w:sz w:val="28"/>
        </w:rPr>
        <w:t>七、询问、质疑与投诉</w:t>
      </w:r>
    </w:p>
    <w:p>
      <w:r>
        <w:rPr>
          <w:b/>
          <w:sz w:val="24"/>
        </w:rPr>
        <w:t>1.询问</w:t>
      </w:r>
    </w:p>
    <w:p>
      <w:pPr>
        <w:ind w:firstLine="480"/>
      </w:pPr>
      <w:r>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(1)对招标文件提出质疑的，为获取招标文件之日或者招标文件公告期限届满之日；</w:t>
      </w:r>
    </w:p>
    <w:p>
      <w:pPr>
        <w:ind w:firstLine="480"/>
      </w:pPr>
      <w:r>
        <w:rPr/>
        <w:t>(2)对采购过程提出质疑的，为各采购程序环节结束之日；</w:t>
      </w:r>
    </w:p>
    <w:p>
      <w:pPr>
        <w:ind w:firstLine="480"/>
      </w:pPr>
      <w:r>
        <w:rPr/>
        <w:t>(3)对中标结果提出质疑的，为中标结果公告期限届满之日。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(3)认为采购文件、采购过程、中标和成交结果使自己的合法权益受到损害的法律依据、事实依据、相关证明材料及证据来源；</w:t>
      </w:r>
    </w:p>
    <w:p>
      <w:pPr>
        <w:ind w:firstLine="480"/>
      </w:pPr>
      <w:r>
        <w:rPr/>
        <w:t>(4)提出质疑的日期。</w:t>
      </w:r>
    </w:p>
    <w:p>
      <w:pPr>
        <w:ind w:firstLine="480"/>
      </w:pPr>
      <w:r>
        <w:rPr/>
        <w:t>2.3 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陈先生</w:t>
      </w:r>
    </w:p>
    <w:p>
      <w:pPr>
        <w:ind w:firstLine="480"/>
      </w:pPr>
      <w:r>
        <w:rPr/>
        <w:t>电话：</w:t>
      </w:r>
      <w:r>
        <w:rPr/>
        <w:t>18666551627</w:t>
      </w:r>
    </w:p>
    <w:p>
      <w:pPr>
        <w:ind w:firstLine="480"/>
      </w:pPr>
      <w:r>
        <w:rPr/>
        <w:t>传真：</w:t>
      </w:r>
      <w:r>
        <w:rPr/>
        <w:t>020-82889983</w:t>
      </w:r>
    </w:p>
    <w:p>
      <w:pPr>
        <w:ind w:firstLine="480"/>
      </w:pPr>
      <w:r>
        <w:rPr/>
        <w:t>邮箱：</w:t>
      </w:r>
      <w:r>
        <w:rPr/>
        <w:t>271269054@qq.com</w:t>
      </w:r>
    </w:p>
    <w:p>
      <w:pPr>
        <w:ind w:firstLine="480"/>
      </w:pPr>
      <w:r>
        <w:rPr/>
        <w:t>地址：</w:t>
      </w:r>
      <w:r>
        <w:rPr/>
        <w:t>广州市增城区新塘镇国贸中心四街40号</w:t>
      </w:r>
    </w:p>
    <w:p>
      <w:pPr>
        <w:ind w:firstLine="480"/>
      </w:pPr>
      <w:r>
        <w:rPr/>
        <w:t>邮编：</w:t>
      </w:r>
      <w:r>
        <w:rPr/>
        <w:t>510000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政府采购监督管理机构名称：广州市增城区财政局（政府采购管理办公室）</w:t>
      </w:r>
    </w:p>
    <w:p>
      <w:r>
        <w:rPr/>
        <w:t>地  址：广州市增城区荔城街荔乡路21号</w:t>
      </w:r>
    </w:p>
    <w:p>
      <w:r>
        <w:rPr/>
        <w:t>电  话：020-82623117、020-82656610</w:t>
      </w:r>
    </w:p>
    <w:p>
      <w:r>
        <w:rPr/>
        <w:t>邮  编：511300</w:t>
      </w:r>
    </w:p>
    <w:p>
      <w:r>
        <w:rPr/>
        <w:t>传  真：020-82622883</w:t>
      </w:r>
    </w:p>
    <w:p/>
    <w:p>
      <w:r>
        <w:rPr>
          <w:b/>
          <w:sz w:val="28"/>
        </w:rPr>
        <w:t>八、合同签订和履行</w:t>
      </w:r>
    </w:p>
    <w:p>
      <w:r>
        <w:rPr>
          <w:b/>
          <w:sz w:val="24"/>
        </w:rPr>
        <w:t>1.合同签订</w:t>
      </w:r>
    </w:p>
    <w:p>
      <w:pPr>
        <w:ind w:firstLine="480"/>
      </w:pPr>
      <w:r>
        <w:rPr/>
        <w:t>1.1采购人应当自《中标通知书》发出之日起二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rPr/>
        <w:t>1.2采购人不得提出试用合格等任何不合理的要求作为签订合同的条件，且不得与中标供应商私下订立背离合同实质性内容的协议。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r>
        <w:rPr/>
        <w:t>2.3有融资要求的中标供应商可根据自身情况，在广东省政府采购网上自行选择金融机构及其融资产品，凭政府采购中标通知书或政府采购合同向金融机构提出融资申请。</w:t>
      </w:r>
    </w:p>
    <w:p>
      <w:pPr>
        <w:ind w:firstLine="480"/>
      </w:pPr>
    </w:p>
    <w:p>
      <w:r>
        <w:rPr/>
        <w:t xml:space="preserve"> </w:t>
      </w:r>
    </w:p>
    <w:p/>
    <w:p>
      <w:pPr>
        <w:jc w:val="center"/>
      </w:pPr>
      <w:r>
        <w:rPr>
          <w:b/>
          <w:sz w:val="36"/>
        </w:rPr>
        <w:t>第四章 评标</w:t>
      </w:r>
    </w:p>
    <w:p>
      <w:r>
        <w:rPr>
          <w:b/>
          <w:sz w:val="28"/>
        </w:rPr>
        <w:t>一、评标要求</w:t>
      </w:r>
    </w:p>
    <w:p>
      <w:r>
        <w:rPr>
          <w:b/>
          <w:sz w:val="24"/>
        </w:rPr>
        <w:t>1.评标方法</w:t>
      </w:r>
    </w:p>
    <w:p>
      <w:pPr>
        <w:ind w:firstLine="480"/>
      </w:pPr>
    </w:p>
    <w:p/>
    <w:p>
      <w:r>
        <w:rPr/>
        <w:t>采购包1(柯灯山水厂取水口迁移工程辅助管理服务)：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rPr/>
        <w:t>2.1评标活动遵循公平、公正、科学和择优的原则，以招标文件和投标文件为评标的基本依据，并按照招标文件规定的评标方法和评标标准进行评标。</w:t>
      </w:r>
    </w:p>
    <w:p>
      <w:pPr>
        <w:ind w:firstLine="480"/>
      </w:pPr>
      <w:r>
        <w:rPr/>
        <w:t>2.2具体评标事项由评标委员会负责，并按招标文件的规定办法进行评审。</w:t>
      </w:r>
    </w:p>
    <w:p>
      <w:pPr>
        <w:ind w:firstLine="480"/>
      </w:pPr>
      <w:r>
        <w:rPr/>
        <w:t>2.3合格投标人不足须知前附表中约定的有效供应商家数的，不得评标。</w:t>
      </w:r>
    </w:p>
    <w:p>
      <w:r>
        <w:rPr>
          <w:b/>
          <w:sz w:val="24"/>
        </w:rPr>
        <w:t>3.评标委员会</w:t>
      </w:r>
    </w:p>
    <w:p>
      <w:pPr>
        <w:ind w:firstLine="480"/>
      </w:pPr>
      <w:r>
        <w:rPr/>
        <w:t>3.1评标委员会由采购人代表和评审专家组成，成员人数应当为5人及以上单数，其中评审专家不得少于成员总数的三分之二。</w:t>
      </w:r>
    </w:p>
    <w:p>
      <w:pPr>
        <w:ind w:firstLine="480"/>
      </w:pPr>
      <w:r>
        <w:rPr/>
        <w:t>3.2评标应遵守下列评标纪律：</w:t>
      </w:r>
    </w:p>
    <w:p>
      <w:pPr>
        <w:ind w:firstLine="480"/>
      </w:pPr>
      <w:r>
        <w:rPr/>
        <w:t>（1）评标情况不得私自外泄，有关信息由</w:t>
      </w:r>
      <w:r>
        <w:rPr/>
        <w:t>广州粤信工程项目管理有限公司</w:t>
      </w:r>
      <w:r>
        <w:rPr/>
        <w:t>统一对外发布。</w:t>
      </w:r>
    </w:p>
    <w:p>
      <w:pPr>
        <w:ind w:firstLine="480"/>
      </w:pPr>
      <w:r>
        <w:rPr/>
        <w:t>（2）对</w:t>
      </w:r>
      <w:r>
        <w:rPr/>
        <w:t>广州粤信工程项目管理有限公司</w:t>
      </w:r>
      <w:r>
        <w:rPr/>
        <w:t>或投标人提供的要求保密的资料，不得摘记翻印和外传。</w:t>
      </w:r>
    </w:p>
    <w:p>
      <w:pPr>
        <w:ind w:firstLine="480"/>
      </w:pPr>
      <w:r>
        <w:rPr/>
        <w:t>（3）不得收受投标供应商或有关人员的任何礼物，不得串联鼓动其他人袒护某投标人。若与投标人存在利害关系，则应主动声明并回避。</w:t>
      </w:r>
    </w:p>
    <w:p>
      <w:pPr>
        <w:ind w:firstLine="480"/>
      </w:pPr>
      <w:r>
        <w:rPr/>
        <w:t>（4）全体评委应按照招标文件规定进行评标，一切认定事项应查有实据且不得弄虚作假。</w:t>
      </w:r>
    </w:p>
    <w:p>
      <w:pPr>
        <w:ind w:firstLine="480"/>
      </w:pPr>
      <w:r>
        <w:rPr/>
        <w:t>（5）评标委员会各成员应当独立对每个投标人的投标文件进行评价，并对评价意见承担个人责任。评审过程中，不得发表倾向性言论。</w:t>
      </w:r>
    </w:p>
    <w:p>
      <w:pPr>
        <w:ind w:firstLine="480"/>
      </w:pPr>
      <w:r>
        <w:rP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rPr/>
        <w:t>4.1不同投标人的投标文件由同一单位或者个人编制；</w:t>
      </w:r>
    </w:p>
    <w:p>
      <w:pPr>
        <w:ind w:firstLine="480"/>
      </w:pPr>
      <w:r>
        <w:rPr/>
        <w:t>4.2不同投标人委托同一单位或者个人办理投标事宜；</w:t>
      </w:r>
    </w:p>
    <w:p>
      <w:pPr>
        <w:ind w:firstLine="480"/>
      </w:pPr>
      <w:r>
        <w:rPr/>
        <w:t>4.3不同投标人的投标文件载明的项目管理成员或者联系人员为同一人；</w:t>
      </w:r>
    </w:p>
    <w:p>
      <w:pPr>
        <w:ind w:firstLine="480"/>
      </w:pPr>
      <w:r>
        <w:rPr/>
        <w:t>4.4不同投标人的投标文件异常一致或者投标报价呈规律性差异；</w:t>
      </w:r>
    </w:p>
    <w:p>
      <w:pPr>
        <w:ind w:firstLine="480"/>
      </w:pPr>
      <w:r>
        <w:rPr/>
        <w:t>4.5不同投标人的投标文件相互混装；</w:t>
      </w:r>
    </w:p>
    <w:p>
      <w:pPr>
        <w:ind w:firstLine="480"/>
      </w:pPr>
      <w:r>
        <w:rPr/>
        <w:t>4.6不同投标人的投标保证金或购买电子保函支付款为从同一单位或个人的账户转出；</w:t>
      </w:r>
    </w:p>
    <w:p>
      <w:pPr>
        <w:ind w:firstLine="480"/>
      </w:pPr>
      <w:r>
        <w:rPr/>
        <w:t>4.7投标人上传的电子投标文件使用该项目其他投标人的数字证书加密的或加盖该项目的其他投标人的电子印章的。</w:t>
      </w:r>
    </w:p>
    <w:p>
      <w:pPr>
        <w:ind w:firstLine="480"/>
      </w:pPr>
      <w:r>
        <w:rP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rPr/>
        <w:t>详见资格性审查、符合性审查和招标文件其他投标无效条款。</w:t>
      </w:r>
    </w:p>
    <w:p>
      <w:r>
        <w:rPr>
          <w:b/>
          <w:sz w:val="24"/>
        </w:rPr>
        <w:t>6.定标</w:t>
      </w:r>
    </w:p>
    <w:p>
      <w:pPr>
        <w:ind w:firstLine="480"/>
      </w:pPr>
      <w:r>
        <w:rPr/>
        <w:t>评标委员会按照招标文件确定的评标方法、步骤、标准，对投标文件进行评审。评标结束后，对投标人的评审名次进行排序，确定中标供应商或者推荐中标候选人。第二中标候选人报价高于第一中标候选人报价20％以上的，只推荐1名中标候选人。（下浮率报价为:设 M= (1-下浮率)，第二中标候选人的 M值高于第一中标候选人 M 值 20%以上的，只推荐 1名中标候选人。)。 第一中标候选人无正当理由不得随意放弃中标资格。中标候选人放弃中标资格的，采购人可以按照评审报告推荐的中标候选人名单排序，确定下一候选人为中标人，也可以重新开展政府采购活动。</w:t>
      </w:r>
    </w:p>
    <w:p>
      <w:r>
        <w:rPr>
          <w:b/>
          <w:sz w:val="24"/>
        </w:rPr>
        <w:t>7.价格修正</w:t>
      </w:r>
    </w:p>
    <w:p>
      <w:pPr>
        <w:ind w:firstLine="480"/>
      </w:pPr>
      <w:r>
        <w:rPr/>
        <w:t>对报价的计算错误按以下原则修正：</w:t>
      </w:r>
    </w:p>
    <w:p>
      <w:pPr>
        <w:ind w:firstLine="480"/>
      </w:pPr>
      <w:r>
        <w:rPr/>
        <w:t>（1）投标文件中开标一览表内容与投标文件中相应内容不一致的，以开标一览表为准；</w:t>
      </w:r>
    </w:p>
    <w:p>
      <w:pPr>
        <w:ind w:firstLine="480"/>
      </w:pPr>
      <w:r>
        <w:rPr/>
        <w:t>（2）大写金额和小写金额不一致的，以大写金额为准；</w:t>
      </w:r>
    </w:p>
    <w:p>
      <w:pPr>
        <w:ind w:firstLine="480"/>
      </w:pPr>
      <w:r>
        <w:rPr/>
        <w:t>（3）单价金额小数点或者百分比有明显错位的，以开标一览表的总价为准，并修改单价。</w:t>
      </w:r>
    </w:p>
    <w:p>
      <w:pPr>
        <w:ind w:firstLine="480"/>
      </w:pPr>
      <w:r>
        <w:rPr/>
        <w:t>（4）总价金额与按单价汇总金额不一致的，以单价金额计算结果为准。但是单价金额计算结果超过预算价的，对其按无效投标处理。</w:t>
      </w:r>
    </w:p>
    <w:p>
      <w:pPr>
        <w:ind w:firstLine="480"/>
      </w:pPr>
      <w:r>
        <w:rPr/>
        <w:t>（5）若投标客户端上传的电子报价数据与电子投标文件价格不一致的，以电子报价数据为准。</w:t>
      </w:r>
    </w:p>
    <w:p>
      <w:pPr>
        <w:ind w:firstLine="480"/>
      </w:pPr>
      <w:r>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采购包1（柯灯山水厂取水口迁移工程辅助管理服务）：</w:t>
      </w:r>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小型、微型企业，监狱企业，残疾人福利性单位</w:t>
            </w:r>
          </w:p>
        </w:tc>
        <w:tc>
          <w:tcPr>
            <w:tcW w:type="dxa" w:w="2160"/>
          </w:tcPr>
          <w:p>
            <w:r>
              <w:rPr/>
              <w:t>本项目服务全部为小型或微型企业承接</w:t>
            </w:r>
          </w:p>
        </w:tc>
        <w:tc>
          <w:tcPr>
            <w:tcW w:type="dxa" w:w="1246"/>
          </w:tcPr>
          <w:p>
            <w:r>
              <w:rPr/>
              <w:t>10%</w:t>
            </w:r>
          </w:p>
        </w:tc>
        <w:tc>
          <w:tcPr>
            <w:tcW w:type="dxa" w:w="2160"/>
          </w:tcPr>
          <w:p>
            <w:pPr>
              <w:jc w:val="left"/>
            </w:pPr>
            <w:r>
              <w:rPr/>
              <w:t>服务由小微企业承接，即提供服务的人员为小微企业依照《中华人民共和国劳动合同法》订立劳动合同的从业人员时，给予价格扣除C1，即：评标价=投标报价×（1-C1）;监狱企业与残疾人福利性单位视同小型、微型企业，享受同等价格扣除，当企业属性重复时，不重复价格扣除。</w:t>
            </w:r>
          </w:p>
        </w:tc>
      </w:tr>
      <w:tr>
        <w:tc>
          <w:tcPr>
            <w:tcW w:type="dxa" w:w="8307"/>
            <w:gridSpan w:val="5"/>
          </w:tcPr>
          <w:p>
            <w:pPr>
              <w:jc w:val="left"/>
            </w:pPr>
            <w:r>
              <w:rPr/>
              <w:t>注：（1）上述评标价仅用于计算价格评分，成交金额以实际投标（响应）价为准。</w:t>
              <w:tab/>
              <w:tab/>
              <w:tab/>
              <w:tab/>
              <w:tab/>
              <w:t xml:space="preserve"> （2）组成联合体或者接受分包的小微企业与联合体内其他企业、分包企业之间存在直接控股、管理关系的，不享受价格扣除优惠政策。</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rPr/>
        <w:t>说明：投标人应当对其出具的《中小企业声明函》真实性负责，投标人出具的《中小企业声明函》内容不实的，属于提供虚假材料谋取中标。</w:t>
      </w:r>
    </w:p>
    <w:p>
      <w:pPr>
        <w:ind w:firstLine="480"/>
      </w:pPr>
      <w:r>
        <w:rP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rPr/>
        <w:t>资格性审查。公开招标采购项目开标结束后，采购人或采购代理机构应当依法对投标人的资格进行审查，以确定投标人是否具备投标资格。（详见后附表一资格性审查表）</w:t>
      </w:r>
    </w:p>
    <w:p>
      <w:pPr>
        <w:ind w:firstLine="480"/>
      </w:pPr>
      <w:r>
        <w:rP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rPr/>
        <w:t>资格性审查和符合性审查中凡有其中任意一项未通过的，评审结果为未通过，未通过资格性审查、符合性审查的投标人按无效投标处理。</w:t>
      </w:r>
    </w:p>
    <w:p>
      <w:pPr>
        <w:ind w:firstLine="480"/>
      </w:pPr>
      <w:r>
        <w:rPr/>
        <w:t>对各投标人进行资格审查和符合性审查过程中，对初步被认定为无效投标者，由评标委员会组长或采购人代表将集体意见及时告知投标当事人。采购代理机构应在评标报告中以书面形式解释其排除的具体原因</w:t>
      </w:r>
    </w:p>
    <w:p>
      <w:pPr>
        <w:ind w:firstLine="480"/>
      </w:pPr>
      <w: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rPr/>
        <w:t>合格投标人不足3家的，不得评标。</w:t>
      </w:r>
    </w:p>
    <w:p>
      <w:pPr>
        <w:ind w:firstLine="480"/>
      </w:pPr>
      <w:r>
        <w:rPr/>
        <w:t>表一资格性审查表：</w:t>
      </w:r>
    </w:p>
    <w:p>
      <w:pPr>
        <w:ind w:firstLine="480"/>
      </w:pPr>
    </w:p>
    <w:p/>
    <w:p>
      <w:r>
        <w:rPr/>
        <w:t>采购包1（柯灯山水厂取水口迁移工程辅助管理服务）：</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提交《响应承诺函》。</w:t>
            </w:r>
          </w:p>
        </w:tc>
      </w:tr>
      <w:tr>
        <w:tc>
          <w:tcPr>
            <w:tcW w:type="dxa" w:w="890"/>
          </w:tcPr>
          <w:p>
            <w:r>
              <w:rPr/>
              <w:t>3</w:t>
            </w:r>
          </w:p>
        </w:tc>
        <w:tc>
          <w:tcPr>
            <w:tcW w:type="dxa" w:w="3178"/>
          </w:tcPr>
          <w:p>
            <w:r>
              <w:rPr/>
              <w:t>具有良好的商业信誉和健全的财务会计制度</w:t>
            </w:r>
          </w:p>
        </w:tc>
        <w:tc>
          <w:tcPr>
            <w:tcW w:type="dxa" w:w="4238"/>
          </w:tcPr>
          <w:p>
            <w:r>
              <w:rPr/>
              <w:t>提交《响应承诺函》。</w:t>
            </w:r>
          </w:p>
        </w:tc>
      </w:tr>
      <w:tr>
        <w:tc>
          <w:tcPr>
            <w:tcW w:type="dxa" w:w="890"/>
          </w:tcPr>
          <w:p>
            <w:r>
              <w:rPr/>
              <w:t>4</w:t>
            </w:r>
          </w:p>
        </w:tc>
        <w:tc>
          <w:tcPr>
            <w:tcW w:type="dxa" w:w="3178"/>
          </w:tcPr>
          <w:p>
            <w:r>
              <w:rPr/>
              <w:t>履行合同所必需的设备和专业技术能力</w:t>
            </w:r>
          </w:p>
        </w:tc>
        <w:tc>
          <w:tcPr>
            <w:tcW w:type="dxa" w:w="4238"/>
          </w:tcPr>
          <w:p>
            <w:r>
              <w:rPr/>
              <w:t>提交《响应承诺函》。</w:t>
            </w:r>
          </w:p>
        </w:tc>
      </w:tr>
      <w:tr>
        <w:tc>
          <w:tcPr>
            <w:tcW w:type="dxa" w:w="890"/>
          </w:tcPr>
          <w:p>
            <w:r>
              <w:rPr/>
              <w:t>5</w:t>
            </w:r>
          </w:p>
        </w:tc>
        <w:tc>
          <w:tcPr>
            <w:tcW w:type="dxa" w:w="3178"/>
          </w:tcPr>
          <w:p>
            <w:r>
              <w:rPr/>
              <w:t>参加采购活动前3年内，在经营活动中没有重大违法记录</w:t>
            </w:r>
          </w:p>
        </w:tc>
        <w:tc>
          <w:tcPr>
            <w:tcW w:type="dxa" w:w="4238"/>
          </w:tcPr>
          <w:p>
            <w:r>
              <w:rPr/>
              <w:t>提交《响应承诺函》。</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采购包1（柯灯山水厂取水口迁移工程辅助管理服务）</w:t>
            </w:r>
          </w:p>
        </w:tc>
        <w:tc>
          <w:tcPr>
            <w:tcW w:type="dxa" w:w="4238"/>
          </w:tcPr>
          <w:p>
            <w:r>
              <w:rPr/>
              <w:t>本采购包不属于专门面向中小企业采购项目。</w:t>
            </w:r>
          </w:p>
        </w:tc>
      </w:tr>
    </w:tbl>
    <w:p/>
    <w:p>
      <w:pPr>
        <w:ind w:firstLine="480"/>
      </w:pPr>
      <w:r>
        <w:rPr/>
        <w:t>表二符合性审查表：</w:t>
      </w:r>
    </w:p>
    <w:p>
      <w:pPr>
        <w:ind w:firstLine="480"/>
      </w:pPr>
    </w:p>
    <w:p/>
    <w:p>
      <w:r>
        <w:rPr/>
        <w:t>采购包1（柯灯山水厂取水口迁移工程辅助管理服务）：</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投标（报价）总金额是固定价且是唯一的，未超过本项目采购预算。</w:t>
            </w:r>
          </w:p>
        </w:tc>
        <w:tc>
          <w:tcPr>
            <w:tcW w:type="dxa" w:w="4238"/>
          </w:tcPr>
          <w:p>
            <w:r>
              <w:rPr/>
              <w:t>投标（报价）总金额是固定价且是唯一的，未超过本项目采购预算。</w:t>
            </w:r>
          </w:p>
        </w:tc>
      </w:tr>
      <w:tr>
        <w:tc>
          <w:tcPr>
            <w:tcW w:type="dxa" w:w="890"/>
          </w:tcPr>
          <w:p>
            <w:r>
              <w:rPr/>
              <w:t>2</w:t>
            </w:r>
          </w:p>
        </w:tc>
        <w:tc>
          <w:tcPr>
            <w:tcW w:type="dxa" w:w="3178"/>
          </w:tcPr>
          <w:p>
            <w:r>
              <w:rPr/>
              <w:t>提交投标函。投标文件完整且编排有序，投标内容基本完整，无重大错漏，并按要求签署、盖章。</w:t>
            </w:r>
          </w:p>
        </w:tc>
        <w:tc>
          <w:tcPr>
            <w:tcW w:type="dxa" w:w="4238"/>
          </w:tcPr>
          <w:p>
            <w:r>
              <w:rPr/>
              <w:t>提交投标函。投标文件完整且编排有序，投标内容基本完整，无重大错漏，并按要求签署、盖章。</w:t>
            </w:r>
          </w:p>
        </w:tc>
      </w:tr>
      <w:tr>
        <w:tc>
          <w:tcPr>
            <w:tcW w:type="dxa" w:w="890"/>
          </w:tcPr>
          <w:p>
            <w:r>
              <w:rPr/>
              <w:t>3</w:t>
            </w:r>
          </w:p>
        </w:tc>
        <w:tc>
          <w:tcPr>
            <w:tcW w:type="dxa" w:w="3178"/>
          </w:tcPr>
          <w:p>
            <w:r>
              <w:rPr/>
              <w:t>法定代表人/负责人资格证明书及授权委托书，按对应格式文件签署、盖章(原件)。</w:t>
            </w:r>
          </w:p>
        </w:tc>
        <w:tc>
          <w:tcPr>
            <w:tcW w:type="dxa" w:w="4238"/>
          </w:tcPr>
          <w:p>
            <w:r>
              <w:rPr/>
              <w:t>法定代表人/负责人资格证明书及授权委托书，按对应格式文件签署、盖章(原件)。</w:t>
            </w:r>
          </w:p>
        </w:tc>
      </w:tr>
      <w:tr>
        <w:tc>
          <w:tcPr>
            <w:tcW w:type="dxa" w:w="890"/>
          </w:tcPr>
          <w:p>
            <w:r>
              <w:rPr/>
              <w:t>4</w:t>
            </w:r>
          </w:p>
        </w:tc>
        <w:tc>
          <w:tcPr>
            <w:tcW w:type="dxa" w:w="3178"/>
          </w:tcPr>
          <w:p>
            <w:r>
              <w:rPr/>
              <w:t>满足招标文件要求。</w:t>
            </w:r>
          </w:p>
        </w:tc>
        <w:tc>
          <w:tcPr>
            <w:tcW w:type="dxa" w:w="4238"/>
          </w:tcPr>
          <w:p>
            <w:r>
              <w:rPr/>
              <w:t>满足招标文件要求。</w:t>
            </w:r>
          </w:p>
        </w:tc>
      </w:tr>
      <w:tr>
        <w:tc>
          <w:tcPr>
            <w:tcW w:type="dxa" w:w="890"/>
          </w:tcPr>
          <w:p>
            <w:r>
              <w:rPr/>
              <w:t>5</w:t>
            </w:r>
          </w:p>
        </w:tc>
        <w:tc>
          <w:tcPr>
            <w:tcW w:type="dxa" w:w="3178"/>
          </w:tcPr>
          <w:p>
            <w:r>
              <w:rPr/>
              <w:t>投标文件有效期为投标截止日起至少90天。</w:t>
            </w:r>
          </w:p>
        </w:tc>
        <w:tc>
          <w:tcPr>
            <w:tcW w:type="dxa" w:w="4238"/>
          </w:tcPr>
          <w:p>
            <w:r>
              <w:rPr/>
              <w:t>投标文件有效期为投标截止日起至少90天。</w:t>
            </w:r>
          </w:p>
        </w:tc>
      </w:tr>
      <w:tr>
        <w:tc>
          <w:tcPr>
            <w:tcW w:type="dxa" w:w="890"/>
          </w:tcPr>
          <w:p>
            <w:r>
              <w:rPr/>
              <w:t>6</w:t>
            </w:r>
          </w:p>
        </w:tc>
        <w:tc>
          <w:tcPr>
            <w:tcW w:type="dxa" w:w="3178"/>
          </w:tcPr>
          <w:p>
            <w:r>
              <w:rPr/>
              <w:t>如出现投标报价错误的处理原则修正后的报价,投标人按规定书面确认。</w:t>
            </w:r>
          </w:p>
        </w:tc>
        <w:tc>
          <w:tcPr>
            <w:tcW w:type="dxa" w:w="4238"/>
          </w:tcPr>
          <w:p>
            <w:r>
              <w:rPr/>
              <w:t>如出现投标报价错误的处理原则修正后的报价,投标人按规定书面确认。</w:t>
            </w:r>
          </w:p>
        </w:tc>
      </w:tr>
      <w:tr>
        <w:tc>
          <w:tcPr>
            <w:tcW w:type="dxa" w:w="890"/>
          </w:tcPr>
          <w:p>
            <w:r>
              <w:rPr/>
              <w:t>7</w:t>
            </w:r>
          </w:p>
        </w:tc>
        <w:tc>
          <w:tcPr>
            <w:tcW w:type="dxa" w:w="3178"/>
          </w:tcPr>
          <w:p>
            <w:r>
              <w:rPr/>
              <w:t>未出现视为投标人串标投标所列的情形。</w:t>
            </w:r>
          </w:p>
        </w:tc>
        <w:tc>
          <w:tcPr>
            <w:tcW w:type="dxa" w:w="4238"/>
          </w:tcPr>
          <w:p>
            <w:r>
              <w:rPr/>
              <w:t>未出现视为投标人串标投标所列的情形。</w:t>
            </w:r>
          </w:p>
        </w:tc>
      </w:tr>
      <w:tr>
        <w:tc>
          <w:tcPr>
            <w:tcW w:type="dxa" w:w="890"/>
          </w:tcPr>
          <w:p>
            <w:r>
              <w:rPr/>
              <w:t>8</w:t>
            </w:r>
          </w:p>
        </w:tc>
        <w:tc>
          <w:tcPr>
            <w:tcW w:type="dxa" w:w="3178"/>
          </w:tcPr>
          <w:p>
            <w:r>
              <w:rPr/>
              <w:t>投标文件未含有采购人不可接受的附加条件。</w:t>
            </w:r>
          </w:p>
        </w:tc>
        <w:tc>
          <w:tcPr>
            <w:tcW w:type="dxa" w:w="4238"/>
          </w:tcPr>
          <w:p>
            <w:r>
              <w:rPr/>
              <w:t>投标文件未含有采购人不可接受的附加条件。</w:t>
            </w:r>
          </w:p>
        </w:tc>
      </w:tr>
      <w:tr>
        <w:tc>
          <w:tcPr>
            <w:tcW w:type="dxa" w:w="890"/>
          </w:tcPr>
          <w:p>
            <w:r>
              <w:rPr/>
              <w:t>9</w:t>
            </w:r>
          </w:p>
        </w:tc>
        <w:tc>
          <w:tcPr>
            <w:tcW w:type="dxa" w:w="3178"/>
          </w:tcPr>
          <w:p>
            <w:r>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tc>
        <w:tc>
          <w:tcPr>
            <w:tcW w:type="dxa" w:w="4238"/>
          </w:tcPr>
          <w:p>
            <w:r>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tc>
      </w:tr>
      <w:tr>
        <w:tc>
          <w:tcPr>
            <w:tcW w:type="dxa" w:w="890"/>
          </w:tcPr>
          <w:p>
            <w:r>
              <w:rPr/>
              <w:t>10</w:t>
            </w:r>
          </w:p>
        </w:tc>
        <w:tc>
          <w:tcPr>
            <w:tcW w:type="dxa" w:w="3178"/>
          </w:tcPr>
          <w:p>
            <w:r>
              <w:rPr/>
              <w:t>标有“★”条款要求必须满足，不符合标有“★”条款投标被否决。</w:t>
            </w:r>
          </w:p>
        </w:tc>
        <w:tc>
          <w:tcPr>
            <w:tcW w:type="dxa" w:w="4238"/>
          </w:tcPr>
          <w:p>
            <w:r>
              <w:rPr/>
              <w:t>标有“★”条款要求必须满足，不符合标有“★”条款投标被否决。</w:t>
            </w:r>
          </w:p>
        </w:tc>
      </w:tr>
    </w:tbl>
    <w:p/>
    <w:p>
      <w:r>
        <w:rPr>
          <w:b/>
          <w:sz w:val="24"/>
        </w:rPr>
        <w:t>2.投标文件澄清</w:t>
      </w:r>
    </w:p>
    <w:p>
      <w:pPr>
        <w:ind w:firstLine="480"/>
      </w:pPr>
      <w:r>
        <w:rP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pPr>
        <w:ind w:firstLine="480"/>
      </w:pPr>
      <w:r>
        <w:rPr/>
        <w:t>投标人需登录广东政府采购智慧云平台项目采购系统的等候大厅，在规定时间内完成澄清（响应），并加盖电子印章。</w:t>
      </w:r>
    </w:p>
    <w:p>
      <w:pPr>
        <w:ind w:firstLine="480"/>
      </w:pPr>
      <w:r>
        <w:rP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rPr/>
        <w:t>2.2评标委员会不接受投标人主动提出的澄清、说明或补正。</w:t>
      </w:r>
    </w:p>
    <w:p>
      <w:pPr>
        <w:ind w:firstLine="480"/>
      </w:pPr>
      <w:r>
        <w:rPr/>
        <w:t>2.3评标委员会对投标人提交的澄清、说明或补正有疑问的，可以要求投标人进一步澄清、说明或补正。</w:t>
      </w:r>
    </w:p>
    <w:p>
      <w:r>
        <w:rPr>
          <w:b/>
          <w:sz w:val="24"/>
        </w:rPr>
        <w:t>3.详细评审</w:t>
      </w:r>
    </w:p>
    <w:p>
      <w:pPr>
        <w:ind w:firstLine="480"/>
      </w:pPr>
    </w:p>
    <w:p/>
    <w:p/>
    <w:p>
      <w:r>
        <w:rPr/>
        <w:t>采购包1(柯灯山水厂取水口迁移工程辅助管理服务):</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商务部分30.0分</w:t>
            </w:r>
          </w:p>
          <w:p>
            <w:r>
              <w:rPr/>
              <w:t>技术部分60.0分</w:t>
            </w:r>
          </w:p>
          <w:p>
            <w:r>
              <w:rPr/>
              <w:t>报价得分10.0分</w:t>
            </w:r>
          </w:p>
        </w:tc>
      </w:tr>
      <w:tr>
        <w:tc>
          <w:tcPr>
            <w:tcW w:type="dxa" w:w="922"/>
            <w:gridSpan w:val="2"/>
            <w:vMerge w:val="restart"/>
          </w:tcPr>
          <w:p>
            <w:pPr>
              <w:jc w:val="center"/>
            </w:pPr>
            <w:r>
              <w:rPr/>
              <w:t>技术部分</w:t>
            </w:r>
          </w:p>
        </w:tc>
        <w:tc>
          <w:tcPr>
            <w:tcW w:type="dxa" w:w="2307"/>
          </w:tcPr>
          <w:p>
            <w:pPr>
              <w:jc w:val="left"/>
            </w:pPr>
            <w:r>
              <w:rPr/>
              <w:t>整体实施方案 (15.0分)</w:t>
            </w:r>
          </w:p>
        </w:tc>
        <w:tc>
          <w:tcPr>
            <w:tcW w:type="dxa" w:w="5076"/>
          </w:tcPr>
          <w:p>
            <w:pPr>
              <w:jc w:val="left"/>
            </w:pPr>
            <w:r>
              <w:rPr/>
              <w:t>根据投标供应商针对本项目的整体实施方案（包括但不限于服务目标、服务内容、管理流程、总体服务流程等内容）进行评审： 1.整体实施方案内容贴合且优于采购人需求要求，服务目标、管理流程能够充分考虑到本项目实际的操作情况，总体服务流程清晰，内容详尽有针对性，完全能有效保障项目顺利实施：15分； 2.整体实施方案内容贴合采购人需求，服务目标、管理流程基本能够考虑到本项目实际的操作情况，但总体服务流程部分内容不够清晰，总体能够保障项目实施：10分； 3.整体实施方案内容不太贴合采购人需求，服务目标、管理流程对本项目实际的操作情况考虑不全，总体服务流程模糊，仅有部分内容能保障项目实施：5分； 4.整体实施方案内容不贴合采购人需求，服务目标、管理流程未能考虑到本项目实际的操作情况，总体服务流程模糊且有欠缺，内容无有针对性，无法有效保障项目实施：1分； 5.其他或无提供不得分。</w:t>
            </w:r>
          </w:p>
        </w:tc>
      </w:tr>
      <w:tr>
        <w:tc>
          <w:tcPr>
            <w:tcW w:type="dxa" w:w="922"/>
            <w:gridSpan w:val="2"/>
            <w:vMerge/>
          </w:tcPr>
          <w:p/>
        </w:tc>
        <w:tc>
          <w:tcPr>
            <w:tcW w:type="dxa" w:w="2307"/>
          </w:tcPr>
          <w:p>
            <w:pPr>
              <w:jc w:val="left"/>
            </w:pPr>
            <w:r>
              <w:rPr/>
              <w:t>机构设立、运作流程、管理计划方案 (10.0分)</w:t>
            </w:r>
          </w:p>
        </w:tc>
        <w:tc>
          <w:tcPr>
            <w:tcW w:type="dxa" w:w="5076"/>
          </w:tcPr>
          <w:p>
            <w:pPr>
              <w:jc w:val="left"/>
            </w:pPr>
            <w:r>
              <w:rPr/>
              <w:t>根据投标供应商针对整体项目提供机构设立、运作流程、管理计划、管理模式等进行评审： 1.组织机构设立合理，运作流程清晰，管理计划及模式清晰且符合项目需求，有操作性，具有完整人员管理、岗位责任等各项制度，得10分； 2.组织机构设立部分不合理，运作流程部分不清晰，管理计划及模式部分不清晰，部分内容不具备操作性，但具有基本的人员管理及岗位责任等各项制度的，得6分； 3.组织机构设立不合理，运作流程不清晰，管理计划及模式不清晰，内容不具备操作性，没有基本的人员管理及岗位责任等各项制度的，得2分； 4. 其他或无提供不得分。</w:t>
            </w:r>
          </w:p>
        </w:tc>
      </w:tr>
      <w:tr>
        <w:tc>
          <w:tcPr>
            <w:tcW w:type="dxa" w:w="922"/>
            <w:gridSpan w:val="2"/>
            <w:vMerge/>
          </w:tcPr>
          <w:p/>
        </w:tc>
        <w:tc>
          <w:tcPr>
            <w:tcW w:type="dxa" w:w="2307"/>
          </w:tcPr>
          <w:p>
            <w:pPr>
              <w:jc w:val="left"/>
            </w:pPr>
            <w:r>
              <w:rPr/>
              <w:t>服务专业水平 (10.0分)</w:t>
            </w:r>
          </w:p>
        </w:tc>
        <w:tc>
          <w:tcPr>
            <w:tcW w:type="dxa" w:w="5076"/>
          </w:tcPr>
          <w:p>
            <w:pPr>
              <w:jc w:val="left"/>
            </w:pPr>
            <w:r>
              <w:rPr/>
              <w:t>根据各投标供应商提供的服务专业水平（包括但不限于拟派人员选拔流程、监管流程及岗前培训；在岗培训；考勤；定期考核保障措施等）进行评审： 1.对本项目服务人员选拔及监管流程，岗前培训、在岗培训、考勤、定期考核管理的内容，能够针对本项目的具体服务内容和要求，流程清晰详尽，符合本项目服务需要：得10分； 2.对本项目的服务人员选拔及监管流程，岗前培训、在岗培训、考勤、定期考核管理的内容，部分能够针对本项目的具体服务内容和要求，流程部分不清晰，基本符合本项目服务需要：6分； 3.对本项目的服务人员选拔及监管流程，岗前培训、在岗培训、考勤、定期考核管理的内容，未能针对本项目的具体服务内容和要求，流程不清晰，不符合本项目服务需要：2分； 4.其他或无提供不得分。</w:t>
            </w:r>
          </w:p>
        </w:tc>
      </w:tr>
      <w:tr>
        <w:tc>
          <w:tcPr>
            <w:tcW w:type="dxa" w:w="922"/>
            <w:gridSpan w:val="2"/>
            <w:vMerge/>
          </w:tcPr>
          <w:p/>
        </w:tc>
        <w:tc>
          <w:tcPr>
            <w:tcW w:type="dxa" w:w="2307"/>
          </w:tcPr>
          <w:p>
            <w:pPr>
              <w:jc w:val="left"/>
            </w:pPr>
            <w:r>
              <w:rPr/>
              <w:t>质量保证措施 (10.0分)</w:t>
            </w:r>
          </w:p>
        </w:tc>
        <w:tc>
          <w:tcPr>
            <w:tcW w:type="dxa" w:w="5076"/>
          </w:tcPr>
          <w:p>
            <w:pPr>
              <w:jc w:val="left"/>
            </w:pPr>
            <w:r>
              <w:rPr/>
              <w:t>根据供应商针对本项目质量保障措施及方案（包括不限于质量保证目标、质量保证规范、质量保证考核、档案资料管理、服务人员劳动纠纷、福利待遇等情况）进行评审： 1.提供的质量保证目标明确，质量保证规范详细完善，质量保证考核全面、档案资料管理完善合理，劳动关系处理流程和相关措施清晰，福利待遇明细清晰，符合国家相关法规要求，符合本项目实际需求且部分优于需求，能有效确保项目的顺利实施：10分； 2.提供的质量保证目标基本明确，质量保证规范基本详细完善，质量保证考核基本全面、档案资料管理基本完善合理，劳动关系处理流程和相关措施部分不清晰，福利待遇不清晰，符合国家相关法规要求，部分不符合本项目实际需求，部分能有效确保项目的顺利实施：6分； 3.提供的质量保证目标不够明确，质量保证规范不够详细完善，质量保证考核不全面、档案资料管理不完善合理，劳动关系处理流程和相关措施不清晰，福利待遇不清晰，符合国家相关法规要求，部分不符合本项目实际需求，不能有效确保项目的顺利实施：2分； 4.其他或无提供不得分。</w:t>
            </w:r>
          </w:p>
        </w:tc>
      </w:tr>
      <w:tr>
        <w:tc>
          <w:tcPr>
            <w:tcW w:type="dxa" w:w="922"/>
            <w:gridSpan w:val="2"/>
            <w:vMerge/>
          </w:tcPr>
          <w:p/>
        </w:tc>
        <w:tc>
          <w:tcPr>
            <w:tcW w:type="dxa" w:w="2307"/>
          </w:tcPr>
          <w:p>
            <w:pPr>
              <w:jc w:val="left"/>
            </w:pPr>
            <w:r>
              <w:rPr/>
              <w:t>应急处理方案 (15.0分)</w:t>
            </w:r>
          </w:p>
        </w:tc>
        <w:tc>
          <w:tcPr>
            <w:tcW w:type="dxa" w:w="5076"/>
          </w:tcPr>
          <w:p>
            <w:pPr>
              <w:jc w:val="left"/>
            </w:pPr>
            <w:r>
              <w:rPr/>
              <w:t>根据供应商针对整体项目提供应急处理方案（包括不限于人员补给；人员调配方案及流程；突发事件应急处理流程等）进行评审： 1.对服务过程中可能出现的突发情况有非常全面的认识并能针对突发情况拟定完善的解决方案，且供应商具有服务人员调配库，能够在本项目服务人员出现缺岗的情况下，及时响应并安排人员补充到岗，确保工作正常运转，对突发事件应急事件有详细的处理步骤及流程，方案内容能完全贴切且部分优于需求，能有效确保项目的顺利实施：得15分； 2.对服务过程中可能出现的突发情况基本了解，但供应商具有服务人员调配库，能够在本项目服务人员出现缺岗的情况下，响应并安排人员补充到岗，基本确保工作正常运转，对应急突发事件处理有相关的处理步骤及流程，方案内容部分基本贴切本项目实际需求，基本能有效确保项目的顺利实施：得10分； 3.对服务过程中可能出现的突发情况了解一般，但供应商具有服务人员调配库，能够在本项目服务人员出现缺岗的情况下，响应并安排人员补充到岗，基本确保工作正常运转，对应急突发事件处理有相关的处理步骤及流程，方案内容部分不能贴切本项目实际需求，基本能有效确保项目的顺利实施：得5分； 4.对服务过程中可能出现的突发情况不了解，不具备服务人员调配库，在本项目服务人员出现缺岗的情况下，无法安排人员补充到岗，无法确保工作正常运转，对应急突发事件处理有相关的处理步骤及流程，但方案内容不贴切本项目实际需求，无法有效确保项目的顺利实施：得1分； 5.其他或无提供不得分。</w:t>
            </w:r>
          </w:p>
        </w:tc>
      </w:tr>
      <w:tr>
        <w:tc>
          <w:tcPr>
            <w:tcW w:type="dxa" w:w="922"/>
            <w:gridSpan w:val="2"/>
            <w:vMerge w:val="restart"/>
          </w:tcPr>
          <w:p>
            <w:pPr>
              <w:jc w:val="center"/>
            </w:pPr>
            <w:r>
              <w:rPr/>
              <w:t>商务部分</w:t>
            </w:r>
          </w:p>
        </w:tc>
        <w:tc>
          <w:tcPr>
            <w:tcW w:type="dxa" w:w="2307"/>
          </w:tcPr>
          <w:p>
            <w:pPr>
              <w:jc w:val="left"/>
            </w:pPr>
            <w:r>
              <w:rPr/>
              <w:t>同类项目经验 (6.0分)</w:t>
            </w:r>
          </w:p>
        </w:tc>
        <w:tc>
          <w:tcPr>
            <w:tcW w:type="dxa" w:w="5076"/>
          </w:tcPr>
          <w:p>
            <w:pPr>
              <w:jc w:val="left"/>
            </w:pPr>
            <w:r>
              <w:rPr/>
              <w:t>供应商自2020年1月1日至今正在服务或已完成的同类项目业绩（包括但不限于服务外包等）：每提供一项得2分，最高得6分；无或其他不得分。 【注：提供合同关键页（包括签约日期、双方盖章页）复印件。上述证明材料均需加盖公章，业绩时间以合同签订时间为准。无或未按要求提供证明材料的或提供资料不齐全的或无法认定的不得分。】</w:t>
            </w:r>
          </w:p>
        </w:tc>
      </w:tr>
      <w:tr>
        <w:tc>
          <w:tcPr>
            <w:tcW w:type="dxa" w:w="922"/>
            <w:gridSpan w:val="2"/>
            <w:vMerge/>
          </w:tcPr>
          <w:p/>
        </w:tc>
        <w:tc>
          <w:tcPr>
            <w:tcW w:type="dxa" w:w="2307"/>
          </w:tcPr>
          <w:p>
            <w:pPr>
              <w:jc w:val="left"/>
            </w:pPr>
            <w:r>
              <w:rPr/>
              <w:t>管理体系认证情况 (10.0分)</w:t>
            </w:r>
          </w:p>
        </w:tc>
        <w:tc>
          <w:tcPr>
            <w:tcW w:type="dxa" w:w="5076"/>
          </w:tcPr>
          <w:p>
            <w:pPr>
              <w:jc w:val="left"/>
            </w:pPr>
            <w:r>
              <w:rPr/>
              <w:t>供应商具有有效期内的质量管理体系认证、环境管理体系认证、职业健康安全管理体系认证、诚信管理体系认证证书、企业创新能力评价认证证书的，每提供一项得2分，本项最高得10分。 （注：须提供有效的证书复印件和中国国家认证认可监督管理委员会查询网页（http://www.cnca.gov.cn/）打印件并加盖公章，无或未按要求提供证明材料的或提供资料不齐全的或无法认定的不得分。）</w:t>
            </w:r>
          </w:p>
        </w:tc>
      </w:tr>
      <w:tr>
        <w:tc>
          <w:tcPr>
            <w:tcW w:type="dxa" w:w="922"/>
            <w:gridSpan w:val="2"/>
            <w:vMerge/>
          </w:tcPr>
          <w:p/>
        </w:tc>
        <w:tc>
          <w:tcPr>
            <w:tcW w:type="dxa" w:w="2307"/>
          </w:tcPr>
          <w:p>
            <w:pPr>
              <w:jc w:val="left"/>
            </w:pPr>
            <w:r>
              <w:rPr/>
              <w:t>拟派项目负责人员情况 (6.0分)</w:t>
            </w:r>
          </w:p>
        </w:tc>
        <w:tc>
          <w:tcPr>
            <w:tcW w:type="dxa" w:w="5076"/>
          </w:tcPr>
          <w:p>
            <w:pPr>
              <w:jc w:val="left"/>
            </w:pPr>
            <w:r>
              <w:rPr/>
              <w:t>响应供应商拟派本项目负责人员资历情况， 1）具有本科或以上学历得3分，其他不得分。 2）具有企业人力资源管理师二级或以上资格证得3分，其他不得分。 （注：提供上述人员有效的职业资格证书复印件或扫描件及加盖政府有关部门印章的打印日期在本项目投标截止日前3个月内任意一个月的《投保单》或《参保证明》或单位代缴个人所得税税单扫描件并加盖公章。无或未按要求提供证明材料的或提供资料不齐全的或无法认定的不得分。）</w:t>
            </w:r>
          </w:p>
        </w:tc>
      </w:tr>
      <w:tr>
        <w:tc>
          <w:tcPr>
            <w:tcW w:type="dxa" w:w="922"/>
            <w:gridSpan w:val="2"/>
            <w:vMerge/>
          </w:tcPr>
          <w:p/>
        </w:tc>
        <w:tc>
          <w:tcPr>
            <w:tcW w:type="dxa" w:w="2307"/>
          </w:tcPr>
          <w:p>
            <w:pPr>
              <w:jc w:val="left"/>
            </w:pPr>
            <w:r>
              <w:rPr/>
              <w:t>项目团队资历情况 (8.0分)</w:t>
            </w:r>
          </w:p>
        </w:tc>
        <w:tc>
          <w:tcPr>
            <w:tcW w:type="dxa" w:w="5076"/>
          </w:tcPr>
          <w:p>
            <w:pPr>
              <w:jc w:val="left"/>
            </w:pPr>
            <w:r>
              <w:rPr/>
              <w:t>拟投入本项目的服务人员资历情况： 具有本科或以上学历且具有企业人力资源管理师证书的，每人得4分； 此项合计最高得8分，无或其他不得分。 （注：提供上述人员有效的职业资格证书复印件或扫描件及加盖政府有关部门印章的打印日期在本项目投标截止日前3个月内任意一个月的《投保单》或《参保证明》或单位代缴个人所得税税单扫描件并加盖公章。无或未按要求提供证明材料的或提供资料不齐全的或无法认定的不得分。）</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4.汇总、排序</w:t>
      </w:r>
    </w:p>
    <w:p>
      <w:pPr>
        <w:ind w:firstLine="480"/>
      </w:pPr>
    </w:p>
    <w:p/>
    <w:p>
      <w:r>
        <w:rPr/>
        <w:t>采购包1：</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rPr/>
        <w:t>除了按第四章第一点第7条修正并经投标人确认的投标报价作为中标价外，中标价以开标时公开唱标价为准。</w:t>
      </w:r>
    </w:p>
    <w:p>
      <w:r>
        <w:rPr>
          <w:b/>
          <w:sz w:val="24"/>
        </w:rPr>
        <w:t>6.其他无效投标的情形：</w:t>
      </w:r>
    </w:p>
    <w:p>
      <w:pPr>
        <w:ind w:firstLine="480"/>
      </w:pPr>
      <w:r>
        <w:rPr/>
        <w:t>(1)评标期间，投标人没有按评标委员会的要求提交法定代表人或其委托代理人签字的澄清、说明、补正或改变了投标文件的实质性内容的。</w:t>
      </w:r>
    </w:p>
    <w:p>
      <w:pPr>
        <w:ind w:firstLine="480"/>
      </w:pPr>
      <w:r>
        <w:rPr/>
        <w:t>(2)投标文件提供虚假材料的。</w:t>
      </w:r>
    </w:p>
    <w:p>
      <w:pPr>
        <w:ind w:firstLine="480"/>
      </w:pPr>
      <w:r>
        <w:rPr/>
        <w:t>(3)投标人以他人名义投标、串通投标、以行贿手段谋取中标或者以其他弄虚作假方式投标的。</w:t>
      </w:r>
    </w:p>
    <w:p>
      <w:pPr>
        <w:ind w:firstLine="480"/>
      </w:pPr>
      <w:r>
        <w:rPr/>
        <w:t>(4)投标人对采购人、采购代理机构、评标委员会及其工作人员施加影响，有碍招标公平、公正的。</w:t>
      </w:r>
    </w:p>
    <w:p>
      <w:pPr>
        <w:ind w:firstLine="480"/>
      </w:pPr>
      <w:r>
        <w:rPr/>
        <w:t>(5)投标文件含有采购人不能接受的附加条件的。</w:t>
      </w:r>
    </w:p>
    <w:p>
      <w:pPr>
        <w:ind w:firstLine="480"/>
      </w:pPr>
      <w:r>
        <w:rPr/>
        <w:t>(6)法律、法规和招标文件规定的其他无效情形。</w:t>
      </w:r>
    </w:p>
    <w:p>
      <w:pPr>
        <w:ind w:firstLine="480"/>
      </w:pPr>
    </w:p>
    <w:p>
      <w:r>
        <w:rPr/>
        <w:t xml:space="preserve"> </w:t>
      </w:r>
    </w:p>
    <w:p/>
    <w:p>
      <w:pPr>
        <w:jc w:val="center"/>
      </w:pPr>
      <w:r>
        <w:rPr>
          <w:b/>
          <w:sz w:val="36"/>
        </w:rPr>
        <w:t>第五章 合同文本</w:t>
      </w:r>
    </w:p>
    <w:p>
      <w:pPr>
        <w:ind w:firstLine="480"/>
      </w:pPr>
    </w:p>
    <w:p/>
    <w:p/>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广东省政府采购</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b/>
          <w:color w:val="222222"/>
          <w:sz w:val="48"/>
        </w:rPr>
        <w:t>合　同　书</w:t>
      </w:r>
    </w:p>
    <w:p>
      <w:pPr>
        <w:shd w:fill="FFFFFF"/>
        <w:jc w:val="center"/>
      </w:pPr>
      <w:r>
        <w:br/>
      </w:r>
      <w:r>
        <w:br/>
      </w:r>
      <w:r>
        <w:br/>
      </w:r>
      <w:r>
        <w:br/>
      </w:r>
      <w:r>
        <w:br/>
      </w:r>
      <w:r>
        <w:br/>
      </w:r>
      <w:r>
        <w:br/>
      </w:r>
      <w:r>
        <w:br/>
      </w: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采购计划编号：</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项目编号：</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项目名称：</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jc w:val="both"/>
      </w:pPr>
      <w:r>
        <w:br/>
      </w: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甲方：</w:t>
      </w:r>
      <w:r>
        <w:rPr>
          <w:rFonts w:ascii="宋体" w:hAnsi="宋体" w:cs="宋体" w:eastAsia="宋体"/>
          <w:b/>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color w:val="222222"/>
          <w:sz w:val="27"/>
        </w:rPr>
        <w:t>电话：</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传真</w:t>
      </w:r>
      <w:r>
        <w:rPr>
          <w:rFonts w:ascii="宋体" w:hAnsi="宋体" w:cs="宋体" w:eastAsia="宋体"/>
          <w:color w:val="222222"/>
          <w:sz w:val="27"/>
        </w:rPr>
        <w:t xml:space="preserve"> </w:t>
      </w:r>
      <w:r>
        <w:rPr>
          <w:rFonts w:ascii="宋体" w:hAnsi="宋体" w:cs="宋体" w:eastAsia="宋体"/>
          <w:color w:val="222222"/>
          <w:sz w:val="27"/>
        </w:rPr>
        <w:t>：</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地址：</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b/>
          <w:color w:val="222222"/>
          <w:sz w:val="27"/>
        </w:rPr>
        <w:t>乙方：</w:t>
      </w:r>
      <w:r>
        <w:rPr>
          <w:rFonts w:ascii="宋体" w:hAnsi="宋体" w:cs="宋体" w:eastAsia="宋体"/>
          <w:b/>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color w:val="222222"/>
          <w:sz w:val="27"/>
        </w:rPr>
        <w:t>电话：</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传真：</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地址：</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both"/>
      </w:pP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根据</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项目</w:t>
      </w:r>
      <w:r>
        <w:rPr>
          <w:rFonts w:ascii="宋体" w:hAnsi="宋体" w:cs="宋体" w:eastAsia="宋体"/>
          <w:color w:val="222222"/>
          <w:sz w:val="27"/>
        </w:rPr>
        <w:t xml:space="preserve"> </w:t>
      </w:r>
      <w:r>
        <w:rPr>
          <w:rFonts w:ascii="宋体" w:hAnsi="宋体" w:cs="宋体" w:eastAsia="宋体"/>
          <w:color w:val="222222"/>
          <w:sz w:val="27"/>
        </w:rPr>
        <w:t>的采购结果，按照《中华人民共和国政府采购法》，《</w:t>
      </w:r>
      <w:r>
        <w:rPr>
          <w:rFonts w:ascii="宋体" w:hAnsi="宋体" w:cs="宋体" w:eastAsia="宋体"/>
          <w:color w:val="222222"/>
          <w:sz w:val="27"/>
        </w:rPr>
        <w:t>中华人民共和国民法典(合同编)</w:t>
      </w:r>
      <w:r>
        <w:rPr>
          <w:rFonts w:ascii="宋体" w:hAnsi="宋体" w:cs="宋体" w:eastAsia="宋体"/>
          <w:color w:val="222222"/>
          <w:sz w:val="27"/>
        </w:rPr>
        <w:t>》的规定，经双方协商，本着平等互利和诚实信用的原则，一致同意遵守本合同如下。</w:t>
      </w:r>
    </w:p>
    <w:p>
      <w:pPr>
        <w:shd w:fill="FFFFFF"/>
        <w:jc w:val="both"/>
      </w:pPr>
      <w:r>
        <w:rPr>
          <w:rFonts w:ascii="宋体" w:hAnsi="宋体" w:cs="宋体" w:eastAsia="宋体"/>
          <w:b/>
          <w:color w:val="222222"/>
          <w:sz w:val="27"/>
        </w:rPr>
        <w:t>一、合同金额</w:t>
      </w:r>
    </w:p>
    <w:p>
      <w:pPr>
        <w:shd w:fill="FFFFFF"/>
        <w:jc w:val="both"/>
      </w:pPr>
      <w:r>
        <w:rPr>
          <w:rFonts w:ascii="宋体" w:hAnsi="宋体" w:cs="宋体" w:eastAsia="宋体"/>
          <w:color w:val="222222"/>
          <w:sz w:val="27"/>
        </w:rPr>
        <w:t>　　合同金额为（大写）：_____________元（￥_________元）人民币。</w:t>
      </w:r>
    </w:p>
    <w:p>
      <w:pPr>
        <w:shd w:fill="FFFFFF"/>
        <w:jc w:val="both"/>
      </w:pPr>
      <w:r>
        <w:rPr>
          <w:rFonts w:ascii="宋体" w:hAnsi="宋体" w:cs="宋体" w:eastAsia="宋体"/>
          <w:b/>
          <w:color w:val="222222"/>
          <w:sz w:val="27"/>
        </w:rPr>
        <w:t>二、服务范围</w:t>
      </w:r>
    </w:p>
    <w:p>
      <w:pPr>
        <w:shd w:fill="FFFFFF"/>
        <w:jc w:val="both"/>
      </w:pPr>
      <w:r>
        <w:rPr>
          <w:rFonts w:ascii="宋体" w:hAnsi="宋体" w:cs="宋体" w:eastAsia="宋体"/>
          <w:color w:val="222222"/>
          <w:sz w:val="27"/>
        </w:rPr>
        <w:t>　　甲方聘请乙方提供以下服务：</w:t>
      </w:r>
    </w:p>
    <w:p>
      <w:pPr>
        <w:shd w:fill="FFFFFF"/>
        <w:jc w:val="both"/>
      </w:pPr>
      <w:r>
        <w:rPr>
          <w:rFonts w:ascii="宋体" w:hAnsi="宋体" w:cs="宋体" w:eastAsia="宋体"/>
          <w:color w:val="222222"/>
          <w:sz w:val="27"/>
        </w:rPr>
        <w:t>　　1．</w:t>
      </w:r>
      <w:r>
        <w:rPr>
          <w:rFonts w:ascii="宋体" w:hAnsi="宋体" w:cs="宋体" w:eastAsia="宋体"/>
          <w:color w:val="222222"/>
          <w:sz w:val="27"/>
        </w:rPr>
        <w:t>　　　　　　　　　　　</w:t>
      </w:r>
      <w:r>
        <w:rPr>
          <w:rFonts w:ascii="宋体" w:hAnsi="宋体" w:cs="宋体" w:eastAsia="宋体"/>
          <w:color w:val="222222"/>
          <w:sz w:val="27"/>
        </w:rPr>
        <w:t>。</w:t>
      </w:r>
    </w:p>
    <w:p>
      <w:pPr>
        <w:shd w:fill="FFFFFF"/>
        <w:jc w:val="both"/>
      </w:pPr>
      <w:r>
        <w:rPr>
          <w:rFonts w:ascii="宋体" w:hAnsi="宋体" w:cs="宋体" w:eastAsia="宋体"/>
          <w:color w:val="222222"/>
          <w:sz w:val="27"/>
        </w:rPr>
        <w:t>　　2．</w:t>
      </w:r>
      <w:r>
        <w:rPr>
          <w:rFonts w:ascii="宋体" w:hAnsi="宋体" w:cs="宋体" w:eastAsia="宋体"/>
          <w:color w:val="222222"/>
          <w:sz w:val="27"/>
        </w:rPr>
        <w:t>　　　　　　　　　　　</w:t>
      </w:r>
    </w:p>
    <w:p>
      <w:pPr>
        <w:shd w:fill="FFFFFF"/>
        <w:jc w:val="both"/>
      </w:pPr>
      <w:r>
        <w:rPr>
          <w:rFonts w:ascii="宋体" w:hAnsi="宋体" w:cs="宋体" w:eastAsia="宋体"/>
          <w:color w:val="222222"/>
          <w:sz w:val="27"/>
        </w:rPr>
        <w:t>……</w:t>
      </w:r>
    </w:p>
    <w:p>
      <w:pPr>
        <w:shd w:fill="FFFFFF"/>
        <w:jc w:val="both"/>
      </w:pPr>
      <w:r>
        <w:rPr>
          <w:rFonts w:ascii="宋体" w:hAnsi="宋体" w:cs="宋体" w:eastAsia="宋体"/>
          <w:b/>
          <w:color w:val="222222"/>
          <w:sz w:val="27"/>
        </w:rPr>
        <w:t>三、甲方乙方的权利和义务</w:t>
      </w:r>
    </w:p>
    <w:p>
      <w:pPr>
        <w:shd w:fill="FFFFFF"/>
        <w:jc w:val="both"/>
      </w:pPr>
      <w:r>
        <w:rPr>
          <w:rFonts w:ascii="宋体" w:hAnsi="宋体" w:cs="宋体" w:eastAsia="宋体"/>
          <w:color w:val="222222"/>
          <w:sz w:val="27"/>
        </w:rPr>
        <w:t>　　1.甲方的权利和义务</w:t>
      </w:r>
    </w:p>
    <w:p>
      <w:pPr>
        <w:shd w:fill="FFFFFF"/>
        <w:jc w:val="both"/>
      </w:pPr>
      <w:r>
        <w:rPr>
          <w:rFonts w:ascii="宋体" w:hAnsi="宋体" w:cs="宋体" w:eastAsia="宋体"/>
          <w:color w:val="222222"/>
          <w:sz w:val="27"/>
        </w:rPr>
        <w:t>　　2.乙方的权利和义务</w:t>
      </w:r>
    </w:p>
    <w:p>
      <w:pPr>
        <w:shd w:fill="FFFFFF"/>
        <w:jc w:val="both"/>
      </w:pPr>
      <w:r>
        <w:rPr>
          <w:rFonts w:ascii="宋体" w:hAnsi="宋体" w:cs="宋体" w:eastAsia="宋体"/>
          <w:b/>
          <w:color w:val="222222"/>
          <w:sz w:val="27"/>
        </w:rPr>
        <w:t>四、服务期间（项目完成期限）</w:t>
      </w:r>
    </w:p>
    <w:p>
      <w:pPr>
        <w:shd w:fill="FFFFFF"/>
        <w:jc w:val="both"/>
      </w:pPr>
      <w:r>
        <w:rPr>
          <w:rFonts w:ascii="宋体" w:hAnsi="宋体" w:cs="宋体" w:eastAsia="宋体"/>
          <w:color w:val="222222"/>
          <w:sz w:val="27"/>
        </w:rPr>
        <w:t>　　1.委托服务期间自______年______月至______年______月止。</w:t>
      </w:r>
    </w:p>
    <w:p>
      <w:pPr>
        <w:shd w:fill="FFFFFF"/>
        <w:jc w:val="both"/>
      </w:pPr>
      <w:r>
        <w:rPr>
          <w:rFonts w:ascii="宋体" w:hAnsi="宋体" w:cs="宋体" w:eastAsia="宋体"/>
          <w:b/>
          <w:color w:val="222222"/>
          <w:sz w:val="27"/>
        </w:rPr>
        <w:t>五、付款方式</w:t>
      </w:r>
    </w:p>
    <w:p>
      <w:pPr>
        <w:shd w:fill="FFFFFF"/>
        <w:jc w:val="both"/>
      </w:pPr>
      <w:r>
        <w:rPr>
          <w:rFonts w:ascii="宋体" w:hAnsi="宋体" w:cs="宋体" w:eastAsia="宋体"/>
          <w:color w:val="222222"/>
          <w:sz w:val="27"/>
        </w:rPr>
        <w:t>　　由甲方按下列程序在</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内付款：</w:t>
      </w:r>
    </w:p>
    <w:p>
      <w:pPr>
        <w:shd w:fill="FFFFFF"/>
        <w:jc w:val="both"/>
      </w:pPr>
      <w:r>
        <w:rPr>
          <w:rFonts w:ascii="宋体" w:hAnsi="宋体" w:cs="宋体" w:eastAsia="宋体"/>
          <w:color w:val="222222"/>
          <w:sz w:val="27"/>
        </w:rPr>
        <w:t>　　1.在合同实施及服务人员到达服务地后__天内，甲方应将第一次付　　款总服务费的__(-%)付给乙方。</w:t>
      </w:r>
    </w:p>
    <w:p>
      <w:pPr>
        <w:shd w:fill="FFFFFF"/>
        <w:jc w:val="both"/>
      </w:pPr>
      <w:r>
        <w:rPr>
          <w:rFonts w:ascii="宋体" w:hAnsi="宋体" w:cs="宋体" w:eastAsia="宋体"/>
          <w:color w:val="222222"/>
          <w:sz w:val="27"/>
        </w:rPr>
        <w:t>　　2.第二次付款额应为总服务费的__(-%)，甲方应在乙方已经准备好，并递交了服务报告及其它相关文件，而这些报告和文件符合合同附件上的要求并被甲方验收后付给乙方。</w:t>
      </w:r>
    </w:p>
    <w:p>
      <w:pPr>
        <w:shd w:fill="FFFFFF"/>
        <w:jc w:val="both"/>
      </w:pPr>
      <w:r>
        <w:rPr>
          <w:rFonts w:ascii="宋体" w:hAnsi="宋体" w:cs="宋体" w:eastAsia="宋体"/>
          <w:color w:val="222222"/>
          <w:sz w:val="27"/>
        </w:rPr>
        <w:t>　　3.最后一次付款额应为总服务费的__(-%)，甲方应在乙方递交了服务总结报告和说明并完全履行合同完毕_________日内付给乙方。</w:t>
      </w:r>
    </w:p>
    <w:p>
      <w:pPr>
        <w:shd w:fill="FFFFFF"/>
        <w:jc w:val="both"/>
      </w:pPr>
      <w:r>
        <w:rPr>
          <w:rFonts w:ascii="宋体" w:hAnsi="宋体" w:cs="宋体" w:eastAsia="宋体"/>
          <w:color w:val="222222"/>
          <w:sz w:val="27"/>
        </w:rPr>
        <w:t>　　4.对于满足合同约定支付条件的，甲方应当自收到发票后30日内将资金支付到合同约定的乙方账户，不得以机构变动、人员更替、政策调整等为由延迟付款，不得将采购文件和合同中未规定的义务作为向乙方付款的条件。</w:t>
      </w:r>
    </w:p>
    <w:p>
      <w:pPr>
        <w:shd w:fill="FFFFFF"/>
        <w:jc w:val="both"/>
      </w:pPr>
      <w:r>
        <w:rPr>
          <w:rFonts w:ascii="宋体" w:hAnsi="宋体" w:cs="宋体" w:eastAsia="宋体"/>
          <w:b/>
          <w:color w:val="222222"/>
          <w:sz w:val="27"/>
        </w:rPr>
        <w:t>六、知识产权归属</w:t>
      </w:r>
    </w:p>
    <w:p>
      <w:pPr>
        <w:shd w:fill="FFFFFF"/>
        <w:jc w:val="both"/>
      </w:pPr>
      <w:r>
        <w:rPr>
          <w:rFonts w:ascii="宋体" w:hAnsi="宋体" w:cs="宋体" w:eastAsia="宋体"/>
          <w:b/>
          <w:color w:val="222222"/>
          <w:sz w:val="27"/>
        </w:rPr>
        <w:t>七、保密</w:t>
      </w:r>
    </w:p>
    <w:p>
      <w:pPr>
        <w:shd w:fill="FFFFFF"/>
        <w:jc w:val="both"/>
      </w:pPr>
      <w:r>
        <w:rPr>
          <w:rFonts w:ascii="宋体" w:hAnsi="宋体" w:cs="宋体" w:eastAsia="宋体"/>
          <w:b/>
          <w:color w:val="222222"/>
          <w:sz w:val="27"/>
        </w:rPr>
        <w:t>八、违约责任与赔偿损失</w:t>
      </w:r>
    </w:p>
    <w:p>
      <w:pPr>
        <w:shd w:fill="FFFFFF"/>
        <w:jc w:val="both"/>
      </w:pPr>
      <w:r>
        <w:rPr>
          <w:rFonts w:ascii="宋体" w:hAnsi="宋体" w:cs="宋体" w:eastAsia="宋体"/>
          <w:color w:val="222222"/>
          <w:sz w:val="27"/>
        </w:rPr>
        <w:t>　　1.乙方提供的服务不符合本合同规定的，甲方有权拒收，并且乙方须向甲方方支付本合同总价5%的违约金。</w:t>
      </w:r>
    </w:p>
    <w:p>
      <w:pPr>
        <w:shd w:fill="FFFFFF"/>
        <w:jc w:val="both"/>
      </w:pPr>
      <w:r>
        <w:rPr>
          <w:rFonts w:ascii="宋体" w:hAnsi="宋体" w:cs="宋体" w:eastAsia="宋体"/>
          <w:color w:val="222222"/>
          <w:sz w:val="27"/>
        </w:rPr>
        <w:t>　　2.乙方未能按本合同规定的交货时间提供服务，从逾期之日起每日按本合同总价3‰的数额向甲方支付违约金；逾期半个月以上的，甲方有权终止合同，由此造成的甲方经济损失由乙方承担。</w:t>
      </w:r>
    </w:p>
    <w:p>
      <w:pPr>
        <w:shd w:fill="FFFFFF"/>
        <w:jc w:val="both"/>
      </w:pPr>
      <w:r>
        <w:rPr>
          <w:rFonts w:ascii="宋体" w:hAnsi="宋体" w:cs="宋体" w:eastAsia="宋体"/>
          <w:color w:val="222222"/>
          <w:sz w:val="27"/>
        </w:rPr>
        <w:t>　　3.甲方无正当理由拒收接受服务，到期拒付服务款项的，甲方向乙方偿付本合同总的5%的违约金。甲方人逾期付款，则每日按本合同总价的3‰向乙方偿付违约金。</w:t>
      </w:r>
    </w:p>
    <w:p>
      <w:pPr>
        <w:shd w:fill="FFFFFF"/>
        <w:jc w:val="both"/>
      </w:pPr>
      <w:r>
        <w:rPr>
          <w:rFonts w:ascii="宋体" w:hAnsi="宋体" w:cs="宋体" w:eastAsia="宋体"/>
          <w:color w:val="222222"/>
          <w:sz w:val="27"/>
        </w:rPr>
        <w:t>　　4.对于因甲方原因导致变更、中止或者终止政府采购合同的，甲方应当依照以下合同约定对供应商受到的损失予以赔偿或者补偿：</w:t>
      </w:r>
    </w:p>
    <w:p>
      <w:pPr>
        <w:shd w:fill="FFFFFF"/>
        <w:jc w:val="both"/>
      </w:pP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p>
    <w:p>
      <w:pPr>
        <w:shd w:fill="FFFFFF"/>
        <w:jc w:val="both"/>
      </w:pPr>
      <w:r>
        <w:rPr>
          <w:rFonts w:ascii="宋体" w:hAnsi="宋体" w:cs="宋体" w:eastAsia="宋体"/>
          <w:color w:val="222222"/>
          <w:sz w:val="27"/>
        </w:rPr>
        <w:t>　　5.其它违约责任按《</w:t>
      </w:r>
      <w:r>
        <w:rPr>
          <w:rFonts w:ascii="宋体" w:hAnsi="宋体" w:cs="宋体" w:eastAsia="宋体"/>
          <w:color w:val="222222"/>
          <w:sz w:val="27"/>
        </w:rPr>
        <w:t>中华人民共和国民法典(合同编)</w:t>
      </w:r>
      <w:r>
        <w:rPr>
          <w:rFonts w:ascii="宋体" w:hAnsi="宋体" w:cs="宋体" w:eastAsia="宋体"/>
          <w:color w:val="222222"/>
          <w:sz w:val="27"/>
        </w:rPr>
        <w:t>》处理。</w:t>
      </w:r>
    </w:p>
    <w:p>
      <w:pPr>
        <w:shd w:fill="FFFFFF"/>
        <w:jc w:val="both"/>
      </w:pPr>
      <w:r>
        <w:rPr>
          <w:rFonts w:ascii="宋体" w:hAnsi="宋体" w:cs="宋体" w:eastAsia="宋体"/>
          <w:b/>
          <w:color w:val="222222"/>
          <w:sz w:val="27"/>
        </w:rPr>
        <w:t>九、争议的解决</w:t>
      </w:r>
    </w:p>
    <w:p>
      <w:pPr>
        <w:shd w:fill="FFFFFF"/>
        <w:ind w:firstLine="400"/>
        <w:jc w:val="both"/>
      </w:pPr>
      <w:r>
        <w:rPr>
          <w:rFonts w:ascii="宋体" w:hAnsi="宋体" w:cs="宋体" w:eastAsia="宋体"/>
          <w:color w:val="222222"/>
          <w:sz w:val="27"/>
        </w:rPr>
        <w:t>合同执行过程中发生的任何争议，如双方不能通过友好协商解决，按相关法律法规处理。</w:t>
      </w:r>
      <w:r>
        <w:rPr>
          <w:rFonts w:ascii="helvetica" w:hAnsi="helvetica" w:cs="helvetica" w:eastAsia="helvetica"/>
          <w:color w:val="222222"/>
          <w:sz w:val="27"/>
        </w:rPr>
        <w:t xml:space="preserve"> </w:t>
      </w:r>
      <w:r>
        <w:rPr>
          <w:rFonts w:ascii="宋体" w:hAnsi="宋体" w:cs="宋体" w:eastAsia="宋体"/>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十、不可抗力</w:t>
      </w:r>
    </w:p>
    <w:p>
      <w:pPr>
        <w:shd w:fill="FFFFFF"/>
        <w:jc w:val="both"/>
      </w:pPr>
      <w:r>
        <w:rPr>
          <w:rFonts w:ascii="宋体" w:hAnsi="宋体" w:cs="宋体" w:eastAsia="宋体"/>
          <w:color w:val="222222"/>
          <w:sz w:val="27"/>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hd w:fill="FFFFFF"/>
        <w:jc w:val="both"/>
      </w:pPr>
      <w:r>
        <w:rPr>
          <w:rFonts w:ascii="宋体" w:hAnsi="宋体" w:cs="宋体" w:eastAsia="宋体"/>
          <w:b/>
          <w:color w:val="222222"/>
          <w:sz w:val="27"/>
        </w:rPr>
        <w:t>十一、税费</w:t>
      </w:r>
    </w:p>
    <w:p>
      <w:pPr>
        <w:shd w:fill="FFFFFF"/>
        <w:jc w:val="both"/>
      </w:pPr>
      <w:r>
        <w:rPr>
          <w:rFonts w:ascii="宋体" w:hAnsi="宋体" w:cs="宋体" w:eastAsia="宋体"/>
          <w:color w:val="222222"/>
          <w:sz w:val="27"/>
        </w:rPr>
        <w:t>　　在中国境内、外发生的与本合同执行有关的一切税费均由乙方负担。</w:t>
      </w:r>
    </w:p>
    <w:p>
      <w:pPr>
        <w:shd w:fill="FFFFFF"/>
        <w:jc w:val="both"/>
      </w:pPr>
      <w:r>
        <w:rPr>
          <w:rFonts w:ascii="宋体" w:hAnsi="宋体" w:cs="宋体" w:eastAsia="宋体"/>
          <w:b/>
          <w:color w:val="222222"/>
          <w:sz w:val="27"/>
        </w:rPr>
        <w:t>十二、其它</w:t>
      </w:r>
    </w:p>
    <w:p>
      <w:pPr>
        <w:shd w:fill="FFFFFF"/>
        <w:jc w:val="both"/>
      </w:pPr>
      <w:r>
        <w:rPr>
          <w:rFonts w:ascii="宋体" w:hAnsi="宋体" w:cs="宋体" w:eastAsia="宋体"/>
          <w:color w:val="222222"/>
          <w:sz w:val="27"/>
        </w:rPr>
        <w:t>　　1.本合同所有附件、招标文件、投标文件、中标通知书均为合同的有效组成部分，与本合同具有同等法律效力。</w:t>
      </w:r>
    </w:p>
    <w:p>
      <w:pPr>
        <w:shd w:fill="FFFFFF"/>
        <w:jc w:val="both"/>
      </w:pPr>
      <w:r>
        <w:rPr>
          <w:rFonts w:ascii="宋体" w:hAnsi="宋体" w:cs="宋体" w:eastAsia="宋体"/>
          <w:color w:val="222222"/>
          <w:sz w:val="27"/>
        </w:rPr>
        <w:t>　　2.在执行本合同的过程中，所有经双方签署确认的文件（包括会议纪要、补充协议、往来信函）即成为本合同的有效组成部分。</w:t>
      </w:r>
    </w:p>
    <w:p>
      <w:pPr>
        <w:shd w:fill="FFFFFF"/>
        <w:jc w:val="both"/>
      </w:pPr>
      <w:r>
        <w:rPr>
          <w:rFonts w:ascii="宋体" w:hAnsi="宋体" w:cs="宋体" w:eastAsia="宋体"/>
          <w:color w:val="222222"/>
          <w:sz w:val="27"/>
        </w:rPr>
        <w:t>　　3.如一方地址、电话、传真号码有变更，应在变更当日内书面通知对方，否则，应承担相应责任。</w:t>
      </w:r>
    </w:p>
    <w:p>
      <w:pPr>
        <w:shd w:fill="FFFFFF"/>
        <w:jc w:val="both"/>
      </w:pPr>
      <w:r>
        <w:rPr>
          <w:rFonts w:ascii="宋体" w:hAnsi="宋体" w:cs="宋体" w:eastAsia="宋体"/>
          <w:color w:val="222222"/>
          <w:sz w:val="27"/>
        </w:rPr>
        <w:t>　　4.除甲方事先书面同意外，乙方不得部分或全部转让其应履行的合同项下的义务。</w:t>
      </w:r>
    </w:p>
    <w:p>
      <w:pPr>
        <w:shd w:fill="FFFFFF"/>
        <w:jc w:val="both"/>
      </w:pPr>
      <w:r>
        <w:rPr>
          <w:rFonts w:ascii="宋体" w:hAnsi="宋体" w:cs="宋体" w:eastAsia="宋体"/>
          <w:b/>
          <w:color w:val="222222"/>
          <w:sz w:val="27"/>
        </w:rPr>
        <w:t>十三、合同生效</w:t>
      </w:r>
    </w:p>
    <w:p>
      <w:pPr>
        <w:shd w:fill="FFFFFF"/>
        <w:jc w:val="both"/>
      </w:pPr>
      <w:r>
        <w:rPr>
          <w:rFonts w:ascii="宋体" w:hAnsi="宋体" w:cs="宋体" w:eastAsia="宋体"/>
          <w:color w:val="222222"/>
          <w:sz w:val="27"/>
        </w:rPr>
        <w:t>　　1.本合同在甲乙双方法人代表或其授权代表签字盖章后生效。</w:t>
      </w:r>
    </w:p>
    <w:p>
      <w:pPr>
        <w:shd w:fill="FFFFFF"/>
        <w:jc w:val="both"/>
      </w:pPr>
      <w:r>
        <w:rPr>
          <w:rFonts w:ascii="宋体" w:hAnsi="宋体" w:cs="宋体" w:eastAsia="宋体"/>
          <w:color w:val="222222"/>
          <w:sz w:val="27"/>
        </w:rPr>
        <w:t>　　2.合同一式</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份。</w:t>
      </w:r>
    </w:p>
    <w:p>
      <w:pPr>
        <w:shd w:fill="FFFFFF"/>
        <w:jc w:val="both"/>
      </w:pP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甲方（盖章）：</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乙方（盖章）：</w:t>
      </w:r>
    </w:p>
    <w:p>
      <w:pPr>
        <w:shd w:fill="FFFFFF"/>
        <w:jc w:val="both"/>
      </w:pPr>
      <w:r>
        <w:rPr>
          <w:rFonts w:ascii="宋体" w:hAnsi="宋体" w:cs="宋体" w:eastAsia="宋体"/>
          <w:b/>
          <w:color w:val="222222"/>
          <w:sz w:val="27"/>
        </w:rPr>
        <w:t>代表：</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代表：</w:t>
      </w:r>
    </w:p>
    <w:p>
      <w:pPr>
        <w:shd w:fill="FFFFFF"/>
        <w:jc w:val="both"/>
      </w:pPr>
      <w:r>
        <w:rPr>
          <w:rFonts w:ascii="宋体" w:hAnsi="宋体" w:cs="宋体" w:eastAsia="宋体"/>
          <w:color w:val="222222"/>
          <w:sz w:val="27"/>
        </w:rPr>
        <w:t>签订地点：</w:t>
      </w:r>
    </w:p>
    <w:p>
      <w:pPr>
        <w:shd w:fill="FFFFFF"/>
        <w:jc w:val="both"/>
      </w:pPr>
      <w:r>
        <w:rPr>
          <w:rFonts w:ascii="宋体" w:hAnsi="宋体" w:cs="宋体" w:eastAsia="宋体"/>
          <w:color w:val="222222"/>
          <w:sz w:val="27"/>
        </w:rPr>
        <w:t>签订日期：　　　年　　月　　日</w:t>
      </w:r>
      <w:r>
        <w:rPr>
          <w:rFonts w:ascii="宋体" w:hAnsi="宋体" w:cs="宋体" w:eastAsia="宋体"/>
          <w:color w:val="222222"/>
          <w:sz w:val="27"/>
        </w:rPr>
        <w:t xml:space="preserve"> </w:t>
      </w:r>
      <w:r>
        <w:rPr>
          <w:rFonts w:ascii="宋体" w:hAnsi="宋体" w:cs="宋体" w:eastAsia="宋体"/>
          <w:color w:val="222222"/>
          <w:sz w:val="27"/>
        </w:rPr>
        <w:t>签订日期：　　　年　　月　　日</w:t>
      </w:r>
    </w:p>
    <w:p>
      <w:pPr>
        <w:shd w:fill="FFFFFF"/>
        <w:jc w:val="both"/>
      </w:pPr>
      <w:r>
        <w:rPr>
          <w:rFonts w:ascii="宋体" w:hAnsi="宋体" w:cs="宋体" w:eastAsia="宋体"/>
          <w:color w:val="222222"/>
          <w:sz w:val="27"/>
        </w:rPr>
        <w:t>开户名称：</w:t>
      </w:r>
    </w:p>
    <w:p>
      <w:pPr>
        <w:shd w:fill="FFFFFF"/>
        <w:jc w:val="both"/>
      </w:pPr>
      <w:r>
        <w:rPr>
          <w:rFonts w:ascii="宋体" w:hAnsi="宋体" w:cs="宋体" w:eastAsia="宋体"/>
          <w:color w:val="222222"/>
          <w:sz w:val="27"/>
        </w:rPr>
        <w:t>银行帐号：</w:t>
      </w:r>
    </w:p>
    <w:p>
      <w:pPr>
        <w:shd w:fill="FFFFFF"/>
        <w:jc w:val="both"/>
      </w:pPr>
      <w:r>
        <w:rPr>
          <w:rFonts w:ascii="宋体" w:hAnsi="宋体" w:cs="宋体" w:eastAsia="宋体"/>
          <w:color w:val="222222"/>
          <w:sz w:val="27"/>
        </w:rPr>
        <w:t>开</w:t>
        <w:tab/>
        <w:tab/>
        <w:tab/>
        <w:tab/>
        <w:tab/>
        <w:t xml:space="preserve"> 户 行：</w:t>
      </w:r>
    </w:p>
    <w:p/>
    <w:p>
      <w:pPr>
        <w:ind w:firstLine="480"/>
      </w:pPr>
    </w:p>
    <w:p>
      <w:r>
        <w:rPr/>
        <w:t xml:space="preserve"> </w:t>
      </w:r>
    </w:p>
    <w:p/>
    <w:p>
      <w:pPr>
        <w:jc w:val="center"/>
      </w:pPr>
      <w:r>
        <w:rPr>
          <w:b/>
          <w:sz w:val="36"/>
        </w:rPr>
        <w:t>第六章 投标文件格式与要求</w:t>
      </w:r>
    </w:p>
    <w:p>
      <w:pPr>
        <w:ind w:firstLine="480"/>
      </w:pPr>
      <w:r>
        <w:rPr/>
        <w:t>投标人应提交证明其有资格参加投标和中标后有能力履行合同的相关文件，并作为其投标文件的一部分，所有文件必须真实可靠、不得伪造，否则将按相关规定予以处罚。</w:t>
      </w:r>
    </w:p>
    <w:p>
      <w:pPr>
        <w:ind w:firstLine="480"/>
      </w:pPr>
    </w:p>
    <w:p>
      <w:r>
        <w:rPr/>
        <w:t xml:space="preserve"> </w:t>
      </w:r>
      <w:r>
        <w:br/>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440118-2023-01570</w:t>
      </w:r>
    </w:p>
    <w:p>
      <w:pPr>
        <w:jc w:val="center"/>
      </w:pPr>
      <w:r>
        <w:rPr>
          <w:b/>
          <w:sz w:val="24"/>
        </w:rPr>
        <w:t>采购项目编号：</w:t>
      </w:r>
      <w:r>
        <w:rPr>
          <w:b/>
          <w:sz w:val="24"/>
        </w:rPr>
        <w:t>440118-2023-01570</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rPr/>
        <w:t xml:space="preserve"> </w:t>
      </w:r>
    </w:p>
    <w:p/>
    <w:p>
      <w:pPr>
        <w:jc w:val="center"/>
      </w:pPr>
      <w:r>
        <w:rPr>
          <w:b/>
          <w:sz w:val="24"/>
        </w:rPr>
        <w:t>投标文件目录</w:t>
      </w:r>
    </w:p>
    <w:p>
      <w:pPr>
        <w:ind w:firstLine="480"/>
      </w:pPr>
      <w:r>
        <w:rPr/>
        <w:t>一、投标函</w:t>
      </w:r>
    </w:p>
    <w:p>
      <w:pPr>
        <w:ind w:firstLine="480"/>
      </w:pPr>
      <w:r>
        <w:rPr/>
        <w:t>二、开标一览表</w:t>
      </w:r>
    </w:p>
    <w:p>
      <w:pPr>
        <w:ind w:firstLine="480"/>
      </w:pPr>
      <w:r>
        <w:rPr/>
        <w:t>三、分项报价表</w:t>
      </w:r>
    </w:p>
    <w:p>
      <w:pPr>
        <w:ind w:firstLine="480"/>
      </w:pPr>
      <w:r>
        <w:rPr/>
        <w:t>四、政策适用性说明</w:t>
      </w:r>
    </w:p>
    <w:p>
      <w:pPr>
        <w:ind w:firstLine="480"/>
      </w:pPr>
      <w:r>
        <w:rPr/>
        <w:t>五、实质性响应一览表</w:t>
      </w:r>
    </w:p>
    <w:p>
      <w:pPr>
        <w:ind w:firstLine="480"/>
      </w:pPr>
      <w:r>
        <w:rPr/>
        <w:t>六、法定代表人证明书</w:t>
      </w:r>
    </w:p>
    <w:p>
      <w:pPr>
        <w:ind w:firstLine="480"/>
      </w:pPr>
      <w:r>
        <w:rPr/>
        <w:t>七、法定代表人授权书</w:t>
      </w:r>
    </w:p>
    <w:p>
      <w:pPr>
        <w:ind w:firstLine="480"/>
      </w:pPr>
      <w:r>
        <w:rPr/>
        <w:t>八、提供具有独立承担民事责任的能力的证明材料</w:t>
      </w:r>
    </w:p>
    <w:p>
      <w:pPr>
        <w:ind w:firstLine="480"/>
      </w:pPr>
      <w:r>
        <w:rPr/>
        <w:t>九、承诺函</w:t>
      </w:r>
    </w:p>
    <w:p>
      <w:pPr>
        <w:ind w:firstLine="480"/>
      </w:pPr>
      <w:r>
        <w:rPr/>
        <w:t>十、中小企业声明函</w:t>
      </w:r>
    </w:p>
    <w:p>
      <w:pPr>
        <w:ind w:firstLine="480"/>
      </w:pPr>
      <w:r>
        <w:rPr/>
        <w:t>十一、监狱企业</w:t>
      </w:r>
    </w:p>
    <w:p>
      <w:pPr>
        <w:ind w:firstLine="480"/>
      </w:pPr>
      <w:r>
        <w:rPr/>
        <w:t>十二、残疾人福利性单位声明函</w:t>
      </w:r>
    </w:p>
    <w:p>
      <w:pPr>
        <w:ind w:firstLine="480"/>
      </w:pPr>
      <w:r>
        <w:rPr/>
        <w:t>十三、联合体共同投标协议书</w:t>
      </w:r>
    </w:p>
    <w:p>
      <w:pPr>
        <w:ind w:firstLine="480"/>
      </w:pPr>
      <w:r>
        <w:rPr/>
        <w:t>十四、投标人业绩情况表</w:t>
      </w:r>
    </w:p>
    <w:p>
      <w:pPr>
        <w:ind w:firstLine="480"/>
      </w:pPr>
      <w:r>
        <w:rPr/>
        <w:t>十五、技术和服务要求响应表</w:t>
      </w:r>
    </w:p>
    <w:p>
      <w:pPr>
        <w:ind w:firstLine="480"/>
      </w:pPr>
      <w:r>
        <w:rPr/>
        <w:t>十六、商务条件响应表</w:t>
      </w:r>
    </w:p>
    <w:p>
      <w:pPr>
        <w:ind w:firstLine="480"/>
      </w:pPr>
      <w:r>
        <w:rPr/>
        <w:t>十七、履约进度计划表</w:t>
      </w:r>
    </w:p>
    <w:p>
      <w:pPr>
        <w:ind w:firstLine="480"/>
      </w:pPr>
      <w:r>
        <w:rPr/>
        <w:t>十八、各类证明材料</w:t>
      </w:r>
    </w:p>
    <w:p>
      <w:pPr>
        <w:ind w:firstLine="480"/>
      </w:pPr>
      <w:r>
        <w:rPr/>
        <w:t>十九、采购代理服务费支付承诺书</w:t>
      </w:r>
    </w:p>
    <w:p>
      <w:pPr>
        <w:ind w:firstLine="480"/>
      </w:pPr>
      <w:r>
        <w:rPr/>
        <w:t>二十、需要采购人提供的附加条件</w:t>
      </w:r>
    </w:p>
    <w:p>
      <w:pPr>
        <w:ind w:firstLine="480"/>
      </w:pPr>
      <w:r>
        <w:rPr/>
        <w:t>二十一、项目实施方案、质量保证及售后服务承诺等</w:t>
      </w:r>
    </w:p>
    <w:p>
      <w:pPr>
        <w:ind w:firstLine="480"/>
      </w:pPr>
      <w:r>
        <w:rPr/>
        <w:t>二十二、附件</w:t>
      </w:r>
    </w:p>
    <w:p>
      <w:pPr>
        <w:ind w:firstLine="480"/>
      </w:pPr>
    </w:p>
    <w:p>
      <w:r>
        <w:rPr/>
        <w:t xml:space="preserve"> </w:t>
      </w:r>
    </w:p>
    <w:p/>
    <w:p>
      <w:r>
        <w:rPr>
          <w:b/>
          <w:sz w:val="28"/>
        </w:rPr>
        <w:t>格式一：</w:t>
      </w:r>
    </w:p>
    <w:p>
      <w:r>
        <w:rPr>
          <w:b/>
          <w:sz w:val="24"/>
        </w:rPr>
        <w:t>投标函</w:t>
      </w:r>
    </w:p>
    <w:p>
      <w:pPr>
        <w:ind w:firstLine="480"/>
      </w:pPr>
      <w:r>
        <w:rPr/>
        <w:t>致：</w:t>
      </w:r>
      <w:r>
        <w:rPr>
          <w:u w:val="single"/>
        </w:rPr>
        <w:t>广州粤信工程项目管理有限公司</w:t>
      </w:r>
    </w:p>
    <w:p>
      <w:pPr>
        <w:ind w:firstLine="480"/>
      </w:pPr>
      <w:r>
        <w:rPr/>
        <w:t>你方组织的</w:t>
      </w:r>
      <w:r>
        <w:rPr>
          <w:u w:val="single"/>
        </w:rPr>
        <w:t>“</w:t>
      </w:r>
      <w:r>
        <w:rPr>
          <w:u w:val="single"/>
        </w:rPr>
        <w:t>柯灯山水厂取水口迁移工程辅助管理服务</w:t>
      </w:r>
      <w:r>
        <w:rPr>
          <w:u w:val="single"/>
        </w:rPr>
        <w:t>”</w:t>
      </w:r>
      <w:r>
        <w:rPr/>
        <w:t>项目的招标[采购项目编号为：</w:t>
      </w:r>
      <w:r>
        <w:rPr>
          <w:u w:val="single"/>
        </w:rPr>
        <w:t>440118-2023-01570</w:t>
      </w:r>
      <w:r>
        <w:rPr/>
        <w:t>]，我方愿参与投标。</w:t>
      </w:r>
    </w:p>
    <w:p>
      <w:pPr>
        <w:ind w:firstLine="480"/>
      </w:pPr>
      <w:r>
        <w:rPr/>
        <w:t>我方确认收到贵方提供的</w:t>
      </w:r>
      <w:r>
        <w:rPr>
          <w:u w:val="single"/>
        </w:rPr>
        <w:t>“</w:t>
      </w:r>
      <w:r>
        <w:rPr>
          <w:u w:val="single"/>
        </w:rPr>
        <w:t>柯灯山水厂取水口迁移工程辅助管理服务</w:t>
      </w:r>
      <w:r>
        <w:rPr>
          <w:u w:val="single"/>
        </w:rPr>
        <w:t>”</w:t>
      </w:r>
      <w:r>
        <w:rPr/>
        <w:t>项目的招标文件的全部内容。</w:t>
      </w:r>
    </w:p>
    <w:p>
      <w:pPr>
        <w:ind w:firstLine="480"/>
      </w:pPr>
      <w:r>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rPr/>
        <w:t>作为投标人正式授权</w:t>
      </w:r>
      <w:r>
        <w:rPr>
          <w:u w:val="single"/>
        </w:rPr>
        <w:t>(授权代表全名,职务)</w:t>
      </w:r>
      <w:r>
        <w:rPr/>
        <w:t>代表我方全权处理有关本投标的一切事宜。</w:t>
      </w:r>
    </w:p>
    <w:p>
      <w:pPr>
        <w:ind w:firstLine="480"/>
      </w:pPr>
      <w:r>
        <w:rPr/>
        <w:t>我方已完全明白招标文件的所有条款要求，并申明如下：</w:t>
      </w:r>
    </w:p>
    <w:p>
      <w:pPr>
        <w:ind w:firstLine="480"/>
      </w:pPr>
      <w:r>
        <w:rPr/>
        <w:t>（一）按招标文件提供的全部货物与相关服务的投标总价详见《开标一览表》。</w:t>
      </w:r>
    </w:p>
    <w:p>
      <w:pPr>
        <w:ind w:firstLine="480"/>
      </w:pPr>
      <w:r>
        <w:rPr/>
        <w:t>（二）本投标文件的有效期为</w:t>
      </w:r>
      <w:r>
        <w:rPr/>
        <w:t>从提交投标（响应）文件的截止之日起90日历天</w:t>
      </w:r>
      <w:r>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rPr/>
        <w:t>（三）我方愿意向贵方提供任何与本项报价有关的数据、情况和技术资料。若贵方需要，我方愿意提供我方作出的一切承诺的证明材料。</w:t>
      </w:r>
    </w:p>
    <w:p>
      <w:pPr>
        <w:ind w:firstLine="480"/>
      </w:pPr>
      <w:r>
        <w:rPr/>
        <w:t>（四）我方理解贵方不一定接受最低投标价或任何贵方可能收到的投标。</w:t>
      </w:r>
    </w:p>
    <w:p>
      <w:pPr>
        <w:ind w:firstLine="480"/>
      </w:pPr>
      <w:r>
        <w:rPr/>
        <w:t>（五）我方如果中标，将保证履行招标文件及其澄清、修改文件（如果有）中的全部责任和义务，按质、按量、按期完成《采购需求》及《合同书》中的全部任务。</w:t>
      </w:r>
    </w:p>
    <w:p>
      <w:pPr>
        <w:ind w:firstLine="480"/>
      </w:pPr>
      <w:r>
        <w:rPr/>
        <w:t>（六）我方作为法律、财务和运作上独立于采购人、采购代理机构的投标人，在此保证所提交的所有文件和全部说明是真实的和正确的。</w:t>
      </w:r>
    </w:p>
    <w:p>
      <w:pPr>
        <w:ind w:firstLine="480"/>
      </w:pPr>
      <w:r>
        <w:rPr/>
        <w:t>（七）我方投标报价已包含应向知识产权所有权人支付的所有相关税费，并保证采购人在中国使用我方提供的货物或服务时，如有第三方提出侵犯其知识产权主张的，责任由我方承担。</w:t>
      </w:r>
    </w:p>
    <w:p>
      <w:pPr>
        <w:ind w:firstLine="480"/>
      </w:pPr>
      <w:r>
        <w:rPr/>
        <w:t>（八）我方接受采购人委托向贵方支付代理服务费，项目总报价已包含代理服务费，如果被确定为中标供应商，承诺向贵方足额支付。（若采购人支付代理服务费，则此条不适用）</w:t>
      </w:r>
    </w:p>
    <w:p>
      <w:pPr>
        <w:ind w:firstLine="480"/>
      </w:pPr>
      <w:r>
        <w:rPr/>
        <w:t>（九）我方与其他投标人不存在法定代表人或单位负责人为同一人或者存在直接控股、管理关系。</w:t>
      </w:r>
    </w:p>
    <w:p>
      <w:pPr>
        <w:ind w:firstLine="480"/>
      </w:pPr>
      <w:r>
        <w:rPr/>
        <w:t>（十）我方承诺未为本项目提供整体设计、规范编制或者项目管理、监理、检测等服务。</w:t>
      </w:r>
    </w:p>
    <w:p>
      <w:pPr>
        <w:ind w:firstLine="480"/>
      </w:pPr>
      <w:r>
        <w:rPr/>
        <w:t>（十一）我方未被列入法院失信被执行人名单中。</w:t>
      </w:r>
    </w:p>
    <w:p>
      <w:pPr>
        <w:ind w:firstLine="480"/>
      </w:pPr>
      <w:r>
        <w:rPr/>
        <w:t>（十二）我方具备《中华人民共和国政府采购法》第二十二条规定的条件，承诺如下：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以上内容如有虚假或与事实不符的，评标委员会可将我方做无效投标处理，我方愿意承担相应的法律责任。</w:t>
      </w:r>
    </w:p>
    <w:p>
      <w:pPr>
        <w:ind w:firstLine="480"/>
      </w:pPr>
      <w:r>
        <w:rPr/>
        <w:t>（十三）我方对在本函及投标文件中所作的所有承诺承担法律责任。</w:t>
      </w:r>
    </w:p>
    <w:p>
      <w:pPr>
        <w:ind w:firstLine="480"/>
      </w:pPr>
      <w:r>
        <w:rPr/>
        <w:t>（十四）所有与本招标有关的函件请发往下列地址：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w:t>
      </w:r>
    </w:p>
    <w:p>
      <w:pPr>
        <w:ind w:firstLine="480"/>
      </w:pPr>
      <w:r>
        <w:rPr/>
        <w:t>代表姓名：__________________职 务：__________________</w:t>
      </w:r>
    </w:p>
    <w:p>
      <w:pPr>
        <w:ind w:firstLine="480"/>
      </w:pPr>
    </w:p>
    <w:p>
      <w:pPr>
        <w:ind w:firstLine="480"/>
      </w:pPr>
    </w:p>
    <w:p>
      <w:pPr>
        <w:ind w:firstLine="480"/>
      </w:pPr>
    </w:p>
    <w:p>
      <w:pPr>
        <w:ind w:firstLine="480"/>
      </w:pPr>
    </w:p>
    <w:p>
      <w:r>
        <w:rPr/>
        <w:t>投标人法定代表人（或法定代表人授权代表）签字或盖章：__________________</w:t>
      </w:r>
    </w:p>
    <w:p>
      <w:r>
        <w:rPr/>
        <w:t>投标人名称（盖章）：__________________</w:t>
      </w:r>
    </w:p>
    <w:p>
      <w:r>
        <w:rPr/>
        <w:t>日期： 年 月 日</w:t>
      </w:r>
    </w:p>
    <w:p>
      <w:pPr>
        <w:ind w:firstLine="480"/>
      </w:pPr>
    </w:p>
    <w:p>
      <w:r>
        <w:rPr/>
        <w:t xml:space="preserve"> </w:t>
      </w:r>
    </w:p>
    <w:p/>
    <w:p>
      <w:r>
        <w:rPr>
          <w:b/>
          <w:sz w:val="28"/>
        </w:rPr>
        <w:t>格式二：</w:t>
      </w:r>
    </w:p>
    <w:p>
      <w:pPr>
        <w:jc w:val="center"/>
      </w:pPr>
      <w:r>
        <w:rPr>
          <w:b/>
          <w:sz w:val="24"/>
        </w:rPr>
        <w:t>开标一览表</w:t>
      </w:r>
    </w:p>
    <w:p>
      <w:pPr>
        <w:ind w:firstLine="480"/>
      </w:pPr>
      <w:r>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投标报价（元/%）</w:t>
            </w:r>
          </w:p>
        </w:tc>
        <w:tc>
          <w:tcPr>
            <w:tcW w:type="dxa" w:w="1661"/>
          </w:tcPr>
          <w:p>
            <w:r>
              <w:rPr/>
              <w:t>交货或服务期</w:t>
            </w:r>
          </w:p>
        </w:tc>
        <w:tc>
          <w:tcPr>
            <w:tcW w:type="dxa" w:w="1661"/>
          </w:tcPr>
          <w:p>
            <w:r>
              <w:rPr/>
              <w:t>交货或服务地点</w:t>
            </w:r>
          </w:p>
        </w:tc>
      </w:tr>
      <w:tr>
        <w:tc>
          <w:tcPr>
            <w:tcW w:type="dxa" w:w="1661"/>
          </w:tcPr>
          <w:p>
            <w:r>
              <w:rPr/>
              <w:t>1</w:t>
            </w:r>
          </w:p>
        </w:tc>
        <w:tc>
          <w:tcPr>
            <w:tcW w:type="dxa" w:w="1661"/>
          </w:tcPr>
          <w:p/>
        </w:tc>
        <w:tc>
          <w:tcPr>
            <w:tcW w:type="dxa" w:w="1661"/>
          </w:tcPr>
          <w:p/>
        </w:tc>
        <w:tc>
          <w:tcPr>
            <w:tcW w:type="dxa" w:w="1661"/>
          </w:tcPr>
          <w:p/>
        </w:tc>
        <w:tc>
          <w:tcPr>
            <w:tcW w:type="dxa" w:w="1661"/>
          </w:tcPr>
          <w:p/>
        </w:tc>
      </w:tr>
    </w:tbl>
    <w:p>
      <w:r>
        <w:rPr/>
        <w:t>投标人签章：__________________</w:t>
      </w:r>
    </w:p>
    <w:p>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p>
      <w:pPr>
        <w:ind w:firstLine="480"/>
      </w:pPr>
      <w:r>
        <w:rPr/>
        <w:t>采购包：</w:t>
      </w:r>
    </w:p>
    <w:p>
      <w:r>
        <w:rPr/>
        <w:t>货币及单位：人民币/元</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rPr/>
        <w:t>投标人签章：__________________</w:t>
      </w:r>
    </w:p>
    <w:p>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2.“节能产品、环境标志产品”须填写认证证书编号，并在对应“节能产品”、“环境标志产品”栏中勾选，同时提供有效期内的证书复印件（加盖投标人公章）</w:t>
      </w:r>
    </w:p>
    <w:p>
      <w:r>
        <w:rPr/>
        <w:t xml:space="preserve"> 投标人名称（盖章）：__________________</w:t>
      </w:r>
    </w:p>
    <w:p>
      <w:r>
        <w:rPr/>
        <w:t>日期： 年 月 日</w:t>
      </w:r>
    </w:p>
    <w:p>
      <w:pPr>
        <w:ind w:firstLine="480"/>
      </w:pPr>
    </w:p>
    <w:p>
      <w:r>
        <w:rPr/>
        <w:t xml:space="preserve"> </w:t>
      </w:r>
    </w:p>
    <w:p/>
    <w:p>
      <w:r>
        <w:rPr>
          <w:b/>
          <w:sz w:val="28"/>
        </w:rPr>
        <w:t>格式五：</w:t>
      </w:r>
    </w:p>
    <w:p>
      <w:pPr>
        <w:jc w:val="center"/>
      </w:pPr>
      <w:r>
        <w:rPr>
          <w:b/>
          <w:sz w:val="24"/>
        </w:rPr>
        <w:t>实质性响应一览表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实质性响应条款</w:t>
            </w:r>
          </w:p>
        </w:tc>
        <w:tc>
          <w:tcPr>
            <w:tcW w:type="dxa" w:w="2076"/>
          </w:tcPr>
          <w:p>
            <w:r>
              <w:rPr/>
              <w:t>投标人响应情况</w:t>
            </w:r>
          </w:p>
        </w:tc>
        <w:tc>
          <w:tcPr>
            <w:tcW w:type="dxa" w:w="2076"/>
          </w:tcPr>
          <w:p>
            <w:r>
              <w:rPr/>
              <w:t>差异</w:t>
            </w:r>
          </w:p>
        </w:tc>
      </w:tr>
      <w:tr>
        <w:tc>
          <w:tcPr>
            <w:tcW w:type="dxa" w:w="2076"/>
          </w:tcPr>
          <w:p>
            <w:r>
              <w:rPr/>
              <w:t>1</w:t>
            </w:r>
          </w:p>
        </w:tc>
        <w:tc>
          <w:tcPr>
            <w:tcW w:type="dxa" w:w="2076"/>
          </w:tcPr>
          <w:p/>
        </w:tc>
        <w:tc>
          <w:tcPr>
            <w:tcW w:type="dxa" w:w="2076"/>
          </w:tcPr>
          <w:p/>
        </w:tc>
        <w:tc>
          <w:tcPr>
            <w:tcW w:type="dxa" w:w="2076"/>
          </w:tcPr>
          <w:p/>
        </w:tc>
      </w:tr>
      <w:tr>
        <w:tc>
          <w:tcPr>
            <w:tcW w:type="dxa" w:w="2076"/>
          </w:tcPr>
          <w:p>
            <w:r>
              <w:rPr/>
              <w:t>2</w:t>
            </w:r>
          </w:p>
        </w:tc>
        <w:tc>
          <w:tcPr>
            <w:tcW w:type="dxa" w:w="2076"/>
          </w:tcPr>
          <w:p/>
        </w:tc>
        <w:tc>
          <w:tcPr>
            <w:tcW w:type="dxa" w:w="2076"/>
          </w:tcPr>
          <w:p/>
        </w:tc>
        <w:tc>
          <w:tcPr>
            <w:tcW w:type="dxa" w:w="2076"/>
          </w:tcPr>
          <w:p/>
        </w:tc>
      </w:tr>
      <w:tr>
        <w:tc>
          <w:tcPr>
            <w:tcW w:type="dxa" w:w="2076"/>
          </w:tcPr>
          <w:p>
            <w:r>
              <w:rPr/>
              <w:t>3</w:t>
            </w:r>
          </w:p>
        </w:tc>
        <w:tc>
          <w:tcPr>
            <w:tcW w:type="dxa" w:w="2076"/>
          </w:tcPr>
          <w:p/>
        </w:tc>
        <w:tc>
          <w:tcPr>
            <w:tcW w:type="dxa" w:w="2076"/>
          </w:tcPr>
          <w:p/>
        </w:tc>
        <w:tc>
          <w:tcPr>
            <w:tcW w:type="dxa" w:w="2076"/>
          </w:tcPr>
          <w:p/>
        </w:tc>
      </w:tr>
      <w:tr>
        <w:tc>
          <w:tcPr>
            <w:tcW w:type="dxa" w:w="2076"/>
          </w:tcPr>
          <w:p>
            <w:r>
              <w:rPr/>
              <w:t>4</w:t>
            </w:r>
          </w:p>
        </w:tc>
        <w:tc>
          <w:tcPr>
            <w:tcW w:type="dxa" w:w="2076"/>
          </w:tcPr>
          <w:p/>
        </w:tc>
        <w:tc>
          <w:tcPr>
            <w:tcW w:type="dxa" w:w="2076"/>
          </w:tcPr>
          <w:p/>
        </w:tc>
        <w:tc>
          <w:tcPr>
            <w:tcW w:type="dxa" w:w="2076"/>
          </w:tcPr>
          <w:p/>
        </w:tc>
      </w:tr>
      <w:tr>
        <w:tc>
          <w:tcPr>
            <w:tcW w:type="dxa" w:w="2076"/>
          </w:tcPr>
          <w:p>
            <w:r>
              <w:rPr/>
              <w:t>…</w:t>
            </w:r>
          </w:p>
        </w:tc>
        <w:tc>
          <w:tcPr>
            <w:tcW w:type="dxa" w:w="2076"/>
          </w:tcPr>
          <w:p/>
        </w:tc>
        <w:tc>
          <w:tcPr>
            <w:tcW w:type="dxa" w:w="2076"/>
          </w:tcPr>
          <w:p/>
        </w:tc>
        <w:tc>
          <w:tcPr>
            <w:tcW w:type="dxa" w:w="2076"/>
          </w:tcPr>
          <w:p/>
        </w:tc>
      </w:tr>
      <w:tr>
        <w:tc>
          <w:tcPr>
            <w:tcW w:type="dxa" w:w="2076"/>
          </w:tcPr>
          <w:p>
            <w:r>
              <w:rPr/>
              <w:t>…</w:t>
            </w:r>
          </w:p>
        </w:tc>
        <w:tc>
          <w:tcPr>
            <w:tcW w:type="dxa" w:w="2076"/>
          </w:tcPr>
          <w:p/>
        </w:tc>
        <w:tc>
          <w:tcPr>
            <w:tcW w:type="dxa" w:w="2076"/>
          </w:tcPr>
          <w:p/>
        </w:tc>
        <w:tc>
          <w:tcPr>
            <w:tcW w:type="dxa" w:w="2076"/>
          </w:tcPr>
          <w:p/>
        </w:tc>
      </w:tr>
    </w:tbl>
    <w:p>
      <w:pPr>
        <w:ind w:firstLine="480"/>
      </w:pPr>
      <w:r>
        <w:rPr/>
        <w:t>说明：</w:t>
      </w:r>
    </w:p>
    <w:p>
      <w:pPr>
        <w:ind w:firstLine="480"/>
      </w:pPr>
      <w:r>
        <w:rPr/>
        <w:t>1.实质性响应条款一览表后续内容请根据第二章采购需求★号条款详细列举</w:t>
      </w:r>
    </w:p>
    <w:p>
      <w:pPr>
        <w:ind w:firstLine="480"/>
      </w:pPr>
      <w:r>
        <w:rPr/>
        <w:t>2.本表所列条款必须一一予以响应，“投标人响应情况”一栏应填写具体的响应内容，有差异的要具体说明。</w:t>
      </w:r>
    </w:p>
    <w:p>
      <w:pPr>
        <w:ind w:firstLine="480"/>
      </w:pPr>
      <w:r>
        <w:rPr/>
        <w:t>3.请投标人认真填写本表内容，如填写错误将可能导致投标无效。</w:t>
      </w:r>
    </w:p>
    <w:p>
      <w:pPr>
        <w:ind w:firstLine="480"/>
      </w:pPr>
    </w:p>
    <w:p>
      <w:r>
        <w:rPr/>
        <w:t xml:space="preserve"> </w:t>
      </w:r>
    </w:p>
    <w:p/>
    <w:p>
      <w:r>
        <w:rPr>
          <w:b/>
          <w:sz w:val="28"/>
        </w:rPr>
        <w:t>格式六：</w:t>
      </w:r>
    </w:p>
    <w:p>
      <w:pPr>
        <w:ind w:firstLine="480"/>
      </w:pPr>
      <w:r>
        <w:rPr/>
        <w:t>（投标人可使用下述格式，也可使用广东省工商行政管理局统一印制的法定代表人证明书格式）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w:t>
      </w:r>
    </w:p>
    <w:p>
      <w:pPr>
        <w:ind w:firstLine="480"/>
      </w:pPr>
    </w:p>
    <w:p>
      <w:pPr>
        <w:ind w:firstLine="480"/>
      </w:pPr>
    </w:p>
    <w:p>
      <w:r>
        <w:rPr/>
        <w:t xml:space="preserve"> 投标人名称（盖章）：__________________</w:t>
      </w:r>
    </w:p>
    <w:p>
      <w:r>
        <w:rPr/>
        <w:t xml:space="preserve"> 地址：__________________</w:t>
      </w:r>
    </w:p>
    <w:p>
      <w:r>
        <w:rPr/>
        <w:t xml:space="preserve"> 法定代表人（签字或盖章）：__________________</w:t>
      </w:r>
    </w:p>
    <w:p>
      <w:r>
        <w:rPr/>
        <w:t xml:space="preserve"> 职务：__________________</w:t>
      </w:r>
    </w:p>
    <w:p>
      <w:r>
        <w:rPr/>
        <w:t>日期： 年 月 日</w:t>
      </w:r>
    </w:p>
    <w:p>
      <w:pPr>
        <w:ind w:firstLine="480"/>
      </w:pPr>
    </w:p>
    <w:p>
      <w:r>
        <w:rPr/>
        <w:t xml:space="preserve"> </w:t>
      </w:r>
    </w:p>
    <w:p/>
    <w:p>
      <w:r>
        <w:rPr>
          <w:b/>
          <w:sz w:val="28"/>
        </w:rPr>
        <w:t>格式七：</w:t>
      </w:r>
    </w:p>
    <w:p>
      <w:pPr>
        <w:jc w:val="center"/>
      </w:pPr>
      <w:r>
        <w:rPr>
          <w:b/>
          <w:sz w:val="24"/>
        </w:rPr>
        <w:t>法定代表人授权书格式</w:t>
      </w:r>
    </w:p>
    <w:p>
      <w:pPr>
        <w:ind w:firstLine="480"/>
      </w:pPr>
      <w:r>
        <w:rPr/>
        <w:t>（对于银行、保险、电信、邮政、铁路等行业以及获得总公司投标授权的分公司，可以提供投标分支机构负责人授权书）</w:t>
      </w:r>
    </w:p>
    <w:p>
      <w:pPr>
        <w:jc w:val="center"/>
      </w:pPr>
      <w:r>
        <w:rPr>
          <w:b/>
          <w:sz w:val="24"/>
        </w:rPr>
        <w:t>法定代表人授权书</w:t>
      </w:r>
    </w:p>
    <w:p>
      <w:pPr>
        <w:ind w:firstLine="480"/>
      </w:pPr>
      <w:r>
        <w:rPr/>
        <w:t>致：</w:t>
      </w:r>
      <w:r>
        <w:rPr/>
        <w:t>广州粤信工程项目管理有限公司</w:t>
      </w:r>
    </w:p>
    <w:p>
      <w:pPr>
        <w:ind w:firstLine="480"/>
      </w:pPr>
      <w:r>
        <w:rPr/>
        <w:t>本授权书声明：________是注册于</w:t>
      </w:r>
      <w:r>
        <w:rPr>
          <w:u w:val="single"/>
        </w:rPr>
        <w:t>（国家或地区）</w:t>
      </w:r>
      <w:r>
        <w:rPr/>
        <w:t>的</w:t>
      </w:r>
      <w:r>
        <w:rPr>
          <w:u w:val="single"/>
        </w:rPr>
        <w:t>（投标人名称）</w:t>
      </w:r>
      <w:r>
        <w:rPr/>
        <w:t>的法定代表人，现任________职务，有效证件号码：________________。现授权</w:t>
      </w:r>
      <w:r>
        <w:rPr>
          <w:u w:val="single"/>
        </w:rPr>
        <w:t>（姓名、职务）</w:t>
      </w:r>
      <w:r>
        <w:rPr/>
        <w:t>作为我公司的全权代理人，就“</w:t>
      </w:r>
      <w:r>
        <w:rPr/>
        <w:t>柯灯山水厂取水口迁移工程辅助管理服务</w:t>
      </w:r>
      <w:r>
        <w:rPr/>
        <w:t>”项目采购[采购项目编号为</w:t>
      </w:r>
      <w:r>
        <w:rPr/>
        <w:t>440118-2023-01570</w:t>
      </w:r>
      <w:r>
        <w:rPr/>
        <w:t>]的投标和合同执行，以我方的名义处理一切与之有关的事宜。</w:t>
      </w:r>
    </w:p>
    <w:p>
      <w:pPr>
        <w:ind w:firstLine="480"/>
      </w:pPr>
      <w:r>
        <w:rPr/>
        <w:t>本授权书于________年________月________日签字生效，特此声明。</w:t>
      </w:r>
    </w:p>
    <w:p>
      <w:r>
        <w:rPr/>
        <w:t xml:space="preserve"> 投标人（盖章）：__________________</w:t>
      </w:r>
    </w:p>
    <w:p>
      <w:r>
        <w:rPr/>
        <w:t xml:space="preserve"> 地址：__________________</w:t>
      </w:r>
    </w:p>
    <w:p>
      <w:r>
        <w:rPr/>
        <w:t xml:space="preserve"> 法定代表人（签字或盖章）：__________________</w:t>
      </w:r>
    </w:p>
    <w:p>
      <w:r>
        <w:rPr/>
        <w:t xml:space="preserve"> 职务：__________________</w:t>
      </w:r>
    </w:p>
    <w:p>
      <w:r>
        <w:rPr/>
        <w:t xml:space="preserve"> 被授权人（签字或盖章）：__________________</w:t>
      </w:r>
    </w:p>
    <w:p>
      <w:r>
        <w:rPr/>
        <w:t xml:space="preserve"> 职务：__________________</w:t>
      </w:r>
    </w:p>
    <w:p>
      <w:r>
        <w:rPr/>
        <w:t>日期： 年 月 日</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r>
        <w:rPr/>
        <w:t>提供以下相关证照的扫描件之一：1.企业法人提供企业法人营业执照；2.事业法人提供事业法人登记证；3.其他组织提供其他组织的营业执照或执业许可证；4.自然人提供居民身份证等；</w:t>
      </w:r>
    </w:p>
    <w:p>
      <w:pPr>
        <w:ind w:firstLine="480"/>
      </w:pPr>
    </w:p>
    <w:p>
      <w:r>
        <w:rPr/>
        <w:t xml:space="preserve"> </w:t>
      </w:r>
    </w:p>
    <w:p/>
    <w:p>
      <w:r>
        <w:rPr>
          <w:b/>
          <w:sz w:val="28"/>
        </w:rPr>
        <w:t>格式九：</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广州市增城区水务建设管理所</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w:t>
      </w:r>
    </w:p>
    <w:p>
      <w:pPr>
        <w:ind w:firstLine="480"/>
      </w:pPr>
      <w:r>
        <w:rPr/>
        <w:t>（以下格式文件由供应商根据需要选用）</w:t>
      </w:r>
    </w:p>
    <w:p>
      <w:pPr>
        <w:ind w:firstLine="480"/>
      </w:pPr>
      <w:r>
        <w:rP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r>
        <w:rPr/>
        <w:t>1：从业人员、营业收入、资产总额填报上一年度数据，无上一年度数据的新成立企业可不填报。</w:t>
      </w:r>
    </w:p>
    <w:p>
      <w:pPr>
        <w:ind w:firstLine="480"/>
      </w:pPr>
      <w:r>
        <w:rPr/>
        <w:t>2：投标人应当自行核实是否属于小微企业，并认真填写声明函，若有虚假将追究其责任。</w:t>
      </w:r>
    </w:p>
    <w:p>
      <w:r>
        <w:rPr/>
        <w:t>温馨提示：根据《广州市财政局 广州市工业和信息化局转发广东省财政厅 广东省发展和改革委员会 广东省工业和信息化厅 广东省地方 金融监督管理局关于印发《广东省政府采购促进中小企业发展实施 细则（试行）》的通知》的精神，投标人需根据以下要求对其出具的《中小企业声明函》的信息进行完善和规范。</w:t>
      </w:r>
    </w:p>
    <w:p>
      <w:pPr>
        <w:ind w:firstLine="480"/>
      </w:pPr>
      <w:r>
        <w:rPr/>
        <w:t>（一）对于已纳入统计部门统计范围的企业，所属行业、从业人员、营业收入、资产总额、规模类型应与统计部门报表保持一致。</w:t>
      </w:r>
    </w:p>
    <w:p>
      <w:pPr>
        <w:ind w:firstLine="480"/>
      </w:pPr>
      <w:r>
        <w:rPr/>
        <w:t>（二）对于未纳入统计部门统计范围的企业，应对照《国民经济行业分类》确定所属行业，当企业从事两种以上的经济活动时，则按照主要活动确定其所属行业；从业人数可以社会保险参保人数为准；营业收入、资产总额可以第三方出具的报告为准。</w:t>
      </w:r>
    </w:p>
    <w:p>
      <w:pPr>
        <w:ind w:firstLine="480"/>
      </w:pPr>
      <w:r>
        <w:rPr/>
        <w:t>（三）对于采购文件确实允许非独立法人参与采购活动的，应按其所属集团公司合并财务报表数据情况予以填报。以联合体形式参加或者合同分包的，需填写联合体中的中小企业或签订分包意向协议的中小企业相关信息。</w:t>
      </w:r>
    </w:p>
    <w:p>
      <w:pPr>
        <w:ind w:firstLine="480"/>
      </w:pPr>
      <w:r>
        <w:rPr/>
        <w:t>（四）《中小企业声明函》真实性由其出具的供应商负责。《中小企业声明函》中相关企业[制造商、承建（承接）企业]所属行业应当与采购标的的所属行业相一致。如为货物采购项目，《中小企业声明函》应当充分、准确反映货物制造商的信息。</w:t>
      </w:r>
    </w:p>
    <w:p>
      <w:pPr>
        <w:ind w:firstLine="480"/>
      </w:pPr>
      <w:r>
        <w:rPr/>
        <w:t>（五）对于专门面向中小企业预留份额的采购项目或者采购包，《中小企业声明函》由采购人、采购代理机构在资格审查阶段审查；对于不专门面向中小企业采购的采购项目或者采购包，以及接受大中型企业与小微企业组成联合体或者允许大中型企业向一家或者多家小微企业分包的采购项目，《中小企业声明函》由评审委员会在评审过程中审查。</w:t>
      </w:r>
    </w:p>
    <w:p>
      <w:pPr>
        <w:ind w:firstLine="480"/>
      </w:pPr>
      <w:r>
        <w:rPr/>
        <w:t>（六）经调查发现供应商提供《中小企业声明函》内容与实际不符的，政府采购监管部门有权根据《中小企业声明函》与实际情况的差异视情形认定其是否属于虚假材料谋取中标。</w:t>
      </w:r>
    </w:p>
    <w:p>
      <w:pPr>
        <w:ind w:firstLine="480"/>
      </w:pPr>
    </w:p>
    <w:p>
      <w:r>
        <w:rPr/>
        <w:t xml:space="preserve"> </w:t>
      </w:r>
    </w:p>
    <w:p/>
    <w:p>
      <w:r>
        <w:rPr>
          <w:b/>
          <w:sz w:val="28"/>
        </w:rPr>
        <w:t>格式十一：</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r>
        <w:rPr/>
        <w:t xml:space="preserve"> 单位名称（盖章）：__________________</w:t>
      </w:r>
    </w:p>
    <w:p>
      <w:r>
        <w:rPr/>
        <w:t>日期： 年 月 日</w:t>
      </w:r>
    </w:p>
    <w:p>
      <w:pPr>
        <w:ind w:firstLine="480"/>
      </w:pPr>
      <w:r>
        <w:rPr/>
        <w:t>注：本函未填写或未勾选视作未做声明。</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联合体共同投标协议书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自愿组成联合体，以一个投标人的身份共同参加（采购项目名称）（采购项目编号）的响应活动。经各方充分协商一致，就项目的响应和合同实施阶段的有关事务协商一致订立协议如下：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共同组成一个联合体，以一个投标人的身份共同参加本项目的响应。（甲公司全称）、（乙公司全称）、（……公司全称）作为联合体成员，若中标，联合体各方共同与采购人签订政府采购合同。</w:t>
      </w:r>
    </w:p>
    <w:p>
      <w:pPr>
        <w:ind w:firstLine="480"/>
      </w:pPr>
      <w:r>
        <w:rPr/>
        <w:t>二、联合体内部有关事项约定如下：</w:t>
      </w:r>
    </w:p>
    <w:p>
      <w:pPr>
        <w:ind w:firstLine="480"/>
      </w:pPr>
      <w:r>
        <w:rPr/>
        <w:t>1.（甲公司全称）作为联合体的牵头单位，代表联合体双方负责投标和合同实施阶段的主办、协调工作。</w:t>
      </w:r>
    </w:p>
    <w:p>
      <w:pPr>
        <w:ind w:firstLine="480"/>
      </w:pPr>
      <w:r>
        <w:rPr/>
        <w:t>2.联合体将严格按照文件的各项要求，递交投标文件，切实执行一切合同文件，共同承担合同规定的一切义务和责任，同时按照内部职责的划分，承担自身所负的责任和风险，在法律在承担连带责任。</w:t>
      </w:r>
    </w:p>
    <w:p>
      <w:pPr>
        <w:ind w:firstLine="480"/>
      </w:pPr>
      <w:r>
        <w:rPr/>
        <w:t>3.如果本联合体中标，</w:t>
      </w:r>
      <w:r>
        <w:rPr>
          <w:u w:val="single"/>
        </w:rPr>
        <w:t>（甲公司全称）</w:t>
      </w:r>
      <w:r>
        <w:rPr/>
        <w:t>负责本项目___________部分，</w:t>
      </w:r>
      <w:r>
        <w:rPr>
          <w:u w:val="single"/>
        </w:rPr>
        <w:t>（乙公司全称）</w:t>
      </w:r>
      <w:r>
        <w:rPr/>
        <w:t>负责本项目___________部分。</w:t>
      </w:r>
    </w:p>
    <w:p>
      <w:pPr>
        <w:ind w:firstLine="480"/>
      </w:pPr>
      <w:r>
        <w:rPr/>
        <w:t>4.如中标，联合体各方共同与（采购人）签订合同书，并就中标项目向采购人负责有连带的和各自的法律责任；</w:t>
      </w:r>
    </w:p>
    <w:p>
      <w:pPr>
        <w:ind w:firstLine="480"/>
      </w:pPr>
      <w:r>
        <w:rPr/>
        <w:t>5.联合体成员（公司全称）为（请填写：小型、微型）企业，将承担合同总金额_____%的工作内容（联合体成员中有小型、微型企业时适用）。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五、本协议在自签署之日起生效，有效期内有效，如获中标资格，合同有效期延续至合同履行完毕之日。</w:t>
      </w:r>
    </w:p>
    <w:p>
      <w:pPr>
        <w:ind w:firstLine="480"/>
      </w:pPr>
      <w:r>
        <w:rPr/>
        <w:t>六、本协议书正本一式_____份，随投标文件装订_____份，送采购人_____份，联合体成员各一份；副本一式_____份，联合体成员各执_____份。</w:t>
      </w:r>
    </w:p>
    <w:p>
      <w:r>
        <w:rPr/>
        <w:t>甲公司全称：____（盖章）________，乙公司全称：____（盖章）________，……公司全称：____（盖章）________，</w:t>
      </w:r>
    </w:p>
    <w:p>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投标人业绩情况表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根据上述业绩情况，按招标文件要求附销售或服务合同复印件及评审标准要求的证明材料。</w:t>
      </w:r>
    </w:p>
    <w:p>
      <w:pPr>
        <w:ind w:firstLine="480"/>
      </w:pPr>
    </w:p>
    <w:p>
      <w:r>
        <w:rPr/>
        <w:t xml:space="preserve"> </w:t>
      </w:r>
    </w:p>
    <w:p/>
    <w:p>
      <w:r>
        <w:rPr>
          <w:b/>
          <w:sz w:val="28"/>
        </w:rPr>
        <w:t>格式十五：</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采购文件规定的技术和服务要求</w:t>
            </w:r>
          </w:p>
        </w:tc>
        <w:tc>
          <w:tcPr>
            <w:tcW w:type="dxa" w:w="923"/>
          </w:tcPr>
          <w:p>
            <w:r>
              <w:rPr/>
              <w:t>投标文件响应的具体内容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1.“采购文件规定的技术和服务要求”项下填写的内容应与招标文件中采购需求的</w:t>
        <w:tab/>
        <w:tab/>
        <w:t>“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2.</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3. “是否偏离”项下应按下列规定填写：优于的，填写“正偏离”；符合的，填写“无偏离”；低于的，填写“负偏离”。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格式十六：</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采购文件规定的商务条件</w:t>
            </w:r>
          </w:p>
        </w:tc>
        <w:tc>
          <w:tcPr>
            <w:tcW w:type="dxa" w:w="1187"/>
          </w:tcPr>
          <w:p>
            <w:r>
              <w:rPr/>
              <w:t>投标文件响应的具体内容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 “采购文件规定的商务条件”项下填写的内容应与招标文件中采购需求的 “商务要求”的内容保持一致。</w:t>
      </w:r>
    </w:p>
    <w:p>
      <w:pPr>
        <w:ind w:firstLine="480"/>
      </w:pPr>
      <w:r>
        <w:rPr/>
        <w:t>2.</w:t>
        <w:tab/>
        <w:tab/>
        <w:tab/>
        <w:t xml:space="preserve"> 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firstLine="480"/>
      </w:pPr>
      <w:r>
        <w:rPr/>
        <w:t>3.</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4. “是否偏离”项下应按下列规定填写：优于的，填写“正偏离”；符合的，填写“无偏离”；低于的，填写“负偏离”。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格式十七：</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r>
              <w:rPr/>
              <w:t>1</w:t>
            </w:r>
          </w:p>
        </w:tc>
        <w:tc>
          <w:tcPr>
            <w:tcW w:type="dxa" w:w="2076"/>
          </w:tcPr>
          <w:p>
            <w:r>
              <w:rPr/>
              <w:t>拟定___年___月___日</w:t>
            </w:r>
          </w:p>
        </w:tc>
        <w:tc>
          <w:tcPr>
            <w:tcW w:type="dxa" w:w="2076"/>
          </w:tcPr>
          <w:p>
            <w:r>
              <w:rPr/>
              <w:t>签定合同并生效</w:t>
            </w:r>
          </w:p>
        </w:tc>
        <w:tc>
          <w:tcPr>
            <w:tcW w:type="dxa" w:w="2076"/>
          </w:tcPr>
          <w:p/>
        </w:tc>
      </w:tr>
      <w:tr>
        <w:tc>
          <w:tcPr>
            <w:tcW w:type="dxa" w:w="2076"/>
          </w:tcPr>
          <w:p>
            <w:r>
              <w:rPr/>
              <w:t>2</w:t>
            </w:r>
          </w:p>
        </w:tc>
        <w:tc>
          <w:tcPr>
            <w:tcW w:type="dxa" w:w="2076"/>
          </w:tcPr>
          <w:p>
            <w:r>
              <w:rPr/>
              <w:t>___月___日—___月___日</w:t>
            </w:r>
          </w:p>
        </w:tc>
        <w:tc>
          <w:tcPr>
            <w:tcW w:type="dxa" w:w="2076"/>
          </w:tcPr>
          <w:p/>
        </w:tc>
        <w:tc>
          <w:tcPr>
            <w:tcW w:type="dxa" w:w="2076"/>
          </w:tcPr>
          <w:p/>
        </w:tc>
      </w:tr>
      <w:tr>
        <w:tc>
          <w:tcPr>
            <w:tcW w:type="dxa" w:w="2076"/>
          </w:tcPr>
          <w:p>
            <w:r>
              <w:rPr/>
              <w:t>3</w:t>
            </w:r>
          </w:p>
        </w:tc>
        <w:tc>
          <w:tcPr>
            <w:tcW w:type="dxa" w:w="2076"/>
          </w:tcPr>
          <w:p>
            <w:r>
              <w:rPr/>
              <w:t>___月___日—___月___日</w:t>
            </w:r>
          </w:p>
        </w:tc>
        <w:tc>
          <w:tcPr>
            <w:tcW w:type="dxa" w:w="2076"/>
          </w:tcPr>
          <w:p/>
        </w:tc>
        <w:tc>
          <w:tcPr>
            <w:tcW w:type="dxa" w:w="2076"/>
          </w:tcPr>
          <w:p/>
        </w:tc>
      </w:tr>
      <w:tr>
        <w:tc>
          <w:tcPr>
            <w:tcW w:type="dxa" w:w="2076"/>
          </w:tcPr>
          <w:p>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各类证明材料</w:t>
      </w:r>
    </w:p>
    <w:p>
      <w:pPr>
        <w:ind w:firstLine="480"/>
      </w:pPr>
      <w:r>
        <w:rPr/>
        <w:t>1.招标文件要求提供的其他资料。</w:t>
      </w:r>
    </w:p>
    <w:p>
      <w:pPr>
        <w:ind w:firstLine="480"/>
      </w:pPr>
      <w:r>
        <w:rPr/>
        <w:t>2.投标人认为需提供的其他资料。</w:t>
      </w:r>
    </w:p>
    <w:p>
      <w:pPr>
        <w:ind w:firstLine="480"/>
      </w:pPr>
    </w:p>
    <w:p>
      <w:r>
        <w:rPr/>
        <w:t xml:space="preserve"> </w:t>
      </w:r>
    </w:p>
    <w:p/>
    <w:p>
      <w:r>
        <w:rPr>
          <w:b/>
          <w:sz w:val="28"/>
        </w:rPr>
        <w:t>格式十九：</w:t>
      </w:r>
    </w:p>
    <w:p>
      <w:pPr>
        <w:jc w:val="center"/>
      </w:pPr>
      <w:r>
        <w:rPr>
          <w:b/>
          <w:sz w:val="24"/>
        </w:rPr>
        <w:t>采购代理服务费支付承诺书</w:t>
      </w:r>
    </w:p>
    <w:p>
      <w:pPr>
        <w:ind w:firstLine="480"/>
      </w:pPr>
      <w:r>
        <w:rPr/>
        <w:t>致：</w:t>
      </w:r>
      <w:r>
        <w:rPr/>
        <w:t>广州粤信工程项目管理有限公司</w:t>
      </w:r>
    </w:p>
    <w:p>
      <w:pPr>
        <w:ind w:firstLine="480"/>
      </w:pPr>
      <w:r>
        <w:rPr/>
        <w:t>如果我方在贵采购代理机构组织的</w:t>
      </w:r>
      <w:r>
        <w:rPr/>
        <w:t>柯灯山水厂取水口迁移工程辅助管理服务</w:t>
      </w:r>
      <w:r>
        <w:rPr/>
        <w:t>招标中获中标（采购项目编号：</w:t>
      </w:r>
      <w:r>
        <w:rPr/>
        <w:t>440118-2023-01570</w:t>
      </w:r>
      <w:r>
        <w:rPr/>
        <w:t>），我方保证在收取《中标通知书》时，按招标文件对代理服务费支付方式的约定，承担本项目代理服务费。</w:t>
      </w:r>
    </w:p>
    <w:p>
      <w:pPr>
        <w:ind w:firstLine="480"/>
      </w:pPr>
      <w:r>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t>广州粤信工程项目管理有限公司</w:t>
      </w:r>
      <w:r>
        <w:rPr/>
        <w:t>的要求办理支付手续。</w:t>
      </w:r>
    </w:p>
    <w:p>
      <w:pPr>
        <w:ind w:firstLine="480"/>
      </w:pPr>
      <w:r>
        <w:rPr/>
        <w:t>特此承诺！</w:t>
      </w:r>
    </w:p>
    <w:p>
      <w:pPr>
        <w:ind w:firstLine="480"/>
      </w:pPr>
    </w:p>
    <w:p>
      <w:r>
        <w:rPr/>
        <w:t>投标人法定名称（公章）；_____________________</w:t>
      </w:r>
    </w:p>
    <w:p>
      <w:r>
        <w:rPr/>
        <w:t>投标人法定地址：_____________________</w:t>
      </w:r>
    </w:p>
    <w:p>
      <w:r>
        <w:rPr/>
        <w:t>投标人授权代表（签字或盖章）：_____________________</w:t>
      </w:r>
    </w:p>
    <w:p>
      <w:r>
        <w:rPr/>
        <w:t>电 话：_____________________</w:t>
      </w:r>
    </w:p>
    <w:p>
      <w:r>
        <w:rPr/>
        <w:t>传 真：_____________________</w:t>
      </w:r>
    </w:p>
    <w:p>
      <w:r>
        <w:rPr/>
        <w:t>承诺日期：_____________________</w:t>
      </w:r>
    </w:p>
    <w:p>
      <w:pPr>
        <w:ind w:firstLine="480"/>
      </w:pPr>
    </w:p>
    <w:p>
      <w:r>
        <w:rPr/>
        <w:t xml:space="preserve"> </w:t>
      </w:r>
    </w:p>
    <w:p/>
    <w:p>
      <w:r>
        <w:rPr>
          <w:b/>
          <w:sz w:val="28"/>
        </w:rPr>
        <w:t>格式二十：</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投标人需要采购人提供的附加条件</w:t>
            </w:r>
          </w:p>
        </w:tc>
      </w:tr>
      <w:tr>
        <w:tc>
          <w:tcPr>
            <w:tcW w:type="dxa" w:w="4153"/>
          </w:tcPr>
          <w:p>
            <w:r>
              <w:rPr/>
              <w:t>1</w:t>
            </w:r>
          </w:p>
        </w:tc>
        <w:tc>
          <w:tcPr>
            <w:tcW w:type="dxa" w:w="4153"/>
          </w:tcPr>
          <w:p/>
        </w:tc>
      </w:tr>
      <w:tr>
        <w:tc>
          <w:tcPr>
            <w:tcW w:type="dxa" w:w="4153"/>
          </w:tcPr>
          <w:p>
            <w:r>
              <w:rPr/>
              <w:t>2</w:t>
            </w:r>
          </w:p>
        </w:tc>
        <w:tc>
          <w:tcPr>
            <w:tcW w:type="dxa" w:w="4153"/>
          </w:tcPr>
          <w:p/>
        </w:tc>
      </w:tr>
      <w:tr>
        <w:tc>
          <w:tcPr>
            <w:tcW w:type="dxa" w:w="4153"/>
          </w:tcPr>
          <w:p>
            <w:r>
              <w:rPr/>
              <w:t>3</w:t>
            </w:r>
          </w:p>
        </w:tc>
        <w:tc>
          <w:tcPr>
            <w:tcW w:type="dxa" w:w="4153"/>
          </w:tcPr>
          <w:p/>
        </w:tc>
      </w:tr>
    </w:tbl>
    <w:p>
      <w:pPr>
        <w:ind w:firstLine="480"/>
      </w:pPr>
      <w:r>
        <w:rP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rPr/>
        <w:t xml:space="preserve"> </w:t>
      </w:r>
    </w:p>
    <w:p/>
    <w:p>
      <w:r>
        <w:rPr>
          <w:b/>
          <w:sz w:val="28"/>
        </w:rPr>
        <w:t>格式二十一：</w:t>
      </w:r>
    </w:p>
    <w:p>
      <w:pPr>
        <w:ind w:firstLine="480"/>
      </w:pPr>
      <w:r>
        <w:rPr/>
        <w:t>（以下格式文件由供应商根据需要选用）</w:t>
      </w:r>
    </w:p>
    <w:p>
      <w:pPr>
        <w:ind w:firstLine="480"/>
      </w:pPr>
      <w:r>
        <w:rPr/>
        <w:t>项目实施方案、质量保证及售后服务承诺等内容和格式自拟。</w:t>
      </w:r>
    </w:p>
    <w:p>
      <w:pPr>
        <w:ind w:firstLine="480"/>
      </w:pPr>
    </w:p>
    <w:p>
      <w:r>
        <w:rPr/>
        <w:t xml:space="preserve"> </w:t>
      </w:r>
    </w:p>
    <w:p/>
    <w:p>
      <w:r>
        <w:rPr>
          <w:b/>
          <w:sz w:val="28"/>
        </w:rPr>
        <w:t>格式二十二：</w:t>
      </w:r>
    </w:p>
    <w:p>
      <w:pPr>
        <w:ind w:firstLine="480"/>
      </w:pPr>
      <w:r>
        <w:rPr/>
        <w:t>附件（以下格式文件由供应商根据需要选用）</w:t>
      </w:r>
    </w:p>
    <w:p>
      <w:pPr>
        <w:jc w:val="center"/>
      </w:pPr>
      <w:r>
        <w:rPr>
          <w:b/>
          <w:sz w:val="24"/>
        </w:rPr>
        <w:t>政府采购投标（响应）担保函</w:t>
      </w:r>
    </w:p>
    <w:p>
      <w:r>
        <w:rPr/>
        <w:t>编号：【 】号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rPr/>
        <w:t>一、保险责任的情形及保证金额</w:t>
      </w:r>
    </w:p>
    <w:p>
      <w:pPr>
        <w:ind w:firstLine="480"/>
      </w:pPr>
      <w:r>
        <w:rPr/>
        <w:t>（一）在投标（响应）人出现下列情形之一时，我方承担保险责任：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（二）我方承担保险责任的最高金额为人民币__________元（大写）即本项目的投标（响应）保证金金额。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我方的保证期间为：本保险凭证自__年__月__日起生效，有效期至开标日后的90天内。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 法院。</w:t>
      </w:r>
    </w:p>
    <w:p>
      <w:pPr>
        <w:ind w:firstLine="480"/>
      </w:pPr>
      <w:r>
        <w:rPr/>
        <w:t>七、保函的生效</w:t>
      </w:r>
    </w:p>
    <w:p>
      <w:pPr>
        <w:ind w:firstLine="480"/>
      </w:pPr>
      <w:r>
        <w:rPr/>
        <w:t>本保函自我方加盖公章之日起生效。</w:t>
      </w:r>
    </w:p>
    <w:p>
      <w:pPr>
        <w:ind w:firstLine="480"/>
      </w:pPr>
    </w:p>
    <w:p>
      <w:r>
        <w:rPr/>
        <w:t>保证人：_______（公章）_______</w:t>
      </w:r>
    </w:p>
    <w:p>
      <w:r>
        <w:rPr/>
        <w:t>联系人：____________________</w:t>
      </w:r>
    </w:p>
    <w:p>
      <w:r>
        <w:rPr/>
        <w:t>联系电话：____________________</w:t>
      </w:r>
    </w:p>
    <w:p>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