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tbl>
      <w:tblPr>
        <w:tblStyle w:val="6"/>
        <w:tblW w:w="9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2025"/>
        <w:gridCol w:w="1145"/>
        <w:gridCol w:w="220"/>
        <w:gridCol w:w="448"/>
        <w:gridCol w:w="859"/>
        <w:gridCol w:w="928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929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 w:bidi="ar"/>
              </w:rPr>
              <w:t>广州市增城区劳动人事争议仲裁委员会                       兼职仲裁员报名表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45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33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首次取得劳动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人事争议仲裁员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证书时间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现劳动人事争议仲裁员证书上的聘任机构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9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是否符合以下条件（请在符合条件“□”前划“√”）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929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□曾任审判员（在职审判员除外）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□从事法律研究、教学工作并具有中级以上职称的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□具有法律知识、从事人力资源管理或者工会等专业工作满5年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□律师执业满三年的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0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个人简历：主要学历及工作经历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29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29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96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29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29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29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29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929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                              （可另附纸张填写）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  <w:jc w:val="center"/>
        </w:trPr>
        <w:tc>
          <w:tcPr>
            <w:tcW w:w="1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个人鉴定</w:t>
            </w:r>
          </w:p>
        </w:tc>
        <w:tc>
          <w:tcPr>
            <w:tcW w:w="7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本人签名：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1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现在职单位意见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广州市增城区劳动人事争议仲裁委员会初审意见</w:t>
            </w:r>
          </w:p>
        </w:tc>
        <w:tc>
          <w:tcPr>
            <w:tcW w:w="770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审核人签名：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  <w:jc w:val="center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广州市增城区劳动人事争议仲裁委员会综合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评定意见</w:t>
            </w:r>
          </w:p>
        </w:tc>
        <w:tc>
          <w:tcPr>
            <w:tcW w:w="770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领导签名：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929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备注：本表格一式两份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ODRkZjQzYmRmYzdiNGI1YWI5ZTg2NTQyNGNlNDAifQ=="/>
  </w:docVars>
  <w:rsids>
    <w:rsidRoot w:val="40AD1E81"/>
    <w:rsid w:val="0F03132E"/>
    <w:rsid w:val="1D384476"/>
    <w:rsid w:val="40A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347</Characters>
  <Lines>0</Lines>
  <Paragraphs>0</Paragraphs>
  <TotalTime>17</TotalTime>
  <ScaleCrop>false</ScaleCrop>
  <LinksUpToDate>false</LinksUpToDate>
  <CharactersWithSpaces>854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2023-03-07T01:26:00Z</dcterms:created>
  <dc:creator>清华</dc:creator>
  <cp:lastModifiedBy>清华</cp:lastModifiedBy>
  <cp:lastPrinted>2023-03-07T01:30:00Z</cp:lastPrinted>
  <dcterms:modified xsi:type="dcterms:W3CDTF">2023-03-09T07:19:07Z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B1EAEF3F97DA45BEA997DE1027274187</vt:lpwstr>
  </property>
</Properties>
</file>