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增江街联益村“沉香谷”309.192亩林地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经营权流转招商评分表</w:t>
      </w:r>
    </w:p>
    <w:p>
      <w:pPr>
        <w:jc w:val="both"/>
        <w:outlineLvl w:val="2"/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pacing w:val="1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pacing w:val="11"/>
          <w:kern w:val="2"/>
          <w:sz w:val="32"/>
          <w:szCs w:val="32"/>
          <w:highlight w:val="none"/>
          <w:lang w:val="en-US" w:eastAsia="zh-CN" w:bidi="ar-SA"/>
        </w:rPr>
        <w:t>（一）技术部分评分表（70%权重）</w:t>
      </w:r>
    </w:p>
    <w:tbl>
      <w:tblPr>
        <w:tblStyle w:val="12"/>
        <w:tblW w:w="8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44"/>
        <w:gridCol w:w="5388"/>
        <w:gridCol w:w="845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bidi="ar"/>
              </w:rPr>
              <w:t>评审因素</w:t>
            </w:r>
          </w:p>
        </w:tc>
        <w:tc>
          <w:tcPr>
            <w:tcW w:w="5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bidi="ar"/>
              </w:rPr>
              <w:t>评分细则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  <w:t>权重（%）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bidi="ar"/>
              </w:rPr>
              <w:t>分值（分）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总体实施方案</w:t>
            </w:r>
          </w:p>
        </w:tc>
        <w:tc>
          <w:tcPr>
            <w:tcW w:w="5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总体实施方案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包括但不限于投资方提供的①服务总体模式、②配套措施、③工作制度、④服务内容和目标、⑤奇楠沉香种植或育种管理方案进行评审：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1、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总体实施方案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涵盖上述5项内容且方案描述严谨，详细完整、科学合理，可行性高，可操作性高，得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.0分；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2、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总体实施方案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涵盖上述5项内容且方案描述完整但不具严谨度，具有一定的合理性，可行性较高，具有一定的可操作性，得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.0分；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3、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总体实施方案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涵盖上述5项内容且方案描述清晰，但完整度不高，合理性一般，具有一定的可行性、可操作性，得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.0分；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4、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总体实施方案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涵盖上述5项内容但方案描述不清晰，合理性不高，可行性和可操作性较差，得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.0分；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5、无或其他情形的不得分。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highlight w:val="none"/>
              </w:rPr>
              <w:t>%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奇楠沉香种植或育种管养质量目标及保证措施</w:t>
            </w:r>
          </w:p>
        </w:tc>
        <w:tc>
          <w:tcPr>
            <w:tcW w:w="5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奇楠沉香种植或育种管养质量目标及保证措施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包括但不限于投资方提供的①质量目标、②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质量管理制度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、③质量确保措施、④安全生产保证措施、⑤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管养技术措施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进行评审：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1、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奇楠沉香种植或育种管养质量目标及保证措施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涵盖上述5项内容且方案描述严谨，详细完整、科学合理，可行性高，可操作性高，得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.0分；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2、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奇楠沉香种植或育种管养质量目标及保证措施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涵盖上述5项内容且方案描述完整但不具严谨度，具有一定的合理性，可行性较高，具有一定的可操作性，得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.0分；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3、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奇楠沉香种植或育种管养质量目标及保证措施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涵盖上述5项内容且方案描述清晰，但完整度不高，合理性一般，具有一定的可行性、可操作性，得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.0分；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4、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奇楠沉香种植或育种管养质量目标及保证措施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涵盖上述5项内容但方案描述不清晰，合理性不高，可行性和可操作性较差，得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.0分；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5、无或其他情形的不得分。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</w:rPr>
              <w:t>%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bidi="ar"/>
              </w:rPr>
              <w:t>20分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紧急、突发事件的保障措施</w:t>
            </w:r>
          </w:p>
        </w:tc>
        <w:tc>
          <w:tcPr>
            <w:tcW w:w="5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紧急、突发事件的保障措施包括但不限于投资方提供的①事件发生的预警措施、②处理安排方案、③人员调配的及时性、④事后的保障措施方面进行评审：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1、保障措施涵盖上述4项内容且处理紧急、突发事件保障措施详细完整、事件处理的执行力强、人员调配方案有效性高、保障措施针对性强，可行性高，得15.0分；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2、保障措施涵盖上述4项内容且处理紧急、突发事件保障措施清晰、完整，事件处理的执行力较强、人员调配方案具有一定的有效性、保障措施具有一定的针对性，可行性较高，得10.0分；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3、保障措施涵盖上述4项内容且处理紧急、突发事件保障措施描述较为清晰，事件处理具有一定的执行力、人员调配方案有效性较好、保障措施针对性一般，可行性一般，得5.0分；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4、保障措施涵盖上述4项内容但处理紧急、突发事件保障措施描述清晰度差，事件处理执行力一般、人员调配方案有效性一般、保障措施不具针对性，可行性较差，得1.0分；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5、无或其他情形的不得分。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highlight w:val="none"/>
              </w:rPr>
              <w:t>%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人员培训及管理方案</w:t>
            </w:r>
          </w:p>
        </w:tc>
        <w:tc>
          <w:tcPr>
            <w:tcW w:w="5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人员培训及管理方案包括但不限于投资方提供的①岗前培训、②在岗培训、③考勤管理、④定期考核管理进行评审：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1、方案涵盖上述4项内容且方案描述详细、科学，合理性高、符合采购需求，管理制度严谨可靠、职权明确，可行性高，可操作性高，得15.0分；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2、方案涵盖上述4项内容且方案描述清晰、完整，具有一定的合理性、符合采购需求，管理制度清晰、职权明确，具有一定的可行性，可操作性较高，得10.0分；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3、方案涵盖上述4项内容且方案描述清晰、但完整度不高，合理性一般、基本符合采购需求，管理制度清晰、职权描述不够明确，可行性和可操作性一般，得5.0分；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4、方案涵盖上述4项内容但方案描述清晰度差，合理性一般、基本符合采购需求，管理制度不够清晰、职权描述不明确，可行性和可操作性较差，得1.0分；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5、无或其他情形的不得分。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highlight w:val="none"/>
              </w:rPr>
              <w:t>15%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highlight w:val="none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6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trike w:val="0"/>
                <w:dstrike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trike w:val="0"/>
                <w:dstrike w:val="0"/>
                <w:color w:val="auto"/>
                <w:sz w:val="24"/>
                <w:szCs w:val="24"/>
                <w:highlight w:val="none"/>
                <w:lang w:bidi="ar"/>
              </w:rPr>
              <w:t>合计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70</w:t>
            </w: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70</w:t>
            </w: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lang w:bidi="ar"/>
              </w:rPr>
              <w:t>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auto"/>
          <w:kern w:val="0"/>
          <w:sz w:val="24"/>
          <w:szCs w:val="24"/>
          <w:highlight w:val="none"/>
          <w:lang w:bidi="ar"/>
        </w:rPr>
        <w:t>说明：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24"/>
          <w:szCs w:val="24"/>
          <w:highlight w:val="none"/>
          <w:lang w:val="en-US" w:eastAsia="zh-CN" w:bidi="ar"/>
        </w:rPr>
        <w:t>1、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auto"/>
          <w:kern w:val="0"/>
          <w:sz w:val="24"/>
          <w:szCs w:val="24"/>
          <w:highlight w:val="none"/>
          <w:lang w:bidi="ar"/>
        </w:rPr>
        <w:t>上表所列为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auto"/>
          <w:kern w:val="0"/>
          <w:sz w:val="24"/>
          <w:szCs w:val="24"/>
          <w:highlight w:val="none"/>
          <w:lang w:eastAsia="zh-CN" w:bidi="ar"/>
        </w:rPr>
        <w:t>投资方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auto"/>
          <w:kern w:val="0"/>
          <w:sz w:val="24"/>
          <w:szCs w:val="24"/>
          <w:highlight w:val="none"/>
          <w:lang w:bidi="ar"/>
        </w:rPr>
        <w:t>的技术条件。请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auto"/>
          <w:kern w:val="0"/>
          <w:sz w:val="24"/>
          <w:szCs w:val="24"/>
          <w:highlight w:val="none"/>
          <w:lang w:eastAsia="zh-CN" w:bidi="ar"/>
        </w:rPr>
        <w:t>投资方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auto"/>
          <w:kern w:val="0"/>
          <w:sz w:val="24"/>
          <w:szCs w:val="24"/>
          <w:highlight w:val="none"/>
          <w:lang w:bidi="ar"/>
        </w:rPr>
        <w:t>严格按照要求提交相关证明材料，否则有可能影响评审结果。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trike w:val="0"/>
          <w:dstrike w:val="0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auto"/>
          <w:kern w:val="0"/>
          <w:sz w:val="24"/>
          <w:szCs w:val="24"/>
          <w:highlight w:val="none"/>
          <w:lang w:bidi="ar"/>
        </w:rPr>
        <w:t>将所有评标委员会成员所评各项的得分进行算术平均（按四舍五入原则精确到小数点后三位），再汇总得出该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auto"/>
          <w:kern w:val="0"/>
          <w:sz w:val="24"/>
          <w:szCs w:val="24"/>
          <w:highlight w:val="none"/>
          <w:lang w:eastAsia="zh-CN" w:bidi="ar"/>
        </w:rPr>
        <w:t>投资方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auto"/>
          <w:kern w:val="0"/>
          <w:sz w:val="24"/>
          <w:szCs w:val="24"/>
          <w:highlight w:val="none"/>
          <w:lang w:bidi="ar"/>
        </w:rPr>
        <w:t>的技术评分（按四舍五入原则精确到小数点后两位）。</w:t>
      </w:r>
    </w:p>
    <w:p>
      <w:pPr>
        <w:pStyle w:val="2"/>
        <w:rPr>
          <w:rFonts w:hint="eastAsia"/>
          <w:color w:val="auto"/>
          <w:highlight w:val="none"/>
        </w:rPr>
      </w:pPr>
    </w:p>
    <w:p>
      <w:pPr>
        <w:jc w:val="both"/>
        <w:outlineLvl w:val="2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11"/>
          <w:kern w:val="2"/>
          <w:sz w:val="32"/>
          <w:szCs w:val="32"/>
          <w:highlight w:val="none"/>
          <w:lang w:val="en-US" w:eastAsia="zh-CN" w:bidi="ar-SA"/>
        </w:rPr>
        <w:t>（二）商务部分评分表（30%权重）</w:t>
      </w:r>
    </w:p>
    <w:tbl>
      <w:tblPr>
        <w:tblStyle w:val="12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50"/>
        <w:gridCol w:w="5251"/>
        <w:gridCol w:w="709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bidi="ar"/>
              </w:rPr>
              <w:t>评审因素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bidi="ar"/>
              </w:rPr>
              <w:t>评分细则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  <w:t>权重（%）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bidi="ar"/>
              </w:rPr>
              <w:t>分值（分）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bidi="ar"/>
              </w:rPr>
              <w:t>投资方履约能力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12" w:lineRule="auto"/>
              <w:rPr>
                <w:rFonts w:ascii="仿宋_GB2312" w:hAnsi="仿宋_GB2312" w:eastAsia="仿宋_GB2312" w:cs="仿宋_GB2312"/>
                <w:bCs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bidi="ar"/>
              </w:rPr>
              <w:t>投资方承诺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 w:bidi="ar"/>
              </w:rPr>
              <w:t>2027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 w:bidi="ar"/>
              </w:rPr>
              <w:t>12月底前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bidi="ar"/>
              </w:rPr>
              <w:t>投资总额不少于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single"/>
                <w:lang w:val="en-US" w:eastAsia="zh-CN" w:bidi="ar"/>
              </w:rPr>
              <w:t>1000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bidi="ar"/>
              </w:rPr>
              <w:t>万元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 w:bidi="ar"/>
              </w:rPr>
              <w:t>(包括配套设施建设投资）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eastAsia="zh-CN" w:bidi="ar"/>
              </w:rPr>
              <w:t>得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 w:bidi="ar"/>
              </w:rPr>
              <w:t>10分，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bidi="ar"/>
              </w:rPr>
              <w:t>在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eastAsia="zh-CN" w:bidi="ar"/>
              </w:rPr>
              <w:t>上述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bidi="ar"/>
              </w:rPr>
              <w:t>基础上每增加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u w:val="single"/>
                <w:lang w:val="en-US" w:eastAsia="zh-CN"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bidi="ar"/>
              </w:rPr>
              <w:t>万元加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bidi="ar"/>
              </w:rPr>
              <w:t>分，本项最高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 w:bidi="ar"/>
              </w:rPr>
              <w:t>得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bidi="ar"/>
              </w:rPr>
              <w:t>分，无或其他不得分。</w:t>
            </w:r>
          </w:p>
          <w:p>
            <w:pPr>
              <w:spacing w:line="312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bidi="ar"/>
              </w:rPr>
              <w:t>备注：①须提供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bidi="ar"/>
              </w:rPr>
              <w:t>对应评审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 w:bidi="ar"/>
              </w:rPr>
              <w:t>材料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bidi="ar"/>
              </w:rPr>
              <w:t>的复印件或扫描件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 w:bidi="ar"/>
              </w:rPr>
              <w:t>并加盖投资方单位公章；</w:t>
            </w:r>
          </w:p>
          <w:p>
            <w:pPr>
              <w:spacing w:line="312" w:lineRule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bidi="ar"/>
              </w:rPr>
              <w:t>②无或不提供的不得分。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bidi="ar"/>
              </w:rPr>
              <w:t>%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bidi="ar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bidi="ar"/>
              </w:rPr>
              <w:t>投资方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highlight w:val="none"/>
                <w:lang w:bidi="ar"/>
              </w:rPr>
              <w:t>提升改造能力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12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bidi="ar"/>
              </w:rPr>
              <w:t>投资方承诺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 w:bidi="ar"/>
              </w:rPr>
              <w:t>2027年12月底前与国内科研机构合作建立奇楠沉香研究基地，与市级以下（包括市级）科研机构合作得2分；与省级科研机构合作得4分；与国家级科研机构合作得6分。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 w:bidi="ar"/>
              </w:rPr>
              <w:t>以最高级别计算，不累计，不重复计分。</w:t>
            </w:r>
          </w:p>
          <w:p>
            <w:pPr>
              <w:spacing w:line="312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bidi="ar"/>
              </w:rPr>
              <w:t>备注：①须提供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bidi="ar"/>
              </w:rPr>
              <w:t>对应评审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 w:bidi="ar"/>
              </w:rPr>
              <w:t>材料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bidi="ar"/>
              </w:rPr>
              <w:t>的复印件或扫描件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 w:bidi="ar"/>
              </w:rPr>
              <w:t>并加盖投资方单位公章；</w:t>
            </w:r>
          </w:p>
          <w:p>
            <w:pPr>
              <w:spacing w:line="312" w:lineRule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bidi="ar"/>
              </w:rPr>
              <w:t>②无或不提供的不得分。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bidi="ar"/>
              </w:rPr>
              <w:t>%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bidi="ar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24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highlight w:val="none"/>
                <w:lang w:bidi="ar"/>
              </w:rPr>
              <w:t>投资方配置情况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bidi="ar"/>
              </w:rPr>
              <w:t>投资方承诺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 w:bidi="ar"/>
              </w:rPr>
              <w:t>2027年12月底前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bidi="ar"/>
              </w:rPr>
              <w:t>配置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eastAsia="zh-CN" w:bidi="ar"/>
              </w:rPr>
              <w:t>奇楠沉香研究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bidi="ar"/>
              </w:rPr>
              <w:t>试验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eastAsia="zh-CN" w:bidi="ar"/>
              </w:rPr>
              <w:t>场所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bidi="ar"/>
              </w:rPr>
              <w:t>、技术人员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eastAsia="zh-CN" w:bidi="ar"/>
              </w:rPr>
              <w:t>：承诺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bidi="ar"/>
              </w:rPr>
              <w:t>配置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eastAsia="zh-CN" w:bidi="ar"/>
              </w:rPr>
              <w:t>奇楠沉香研究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bidi="ar"/>
              </w:rPr>
              <w:t>试验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eastAsia="zh-CN" w:bidi="ar"/>
              </w:rPr>
              <w:t>场所得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 w:bidi="ar"/>
              </w:rPr>
              <w:t>4分；配置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eastAsia="zh-CN" w:bidi="ar"/>
              </w:rPr>
              <w:t>奇楠沉香管理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bidi="ar"/>
              </w:rPr>
              <w:t>技术人员得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 w:bidi="ar"/>
              </w:rPr>
              <w:t>4分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eastAsia="zh-CN" w:bidi="ar"/>
              </w:rPr>
              <w:t>。</w:t>
            </w:r>
          </w:p>
          <w:p>
            <w:pPr>
              <w:spacing w:line="312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bidi="ar"/>
              </w:rPr>
              <w:t>备注：①须提供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bidi="ar"/>
              </w:rPr>
              <w:t>对应评审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 w:bidi="ar"/>
              </w:rPr>
              <w:t>材料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bidi="ar"/>
              </w:rPr>
              <w:t>的复印件或扫描件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 w:bidi="ar"/>
              </w:rPr>
              <w:t>并加盖投资方单位公章；</w:t>
            </w:r>
          </w:p>
          <w:p>
            <w:pPr>
              <w:pStyle w:val="6"/>
              <w:widowControl/>
              <w:spacing w:line="324" w:lineRule="auto"/>
              <w:ind w:left="0" w:leftChars="0" w:right="0" w:rightChars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bidi="ar"/>
              </w:rPr>
              <w:t>②无或不提供的不得分。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bidi="ar"/>
              </w:rPr>
              <w:t>%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bidi="ar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6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bidi="ar"/>
              </w:rPr>
              <w:t>合计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30%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分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bidi="ar"/>
        </w:rPr>
        <w:t>说明：1.上表所列为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 w:bidi="ar"/>
        </w:rPr>
        <w:t>投资方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bidi="ar"/>
        </w:rPr>
        <w:t>的商务条件。请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 w:bidi="ar"/>
        </w:rPr>
        <w:t>投资方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bidi="ar"/>
        </w:rPr>
        <w:t>严格按照要求提交相关证明材料，否则有可能影响评审结果。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1"/>
          <w:kern w:val="2"/>
          <w:sz w:val="24"/>
          <w:szCs w:val="24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bidi="ar"/>
        </w:rPr>
        <w:t>将所有评标委员会成员所评各项的得分进行算术平均（按四舍五入原则精确到小数点后三位），再汇总得出该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 w:bidi="ar"/>
        </w:rPr>
        <w:t>投资方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bidi="ar"/>
        </w:rPr>
        <w:t>的商务评分（按四舍五入原则精确到小数点后两位）。</w:t>
      </w:r>
    </w:p>
    <w:p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6BDD39"/>
    <w:multiLevelType w:val="singleLevel"/>
    <w:tmpl w:val="E16BDD3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198EDA2"/>
    <w:multiLevelType w:val="singleLevel"/>
    <w:tmpl w:val="2198EDA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OGM2Mjc4NzViZGQ5Y2ViYTQ2OWUwYjgxZjY3MjEifQ=="/>
  </w:docVars>
  <w:rsids>
    <w:rsidRoot w:val="00000000"/>
    <w:rsid w:val="016110B2"/>
    <w:rsid w:val="020C2F8A"/>
    <w:rsid w:val="037546F4"/>
    <w:rsid w:val="037556E9"/>
    <w:rsid w:val="04C578EE"/>
    <w:rsid w:val="055670E7"/>
    <w:rsid w:val="09230186"/>
    <w:rsid w:val="09E42D4F"/>
    <w:rsid w:val="0B3118E9"/>
    <w:rsid w:val="0C054E76"/>
    <w:rsid w:val="0C49746F"/>
    <w:rsid w:val="0C5603BC"/>
    <w:rsid w:val="0C9320DF"/>
    <w:rsid w:val="0D7D62E4"/>
    <w:rsid w:val="0DEA37E9"/>
    <w:rsid w:val="0FE95416"/>
    <w:rsid w:val="10F743E2"/>
    <w:rsid w:val="10FD65E8"/>
    <w:rsid w:val="11646EA3"/>
    <w:rsid w:val="11831378"/>
    <w:rsid w:val="11C472C5"/>
    <w:rsid w:val="120C1CA1"/>
    <w:rsid w:val="132B4044"/>
    <w:rsid w:val="1417554F"/>
    <w:rsid w:val="14B30CFC"/>
    <w:rsid w:val="14F83400"/>
    <w:rsid w:val="15EE7A56"/>
    <w:rsid w:val="169A0081"/>
    <w:rsid w:val="19697C5B"/>
    <w:rsid w:val="197426D9"/>
    <w:rsid w:val="1A8776CF"/>
    <w:rsid w:val="1AA255DC"/>
    <w:rsid w:val="1BE347D0"/>
    <w:rsid w:val="1BEF3233"/>
    <w:rsid w:val="1E1B58BC"/>
    <w:rsid w:val="1E336318"/>
    <w:rsid w:val="1E5A0A86"/>
    <w:rsid w:val="1E8A2787"/>
    <w:rsid w:val="1F040B23"/>
    <w:rsid w:val="1FED5624"/>
    <w:rsid w:val="204B39C3"/>
    <w:rsid w:val="220B1CB9"/>
    <w:rsid w:val="226E76FD"/>
    <w:rsid w:val="22CD081E"/>
    <w:rsid w:val="25AA4377"/>
    <w:rsid w:val="25DB3CCE"/>
    <w:rsid w:val="26761D5F"/>
    <w:rsid w:val="269C7FCA"/>
    <w:rsid w:val="26D616BC"/>
    <w:rsid w:val="27737BD1"/>
    <w:rsid w:val="27A20162"/>
    <w:rsid w:val="2AC6077A"/>
    <w:rsid w:val="2C956A29"/>
    <w:rsid w:val="2CC70D6D"/>
    <w:rsid w:val="2D052EB7"/>
    <w:rsid w:val="2DFC3ADD"/>
    <w:rsid w:val="2E027D0C"/>
    <w:rsid w:val="3146519E"/>
    <w:rsid w:val="32BA12BD"/>
    <w:rsid w:val="33BE6A4B"/>
    <w:rsid w:val="345B0ADB"/>
    <w:rsid w:val="367C49A1"/>
    <w:rsid w:val="36E50544"/>
    <w:rsid w:val="3786625D"/>
    <w:rsid w:val="381D4B68"/>
    <w:rsid w:val="38814B21"/>
    <w:rsid w:val="38C56BB4"/>
    <w:rsid w:val="39E44E71"/>
    <w:rsid w:val="3B3C5B1D"/>
    <w:rsid w:val="4001677D"/>
    <w:rsid w:val="40510A2D"/>
    <w:rsid w:val="40FC7D00"/>
    <w:rsid w:val="4152550A"/>
    <w:rsid w:val="41AA4BF2"/>
    <w:rsid w:val="41FE1ED2"/>
    <w:rsid w:val="42B77730"/>
    <w:rsid w:val="43C02111"/>
    <w:rsid w:val="46565349"/>
    <w:rsid w:val="482C05C1"/>
    <w:rsid w:val="49F44752"/>
    <w:rsid w:val="4A0F4C37"/>
    <w:rsid w:val="4B100E76"/>
    <w:rsid w:val="4B6D4869"/>
    <w:rsid w:val="4BE3575C"/>
    <w:rsid w:val="4C4B31F0"/>
    <w:rsid w:val="4DF003CB"/>
    <w:rsid w:val="4F8B5991"/>
    <w:rsid w:val="4F9E30E2"/>
    <w:rsid w:val="51473C5A"/>
    <w:rsid w:val="519D0146"/>
    <w:rsid w:val="54465548"/>
    <w:rsid w:val="549F1DF4"/>
    <w:rsid w:val="561A3C9D"/>
    <w:rsid w:val="569D0B8E"/>
    <w:rsid w:val="577E056D"/>
    <w:rsid w:val="57874BC1"/>
    <w:rsid w:val="57921D87"/>
    <w:rsid w:val="5796000F"/>
    <w:rsid w:val="5A020304"/>
    <w:rsid w:val="5B8343FE"/>
    <w:rsid w:val="5BAE5D0C"/>
    <w:rsid w:val="5C217E2B"/>
    <w:rsid w:val="5CF70722"/>
    <w:rsid w:val="5D663C6C"/>
    <w:rsid w:val="5F3F1975"/>
    <w:rsid w:val="5F812323"/>
    <w:rsid w:val="5FA82E81"/>
    <w:rsid w:val="60665EB8"/>
    <w:rsid w:val="60803296"/>
    <w:rsid w:val="62B63F48"/>
    <w:rsid w:val="6363283A"/>
    <w:rsid w:val="647B5254"/>
    <w:rsid w:val="65B10D0B"/>
    <w:rsid w:val="672E19F4"/>
    <w:rsid w:val="68104F00"/>
    <w:rsid w:val="68E44BF3"/>
    <w:rsid w:val="695706BC"/>
    <w:rsid w:val="698762E5"/>
    <w:rsid w:val="6A126386"/>
    <w:rsid w:val="6A187612"/>
    <w:rsid w:val="6BCB2941"/>
    <w:rsid w:val="6C453C7D"/>
    <w:rsid w:val="6E237895"/>
    <w:rsid w:val="6ECA11F6"/>
    <w:rsid w:val="6EE92007"/>
    <w:rsid w:val="715B5E3A"/>
    <w:rsid w:val="71E526E5"/>
    <w:rsid w:val="73C43FAE"/>
    <w:rsid w:val="7416093F"/>
    <w:rsid w:val="74B83297"/>
    <w:rsid w:val="74BF5CE3"/>
    <w:rsid w:val="75D00AA6"/>
    <w:rsid w:val="75E271CA"/>
    <w:rsid w:val="760C31AA"/>
    <w:rsid w:val="77796881"/>
    <w:rsid w:val="78CC030B"/>
    <w:rsid w:val="791976DB"/>
    <w:rsid w:val="799423DE"/>
    <w:rsid w:val="7C916338"/>
    <w:rsid w:val="7CF33B15"/>
    <w:rsid w:val="7EC0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hint="eastAsia" w:ascii="宋体" w:hAnsi="宋体"/>
      <w:b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kern w:val="0"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小四"/>
    <w:qFormat/>
    <w:uiPriority w:val="0"/>
    <w:pPr>
      <w:widowControl w:val="0"/>
      <w:adjustRightInd w:val="0"/>
      <w:spacing w:line="360" w:lineRule="atLeast"/>
      <w:textAlignment w:val="baseline"/>
    </w:pPr>
    <w:rPr>
      <w:rFonts w:ascii="Calibri" w:hAnsi="Calibri" w:eastAsia="宋体" w:cs="Arial"/>
      <w:sz w:val="24"/>
      <w:szCs w:val="22"/>
      <w:lang w:val="en-US" w:eastAsia="zh-CN" w:bidi="ar-SA"/>
    </w:rPr>
  </w:style>
  <w:style w:type="paragraph" w:styleId="6">
    <w:name w:val="annotation text"/>
    <w:basedOn w:val="1"/>
    <w:semiHidden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0"/>
      <w:sz w:val="20"/>
      <w:szCs w:val="24"/>
      <w:lang w:val="en-US" w:eastAsia="zh-CN" w:bidi="ar"/>
    </w:rPr>
  </w:style>
  <w:style w:type="paragraph" w:styleId="7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4"/>
      <w:szCs w:val="24"/>
      <w:lang w:val="en-US" w:eastAsia="zh-CN" w:bidi="ar"/>
    </w:rPr>
  </w:style>
  <w:style w:type="paragraph" w:styleId="11">
    <w:name w:val="Body Text First Indent 2"/>
    <w:basedOn w:val="7"/>
    <w:qFormat/>
    <w:uiPriority w:val="0"/>
    <w:pPr>
      <w:ind w:firstLine="420" w:firstLineChars="200"/>
    </w:p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FollowedHyperlink"/>
    <w:basedOn w:val="13"/>
    <w:qFormat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yperlink"/>
    <w:basedOn w:val="13"/>
    <w:qFormat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  <w:style w:type="character" w:customStyle="1" w:styleId="18">
    <w:name w:val="fw-btn-icon"/>
    <w:basedOn w:val="13"/>
    <w:qFormat/>
    <w:uiPriority w:val="0"/>
  </w:style>
  <w:style w:type="paragraph" w:customStyle="1" w:styleId="19">
    <w:name w:val="Body text|1"/>
    <w:basedOn w:val="1"/>
    <w:qFormat/>
    <w:uiPriority w:val="0"/>
    <w:pPr>
      <w:spacing w:line="396" w:lineRule="auto"/>
      <w:ind w:firstLine="400"/>
      <w:jc w:val="left"/>
    </w:pPr>
    <w:rPr>
      <w:rFonts w:ascii="宋体" w:hAnsi="宋体" w:eastAsia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20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3885</Words>
  <Characters>4185</Characters>
  <Lines>0</Lines>
  <Paragraphs>0</Paragraphs>
  <TotalTime>4</TotalTime>
  <ScaleCrop>false</ScaleCrop>
  <LinksUpToDate>false</LinksUpToDate>
  <CharactersWithSpaces>4213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tao</cp:lastModifiedBy>
  <cp:lastPrinted>2022-05-26T01:37:00Z</cp:lastPrinted>
  <dcterms:modified xsi:type="dcterms:W3CDTF">2022-08-26T03:02:48Z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853B0AAC08BC429A8B00C58F78C6C580</vt:lpwstr>
  </property>
</Properties>
</file>