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增江街联益村荔枝种植和育种示范区714.286亩林地经营权流转招商评分表</w:t>
      </w:r>
    </w:p>
    <w:p>
      <w:pPr>
        <w:jc w:val="both"/>
        <w:outlineLvl w:val="2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pacing w:val="11"/>
          <w:kern w:val="2"/>
          <w:sz w:val="32"/>
          <w:szCs w:val="32"/>
          <w:lang w:val="en-US" w:eastAsia="zh-CN" w:bidi="ar-SA"/>
        </w:rPr>
        <w:t>（一）技术部分评分表（70%权重）</w:t>
      </w:r>
    </w:p>
    <w:tbl>
      <w:tblPr>
        <w:tblStyle w:val="10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44"/>
        <w:gridCol w:w="5388"/>
        <w:gridCol w:w="845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bidi="ar"/>
              </w:rPr>
              <w:t>评审因素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bidi="ar"/>
              </w:rPr>
              <w:t>评分细则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  <w:t>权重（%）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bidi="ar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总体实施方案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总体实施方案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包括但不限于投资方提供的①服务总体模式、②配套措施、③工作制度、④服务内容和目标、⑤荔枝种植和育种管理方案进行评审：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总体实施方案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涵盖上述5项内容且方案描述严谨，详细完整、科学合理，可行性高，可操作性高，得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2、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总体实施方案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涵盖上述5项内容且方案描述完整但不具严谨度，具有一定的合理性，可行性较高，具有一定的可操作性，得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3、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总体实施方案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涵盖上述5项内容且方案描述清晰，但完整度不高，合理性一般，具有一定的可行性、可操作性，得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4、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总体实施方案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涵盖上述5项内容但方案描述不清晰，合理性不高，可行性和可操作性较差，得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5、无或其他情形的不得分。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</w:rPr>
              <w:t>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荔枝种植和育种管养质量目标及保证措施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荔枝种植和育种管养质量目标及保证措施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包括但不限于投资方提供的①质量目标、②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质量管理制度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、③质量确保措施、④安全生产保证措施、⑤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管养技术措施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进行评审：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1、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荔枝种植和育种管养质量目标及保证措施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涵盖上述5项内容且方案描述严谨，详细完整、科学合理，可行性高，可操作性高，得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2、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荔枝种植和育种管养质量目标及保证措施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涵盖上述5项内容且方案描述完整但不具严谨度，具有一定的合理性，可行性较高，具有一定的可操作性，得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3、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荔枝种植和育种管养质量目标及保证措施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涵盖上述5项内容且方案描述清晰，但完整度不高，合理性一般，具有一定的可行性、可操作性，得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4、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荔枝种植和育种管养质量目标及保证措施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涵盖上述5项内容但方案描述不清晰，合理性不高，可行性和可操作性较差，得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zh-CN" w:eastAsia="zh-CN" w:bidi="ar"/>
              </w:rPr>
              <w:t>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5、无或其他情形的不得分。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lang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</w:rPr>
              <w:t>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lang w:bidi="ar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紧急、突发事件的保障措施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紧急、突发事件的保障措施包括但不限于投资方提供的①事件发生的预警措施、②处理安排方案、③人员调配的及时性、④事后的保障措施方面进行评审：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1、保障措施涵盖上述4项内容且处理紧急、突发事件保障措施详细完整、事件处理的执行力强、人员调配方案有效性高、保障措施针对性强，可行性高，得15.0分；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2、保障措施涵盖上述4项内容且处理紧急、突发事件保障措施清晰、完整，事件处理的执行力较强、人员调配方案具有一定的有效性、保障措施具有一定的针对性，可行性较高，得10.0分；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3、保障措施涵盖上述4项内容且处理紧急、突发事件保障措施描述较为清晰，事件处理具有一定的执行力、人员调配方案有效性较好、保障措施针对性一般，可行性一般，得5.0分；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4、保障措施涵盖上述4项内容但处理紧急、突发事件保障措施描述清晰度差，事件处理执行力一般、人员调配方案有效性一般、保障措施不具针对性，可行性较差，得1.0分；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5、无或其他情形的不得分。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</w:rPr>
              <w:t>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1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人员培训及管理方案</w:t>
            </w:r>
          </w:p>
        </w:tc>
        <w:tc>
          <w:tcPr>
            <w:tcW w:w="5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人员培训及管理方案包括但不限于投资方提供的①岗前培训、②在岗培训、③考勤管理、④定期考核管理进行评审：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1、方案涵盖上述4项内容且方案描述详细、科学，合理性高、符合采购需求，管理制度严谨可靠、职权明确，可行性高，可操作性高，得15.0分；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2、方案涵盖上述4项内容且方案描述清晰、完整，具有一定的合理性、符合采购需求，管理制度清晰、职权明确，具有一定的可行性，可操作性较高，得10.0分；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3、方案涵盖上述4项内容且方案描述清晰、但完整度不高，合理性一般、基本符合采购需求，管理制度清晰、职权描述不够明确，可行性和可操作性一般，得5.0分；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4、方案涵盖上述4项内容但方案描述清晰度差，合理性一般、基本符合采购需求，管理制度不够清晰、职权描述不明确，可行性和可操作性较差，得1.0分；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5、无或其他情形的不得分。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</w:rPr>
              <w:t>15%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70</w:t>
            </w: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70</w:t>
            </w: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bidi="ar"/>
        </w:rPr>
        <w:t>说明：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24"/>
          <w:szCs w:val="24"/>
          <w:highlight w:val="none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bidi="ar"/>
        </w:rPr>
        <w:t>上表所列为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eastAsia="zh-CN" w:bidi="ar"/>
        </w:rPr>
        <w:t>投资方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bidi="ar"/>
        </w:rPr>
        <w:t>的技术条件。请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eastAsia="zh-CN" w:bidi="ar"/>
        </w:rPr>
        <w:t>投资方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bidi="ar"/>
        </w:rPr>
        <w:t>严格按照要求提交相关证明材料，否则有可能影响评审结果。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trike w:val="0"/>
          <w:dstrike w:val="0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bidi="ar"/>
        </w:rPr>
        <w:t>将所有评标委员会成员所评各项的得分进行算术平均（按四舍五入原则精确到小数点后三位），再汇总得出该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eastAsia="zh-CN" w:bidi="ar"/>
        </w:rPr>
        <w:t>投资方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auto"/>
          <w:kern w:val="0"/>
          <w:sz w:val="24"/>
          <w:szCs w:val="24"/>
          <w:highlight w:val="none"/>
          <w:lang w:bidi="ar"/>
        </w:rPr>
        <w:t>的技术评分（按四舍五入原则精确到小数点后两位）。</w:t>
      </w:r>
    </w:p>
    <w:p>
      <w:pPr>
        <w:jc w:val="both"/>
        <w:outlineLvl w:val="2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pacing w:val="11"/>
          <w:kern w:val="2"/>
          <w:sz w:val="32"/>
          <w:szCs w:val="32"/>
          <w:lang w:val="en-US" w:eastAsia="zh-CN" w:bidi="ar-SA"/>
        </w:rPr>
      </w:pPr>
    </w:p>
    <w:p>
      <w:pPr>
        <w:jc w:val="both"/>
        <w:outlineLvl w:val="2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pacing w:val="11"/>
          <w:kern w:val="2"/>
          <w:sz w:val="32"/>
          <w:szCs w:val="32"/>
          <w:lang w:val="en-US" w:eastAsia="zh-CN" w:bidi="ar-SA"/>
        </w:rPr>
        <w:t>（二）商务部分评分表（30%权重）</w:t>
      </w:r>
    </w:p>
    <w:tbl>
      <w:tblPr>
        <w:tblStyle w:val="10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50"/>
        <w:gridCol w:w="5251"/>
        <w:gridCol w:w="709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  <w:t>评审因素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  <w:t>评分细则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</w:rPr>
              <w:t>权重（%）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lang w:bidi="ar"/>
              </w:rPr>
              <w:t>投资方履约能力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投资方承诺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2027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12月底前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投资总额不少于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u w:val="single"/>
                <w:lang w:val="en-US" w:eastAsia="zh-CN" w:bidi="ar"/>
              </w:rPr>
              <w:t>000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万元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(包括配套设施建设投资）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eastAsia="zh-CN" w:bidi="ar"/>
              </w:rPr>
              <w:t>得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10分，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在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eastAsia="zh-CN" w:bidi="ar"/>
              </w:rPr>
              <w:t>上述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基础上每增加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u w:val="single"/>
                <w:lang w:val="en-US" w:eastAsia="zh-CN" w:bidi="ar"/>
              </w:rPr>
              <w:t>00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万元加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分，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本项最高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得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分，无或其他不得分。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2.投资方是区级农业龙头企业得1分；投资方是市级农业龙头企业得2分；投资方是省级及以上农业龙头企业得3分；本项最高得3分，无或其他不得分。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备注：①须提供对应评审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的复印件或扫描件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并加盖投资方单位公章；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②无或不提供的不得分。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bidi="ar"/>
              </w:rPr>
              <w:t>%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lang w:bidi="ar"/>
              </w:rPr>
              <w:t>投资方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napToGrid w:val="0"/>
                <w:color w:val="auto"/>
                <w:kern w:val="0"/>
                <w:sz w:val="24"/>
                <w:lang w:bidi="ar"/>
              </w:rPr>
              <w:t>提升改造能力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投资方承诺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2027年12月底前与国内科研机构合作建立荔枝种植和育种研究基地，与市级以下（包括市级）科研机构合作得2分；与省级科研机构合作得4分；与国家级科研机构合作得6分。以最高级别计算，不累计，不重复计分。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2.投资方承诺2027年12月底前在联益村辖区内完成冷链、分拣、检测等配套设施建设得2分。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备注：①须提供对应评审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的复印件或扫描件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并加盖投资方单位公章；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②无或不提供的不得分。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bidi="ar"/>
              </w:rPr>
              <w:t>%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24" w:lineRule="auto"/>
              <w:jc w:val="center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kern w:val="2"/>
                <w:lang w:bidi="ar"/>
              </w:rPr>
              <w:t>投资方配置情况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投资方承诺2027年12月底前累计提供增城区农民就业不少于20个得2分；不少于30个得4分；不少于40个得6分。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备注：①须提供对应评审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  <w:lang w:val="en-US" w:eastAsia="zh-CN" w:bidi="ar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的复印件或扫描件</w:t>
            </w: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val="en-US" w:eastAsia="zh-CN" w:bidi="ar"/>
              </w:rPr>
              <w:t>并加盖投资方单位公章；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highlight w:val="none"/>
                <w:lang w:bidi="ar"/>
              </w:rPr>
              <w:t>②无或不提供的不得分。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bidi="ar"/>
              </w:rPr>
              <w:t>%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4"/>
                <w:lang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6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/>
              </w:rPr>
              <w:t>30%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color w:val="auto"/>
                <w:sz w:val="24"/>
                <w:szCs w:val="24"/>
                <w:highlight w:val="none"/>
                <w:lang w:bidi="ar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trike w:val="0"/>
          <w:dstrike w:val="0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4"/>
          <w:szCs w:val="24"/>
          <w:highlight w:val="none"/>
          <w:lang w:bidi="ar"/>
        </w:rPr>
        <w:t>说明：1.上表所列为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4"/>
          <w:szCs w:val="24"/>
          <w:highlight w:val="none"/>
          <w:lang w:eastAsia="zh-CN" w:bidi="ar"/>
        </w:rPr>
        <w:t>投资方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4"/>
          <w:szCs w:val="24"/>
          <w:highlight w:val="none"/>
          <w:lang w:bidi="ar"/>
        </w:rPr>
        <w:t>的商务条件。请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4"/>
          <w:szCs w:val="24"/>
          <w:highlight w:val="none"/>
          <w:lang w:eastAsia="zh-CN" w:bidi="ar"/>
        </w:rPr>
        <w:t>投资方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4"/>
          <w:szCs w:val="24"/>
          <w:highlight w:val="none"/>
          <w:lang w:bidi="ar"/>
        </w:rPr>
        <w:t>严格按照要求提交相关证明材料，否则有可能影响评审结果。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2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4"/>
          <w:szCs w:val="24"/>
          <w:highlight w:val="none"/>
          <w:lang w:bidi="ar"/>
        </w:rPr>
        <w:t>将所有评标委员会成员所评各项的得分进行算术平均（按四舍五入原则精确到小数点后三位），再汇总得出该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4"/>
          <w:szCs w:val="24"/>
          <w:highlight w:val="none"/>
          <w:lang w:eastAsia="zh-CN" w:bidi="ar"/>
        </w:rPr>
        <w:t>投资方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24"/>
          <w:szCs w:val="24"/>
          <w:highlight w:val="none"/>
          <w:lang w:bidi="ar"/>
        </w:rPr>
        <w:t>的商务评分（按四舍五入原则精确到小数点后两位）。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6BDD39"/>
    <w:multiLevelType w:val="singleLevel"/>
    <w:tmpl w:val="E16BDD3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98EDA2"/>
    <w:multiLevelType w:val="singleLevel"/>
    <w:tmpl w:val="2198EDA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OGM2Mjc4NzViZGQ5Y2ViYTQ2OWUwYjgxZjY3MjEifQ=="/>
  </w:docVars>
  <w:rsids>
    <w:rsidRoot w:val="00000000"/>
    <w:rsid w:val="00173957"/>
    <w:rsid w:val="020C2F8A"/>
    <w:rsid w:val="0229446F"/>
    <w:rsid w:val="023627C3"/>
    <w:rsid w:val="04C578EE"/>
    <w:rsid w:val="054A19C3"/>
    <w:rsid w:val="07E769BD"/>
    <w:rsid w:val="09121B08"/>
    <w:rsid w:val="0A133246"/>
    <w:rsid w:val="0B3118E9"/>
    <w:rsid w:val="0C054E76"/>
    <w:rsid w:val="0C49746F"/>
    <w:rsid w:val="0DB52EF3"/>
    <w:rsid w:val="0DEA37E9"/>
    <w:rsid w:val="0E5231E3"/>
    <w:rsid w:val="0F5D3091"/>
    <w:rsid w:val="104B12BD"/>
    <w:rsid w:val="10B6631E"/>
    <w:rsid w:val="10FD65E8"/>
    <w:rsid w:val="13103E92"/>
    <w:rsid w:val="1385255D"/>
    <w:rsid w:val="1417554F"/>
    <w:rsid w:val="142459EF"/>
    <w:rsid w:val="154343D4"/>
    <w:rsid w:val="169A0081"/>
    <w:rsid w:val="1A40430B"/>
    <w:rsid w:val="1A8776CF"/>
    <w:rsid w:val="1B4C1EDD"/>
    <w:rsid w:val="1BDB6DC5"/>
    <w:rsid w:val="1E0A001A"/>
    <w:rsid w:val="1E5A0A86"/>
    <w:rsid w:val="1E8A2787"/>
    <w:rsid w:val="1F867203"/>
    <w:rsid w:val="1F9D6372"/>
    <w:rsid w:val="20F01F24"/>
    <w:rsid w:val="2199474D"/>
    <w:rsid w:val="21B97AE9"/>
    <w:rsid w:val="22CD081E"/>
    <w:rsid w:val="231B12FE"/>
    <w:rsid w:val="23B95002"/>
    <w:rsid w:val="240C0F44"/>
    <w:rsid w:val="25AA4377"/>
    <w:rsid w:val="25DB3CCE"/>
    <w:rsid w:val="26D616BC"/>
    <w:rsid w:val="27A20162"/>
    <w:rsid w:val="2B6E6B82"/>
    <w:rsid w:val="2C005DED"/>
    <w:rsid w:val="2C0D77A1"/>
    <w:rsid w:val="2C261336"/>
    <w:rsid w:val="2C956A29"/>
    <w:rsid w:val="2C9C65A6"/>
    <w:rsid w:val="2CC70D6D"/>
    <w:rsid w:val="2D052EB7"/>
    <w:rsid w:val="2D1E6D44"/>
    <w:rsid w:val="2DD4637D"/>
    <w:rsid w:val="2E204D3E"/>
    <w:rsid w:val="2EE030CB"/>
    <w:rsid w:val="2F0F6197"/>
    <w:rsid w:val="31DF2264"/>
    <w:rsid w:val="3272790A"/>
    <w:rsid w:val="32F96C6C"/>
    <w:rsid w:val="33BE6A4B"/>
    <w:rsid w:val="34282249"/>
    <w:rsid w:val="35D7414B"/>
    <w:rsid w:val="367C49A1"/>
    <w:rsid w:val="381D4B68"/>
    <w:rsid w:val="399A59A4"/>
    <w:rsid w:val="3AA80EA5"/>
    <w:rsid w:val="3FEE786B"/>
    <w:rsid w:val="3FFD4A86"/>
    <w:rsid w:val="402E27B7"/>
    <w:rsid w:val="40510A2D"/>
    <w:rsid w:val="40FC2FB0"/>
    <w:rsid w:val="4152550A"/>
    <w:rsid w:val="42B64197"/>
    <w:rsid w:val="43C02111"/>
    <w:rsid w:val="43CB4F8C"/>
    <w:rsid w:val="440305EA"/>
    <w:rsid w:val="455334C7"/>
    <w:rsid w:val="45781305"/>
    <w:rsid w:val="46696289"/>
    <w:rsid w:val="46F43754"/>
    <w:rsid w:val="482C05C1"/>
    <w:rsid w:val="491F4A48"/>
    <w:rsid w:val="4A0F4C37"/>
    <w:rsid w:val="4A53073C"/>
    <w:rsid w:val="4A624DED"/>
    <w:rsid w:val="4A9A1C0C"/>
    <w:rsid w:val="4BE3575C"/>
    <w:rsid w:val="4D6D60D4"/>
    <w:rsid w:val="4DFF16D3"/>
    <w:rsid w:val="4F113781"/>
    <w:rsid w:val="4F1D53E1"/>
    <w:rsid w:val="4FD535CD"/>
    <w:rsid w:val="519D0146"/>
    <w:rsid w:val="51BA3F79"/>
    <w:rsid w:val="53B23D81"/>
    <w:rsid w:val="5796000F"/>
    <w:rsid w:val="59B47518"/>
    <w:rsid w:val="5A020304"/>
    <w:rsid w:val="5A194C49"/>
    <w:rsid w:val="5B492D6B"/>
    <w:rsid w:val="5BAE5D0C"/>
    <w:rsid w:val="5CF70722"/>
    <w:rsid w:val="5E454BA2"/>
    <w:rsid w:val="5E5662DA"/>
    <w:rsid w:val="5F3F1975"/>
    <w:rsid w:val="5F46072B"/>
    <w:rsid w:val="5F812323"/>
    <w:rsid w:val="5FA73EC3"/>
    <w:rsid w:val="5FA82E81"/>
    <w:rsid w:val="5FB96458"/>
    <w:rsid w:val="5FCF3347"/>
    <w:rsid w:val="62B63F48"/>
    <w:rsid w:val="63FE0C96"/>
    <w:rsid w:val="6436743A"/>
    <w:rsid w:val="64573618"/>
    <w:rsid w:val="65377536"/>
    <w:rsid w:val="65B10D0B"/>
    <w:rsid w:val="66AB56D1"/>
    <w:rsid w:val="67C615F0"/>
    <w:rsid w:val="6B347553"/>
    <w:rsid w:val="6B8208FC"/>
    <w:rsid w:val="6C376EFF"/>
    <w:rsid w:val="6D3056A3"/>
    <w:rsid w:val="6E237895"/>
    <w:rsid w:val="6ECA11F6"/>
    <w:rsid w:val="6FE35B7A"/>
    <w:rsid w:val="70FD6C28"/>
    <w:rsid w:val="715B5E3A"/>
    <w:rsid w:val="71E526E5"/>
    <w:rsid w:val="73B333A3"/>
    <w:rsid w:val="752B5650"/>
    <w:rsid w:val="758A3B07"/>
    <w:rsid w:val="75A650F5"/>
    <w:rsid w:val="78CC030B"/>
    <w:rsid w:val="799423DE"/>
    <w:rsid w:val="7CA76AED"/>
    <w:rsid w:val="7CB82EF9"/>
    <w:rsid w:val="7CF33B15"/>
    <w:rsid w:val="7EC0225F"/>
    <w:rsid w:val="7F390D88"/>
    <w:rsid w:val="7FA8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eastAsia" w:ascii="宋体" w:hAnsi="宋体"/>
      <w:b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6">
    <w:name w:val="annotation text"/>
    <w:basedOn w:val="1"/>
    <w:semiHidden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0"/>
      <w:sz w:val="20"/>
      <w:szCs w:val="24"/>
      <w:lang w:val="en-US" w:eastAsia="zh-CN" w:bidi="ar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paragraph" w:customStyle="1" w:styleId="16">
    <w:name w:val="样式 小四"/>
    <w:qFormat/>
    <w:uiPriority w:val="0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Arial"/>
      <w:sz w:val="24"/>
      <w:szCs w:val="22"/>
      <w:lang w:val="en-US" w:eastAsia="zh-CN" w:bidi="ar-SA"/>
    </w:rPr>
  </w:style>
  <w:style w:type="character" w:customStyle="1" w:styleId="17">
    <w:name w:val="fw-btn-icon"/>
    <w:basedOn w:val="11"/>
    <w:qFormat/>
    <w:uiPriority w:val="0"/>
  </w:style>
  <w:style w:type="paragraph" w:customStyle="1" w:styleId="18">
    <w:name w:val="Body text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9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3989</Words>
  <Characters>4300</Characters>
  <Lines>0</Lines>
  <Paragraphs>0</Paragraphs>
  <TotalTime>8</TotalTime>
  <ScaleCrop>false</ScaleCrop>
  <LinksUpToDate>false</LinksUpToDate>
  <CharactersWithSpaces>4328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tao</cp:lastModifiedBy>
  <cp:lastPrinted>2022-05-26T01:36:00Z</cp:lastPrinted>
  <dcterms:modified xsi:type="dcterms:W3CDTF">2022-08-26T02:38:50Z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B66F1031F7714EAC94D2C59DCEF96A5B</vt:lpwstr>
  </property>
</Properties>
</file>