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left="-178" w:leftChars="-85" w:right="-153" w:rightChars="-7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w:t>
      </w:r>
      <w:r>
        <w:rPr>
          <w:rFonts w:hint="eastAsia" w:ascii="方正小标宋简体" w:hAnsi="方正小标宋简体" w:eastAsia="方正小标宋简体" w:cs="方正小标宋简体"/>
          <w:sz w:val="44"/>
          <w:szCs w:val="44"/>
          <w:lang w:eastAsia="zh-CN"/>
        </w:rPr>
        <w:t>增城区农业农村局</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年度行政许可</w:t>
      </w:r>
    </w:p>
    <w:p>
      <w:pPr>
        <w:spacing w:line="760" w:lineRule="exact"/>
        <w:ind w:left="-178" w:leftChars="-85" w:right="-153" w:rightChars="-7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实施和监督管理情况报告</w:t>
      </w:r>
    </w:p>
    <w:p>
      <w:pPr>
        <w:spacing w:line="540" w:lineRule="exact"/>
        <w:ind w:firstLine="640" w:firstLineChars="200"/>
        <w:rPr>
          <w:rFonts w:hint="eastAsia" w:ascii="仿宋_GB2312" w:eastAsia="仿宋_GB2312"/>
          <w:sz w:val="32"/>
          <w:szCs w:val="32"/>
        </w:rPr>
      </w:pPr>
    </w:p>
    <w:p>
      <w:pPr>
        <w:spacing w:line="560" w:lineRule="exact"/>
        <w:jc w:val="left"/>
        <w:rPr>
          <w:rFonts w:hint="eastAsia" w:ascii="仿宋_GB2312" w:eastAsia="仿宋_GB2312"/>
          <w:b w:val="0"/>
          <w:bCs/>
          <w:sz w:val="32"/>
          <w:szCs w:val="32"/>
          <w:lang w:eastAsia="zh-CN"/>
        </w:rPr>
      </w:pPr>
    </w:p>
    <w:p>
      <w:pPr>
        <w:spacing w:line="56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lang w:eastAsia="zh-CN"/>
        </w:rPr>
        <w:t>广东省行政许可监督管理条例</w:t>
      </w:r>
      <w:r>
        <w:rPr>
          <w:rFonts w:eastAsia="仿宋_GB2312"/>
          <w:sz w:val="32"/>
          <w:szCs w:val="32"/>
        </w:rPr>
        <w:t>》</w:t>
      </w:r>
      <w:r>
        <w:rPr>
          <w:rFonts w:hint="eastAsia" w:eastAsia="仿宋_GB2312"/>
          <w:sz w:val="32"/>
          <w:szCs w:val="32"/>
          <w:lang w:eastAsia="zh-CN"/>
        </w:rPr>
        <w:t>的</w:t>
      </w:r>
      <w:r>
        <w:rPr>
          <w:rFonts w:eastAsia="仿宋_GB2312"/>
          <w:sz w:val="32"/>
          <w:szCs w:val="32"/>
        </w:rPr>
        <w:t>要求，现将我单位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w:t>
      </w:r>
      <w:r>
        <w:rPr>
          <w:rFonts w:eastAsia="仿宋_GB2312"/>
          <w:sz w:val="32"/>
          <w:szCs w:val="32"/>
        </w:rPr>
        <w:t>行政许可实施和监督管理情况报告如下：</w:t>
      </w:r>
    </w:p>
    <w:p>
      <w:pPr>
        <w:spacing w:line="560" w:lineRule="exact"/>
        <w:ind w:firstLine="640" w:firstLineChars="200"/>
        <w:rPr>
          <w:rFonts w:eastAsia="黑体"/>
          <w:sz w:val="32"/>
          <w:szCs w:val="32"/>
        </w:rPr>
      </w:pPr>
      <w:r>
        <w:rPr>
          <w:rFonts w:hAnsi="黑体" w:eastAsia="黑体"/>
          <w:sz w:val="32"/>
          <w:szCs w:val="32"/>
        </w:rPr>
        <w:t>一、基本情况</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eastAsia="仿宋_GB2312"/>
          <w:sz w:val="32"/>
          <w:szCs w:val="32"/>
        </w:rPr>
        <w:t>本单位行政许可事项</w:t>
      </w:r>
      <w:r>
        <w:rPr>
          <w:rFonts w:hint="eastAsia" w:ascii="仿宋_GB2312" w:hAnsi="宋体" w:eastAsia="仿宋_GB2312"/>
          <w:b w:val="0"/>
          <w:bCs/>
          <w:color w:val="auto"/>
          <w:sz w:val="32"/>
          <w:szCs w:val="32"/>
          <w:highlight w:val="none"/>
          <w:u w:val="none" w:color="auto"/>
          <w:lang w:val="en-US" w:eastAsia="zh-CN"/>
        </w:rPr>
        <w:t>59项（含广东省渔政总队增城大队实施事项）</w:t>
      </w:r>
      <w:r>
        <w:rPr>
          <w:rFonts w:eastAsia="仿宋_GB2312"/>
          <w:sz w:val="32"/>
          <w:szCs w:val="32"/>
        </w:rPr>
        <w:t>，其</w:t>
      </w:r>
      <w:r>
        <w:rPr>
          <w:rFonts w:hint="eastAsia" w:ascii="仿宋_GB2312" w:hAnsi="仿宋_GB2312" w:eastAsia="仿宋_GB2312" w:cs="仿宋_GB2312"/>
          <w:sz w:val="32"/>
          <w:szCs w:val="32"/>
          <w:lang w:val="en-US" w:eastAsia="zh-CN"/>
        </w:rPr>
        <w:t>中2021年</w:t>
      </w:r>
      <w:r>
        <w:rPr>
          <w:rFonts w:hint="eastAsia" w:eastAsia="仿宋_GB2312"/>
          <w:sz w:val="32"/>
          <w:szCs w:val="32"/>
          <w:lang w:val="en-US" w:eastAsia="zh-CN"/>
        </w:rPr>
        <w:t>度新增行政许可</w:t>
      </w:r>
      <w:r>
        <w:rPr>
          <w:rFonts w:eastAsia="仿宋_GB2312"/>
          <w:sz w:val="32"/>
          <w:szCs w:val="32"/>
        </w:rPr>
        <w:t>事项</w:t>
      </w:r>
      <w:r>
        <w:rPr>
          <w:rFonts w:hint="eastAsia" w:eastAsia="仿宋_GB2312"/>
          <w:sz w:val="32"/>
          <w:szCs w:val="32"/>
          <w:lang w:val="en-US" w:eastAsia="zh-CN"/>
        </w:rPr>
        <w:t>1项（“非主要农作物种苗生产经营许可证核发”）、减少行政许可</w:t>
      </w:r>
      <w:r>
        <w:rPr>
          <w:rFonts w:eastAsia="仿宋_GB2312"/>
          <w:sz w:val="32"/>
          <w:szCs w:val="32"/>
        </w:rPr>
        <w:t>事项</w:t>
      </w:r>
      <w:r>
        <w:rPr>
          <w:rFonts w:hint="eastAsia" w:eastAsia="仿宋_GB2312"/>
          <w:sz w:val="32"/>
          <w:szCs w:val="32"/>
          <w:lang w:val="en-US" w:eastAsia="zh-CN"/>
        </w:rPr>
        <w:t>1项</w:t>
      </w:r>
      <w:r>
        <w:rPr>
          <w:rFonts w:eastAsia="仿宋_GB2312"/>
          <w:sz w:val="32"/>
          <w:szCs w:val="32"/>
        </w:rPr>
        <w:t>（</w:t>
      </w:r>
      <w:r>
        <w:rPr>
          <w:rFonts w:hint="eastAsia" w:eastAsia="仿宋_GB2312"/>
          <w:sz w:val="32"/>
          <w:szCs w:val="32"/>
          <w:lang w:eastAsia="zh-CN"/>
        </w:rPr>
        <w:t>“</w:t>
      </w:r>
      <w:r>
        <w:rPr>
          <w:rFonts w:hint="eastAsia" w:eastAsia="仿宋_GB2312"/>
          <w:sz w:val="32"/>
          <w:szCs w:val="32"/>
        </w:rPr>
        <w:t>执业兽医师注册</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59项行政许可事项均</w:t>
      </w:r>
      <w:r>
        <w:rPr>
          <w:rFonts w:eastAsia="仿宋_GB2312"/>
          <w:sz w:val="32"/>
          <w:szCs w:val="32"/>
        </w:rPr>
        <w:t>已进驻</w:t>
      </w:r>
      <w:r>
        <w:rPr>
          <w:rFonts w:hint="eastAsia" w:eastAsia="仿宋_GB2312"/>
          <w:sz w:val="32"/>
          <w:szCs w:val="32"/>
        </w:rPr>
        <w:t>广东省政务服务事项管理系统（广东政务服务网）</w:t>
      </w:r>
      <w:r>
        <w:rPr>
          <w:rFonts w:hint="eastAsia" w:eastAsia="仿宋_GB2312"/>
          <w:sz w:val="32"/>
          <w:szCs w:val="32"/>
          <w:lang w:eastAsia="zh-CN"/>
        </w:rPr>
        <w:t>。</w:t>
      </w:r>
      <w:r>
        <w:rPr>
          <w:rFonts w:hint="eastAsia" w:ascii="仿宋_GB2312" w:hAnsi="宋体" w:eastAsia="仿宋_GB2312"/>
          <w:b w:val="0"/>
          <w:bCs/>
          <w:color w:val="auto"/>
          <w:sz w:val="32"/>
          <w:szCs w:val="32"/>
          <w:highlight w:val="none"/>
          <w:u w:val="none" w:color="auto"/>
          <w:lang w:val="en-US" w:eastAsia="zh-CN"/>
        </w:rPr>
        <w:t>截至2021年12月31日，2021年全年行政许可申请16823宗，受理16823宗，未受理0宗，办结16823宗，未按时办结0宗</w:t>
      </w:r>
      <w:r>
        <w:rPr>
          <w:rFonts w:eastAsia="仿宋_GB2312"/>
          <w:sz w:val="32"/>
          <w:szCs w:val="32"/>
        </w:rPr>
        <w:t>。</w:t>
      </w:r>
    </w:p>
    <w:p>
      <w:pPr>
        <w:spacing w:line="560" w:lineRule="exact"/>
        <w:ind w:firstLine="630"/>
        <w:rPr>
          <w:rFonts w:eastAsia="仿宋_GB2312"/>
          <w:sz w:val="32"/>
          <w:szCs w:val="32"/>
        </w:rPr>
      </w:pPr>
      <w:r>
        <w:rPr>
          <w:rFonts w:eastAsia="楷体_GB2312"/>
          <w:sz w:val="32"/>
          <w:szCs w:val="32"/>
        </w:rPr>
        <w:t>（一）依法实施情况。</w:t>
      </w:r>
      <w:r>
        <w:rPr>
          <w:rFonts w:hint="eastAsia" w:ascii="仿宋_GB2312" w:eastAsia="仿宋_GB2312"/>
          <w:b w:val="0"/>
          <w:bCs/>
          <w:sz w:val="32"/>
          <w:szCs w:val="32"/>
          <w:lang w:val="en-US" w:eastAsia="zh-CN"/>
        </w:rPr>
        <w:t>我局在行政许可实施过程中严格遵守法律法规规定的审批权限、范围、程序、条件；根据实际工作情况和省市的要求，不断优化审批流程和简化审批程序，提速审批时限，严把审查关。</w:t>
      </w:r>
      <w:r>
        <w:rPr>
          <w:rFonts w:hint="eastAsia" w:eastAsia="仿宋_GB2312"/>
          <w:sz w:val="32"/>
          <w:szCs w:val="32"/>
          <w:highlight w:val="none"/>
          <w:lang w:val="en-US" w:eastAsia="zh-CN"/>
        </w:rPr>
        <w:t>59个</w:t>
      </w:r>
      <w:r>
        <w:rPr>
          <w:rFonts w:eastAsia="仿宋_GB2312"/>
          <w:sz w:val="32"/>
          <w:szCs w:val="32"/>
          <w:highlight w:val="none"/>
        </w:rPr>
        <w:t>事项的法定办结期限</w:t>
      </w:r>
      <w:r>
        <w:rPr>
          <w:rFonts w:hint="eastAsia" w:eastAsia="仿宋_GB2312"/>
          <w:sz w:val="32"/>
          <w:szCs w:val="32"/>
          <w:highlight w:val="none"/>
          <w:lang w:eastAsia="zh-CN"/>
        </w:rPr>
        <w:t>共计</w:t>
      </w:r>
      <w:r>
        <w:rPr>
          <w:rFonts w:hint="eastAsia" w:eastAsia="仿宋_GB2312"/>
          <w:sz w:val="32"/>
          <w:szCs w:val="32"/>
          <w:highlight w:val="none"/>
          <w:lang w:val="en-US" w:eastAsia="zh-CN"/>
        </w:rPr>
        <w:t>1129工作日</w:t>
      </w:r>
      <w:r>
        <w:rPr>
          <w:rFonts w:eastAsia="仿宋_GB2312"/>
          <w:sz w:val="32"/>
          <w:szCs w:val="32"/>
          <w:highlight w:val="none"/>
        </w:rPr>
        <w:t>、承诺办结期限</w:t>
      </w:r>
      <w:r>
        <w:rPr>
          <w:rFonts w:hint="eastAsia" w:eastAsia="仿宋_GB2312"/>
          <w:sz w:val="32"/>
          <w:szCs w:val="32"/>
          <w:highlight w:val="none"/>
          <w:lang w:eastAsia="zh-CN"/>
        </w:rPr>
        <w:t>共计</w:t>
      </w:r>
      <w:r>
        <w:rPr>
          <w:rFonts w:hint="eastAsia" w:eastAsia="仿宋_GB2312"/>
          <w:sz w:val="32"/>
          <w:szCs w:val="32"/>
          <w:highlight w:val="none"/>
          <w:lang w:val="en-US" w:eastAsia="zh-CN"/>
        </w:rPr>
        <w:t>72工作日</w:t>
      </w:r>
      <w:r>
        <w:rPr>
          <w:rFonts w:eastAsia="仿宋_GB2312"/>
          <w:sz w:val="32"/>
          <w:szCs w:val="32"/>
          <w:highlight w:val="none"/>
        </w:rPr>
        <w:t>、实际平均办结时间</w:t>
      </w:r>
      <w:r>
        <w:rPr>
          <w:rFonts w:hint="eastAsia" w:eastAsia="仿宋_GB2312"/>
          <w:sz w:val="32"/>
          <w:szCs w:val="32"/>
          <w:highlight w:val="none"/>
          <w:lang w:eastAsia="zh-CN"/>
        </w:rPr>
        <w:t>共计</w:t>
      </w:r>
      <w:r>
        <w:rPr>
          <w:rFonts w:hint="eastAsia" w:eastAsia="仿宋_GB2312"/>
          <w:sz w:val="32"/>
          <w:szCs w:val="32"/>
          <w:highlight w:val="none"/>
          <w:lang w:val="en-US" w:eastAsia="zh-CN"/>
        </w:rPr>
        <w:t>114作日</w:t>
      </w:r>
      <w:r>
        <w:rPr>
          <w:rFonts w:hint="eastAsia" w:eastAsia="仿宋_GB2312"/>
          <w:sz w:val="32"/>
          <w:szCs w:val="32"/>
          <w:highlight w:val="none"/>
          <w:lang w:eastAsia="zh-CN"/>
        </w:rPr>
        <w:t>，</w:t>
      </w:r>
      <w:r>
        <w:rPr>
          <w:rFonts w:eastAsia="仿宋_GB2312"/>
          <w:sz w:val="32"/>
          <w:szCs w:val="32"/>
          <w:highlight w:val="none"/>
        </w:rPr>
        <w:t>实际平均办结时间</w:t>
      </w:r>
      <w:r>
        <w:rPr>
          <w:rFonts w:hint="eastAsia" w:eastAsia="仿宋_GB2312"/>
          <w:sz w:val="32"/>
          <w:szCs w:val="32"/>
          <w:highlight w:val="none"/>
          <w:lang w:eastAsia="zh-CN"/>
        </w:rPr>
        <w:t>比</w:t>
      </w:r>
      <w:r>
        <w:rPr>
          <w:rFonts w:eastAsia="仿宋_GB2312"/>
          <w:sz w:val="32"/>
          <w:szCs w:val="32"/>
          <w:highlight w:val="none"/>
        </w:rPr>
        <w:t>承诺办结期限</w:t>
      </w:r>
      <w:r>
        <w:rPr>
          <w:rFonts w:hint="eastAsia" w:eastAsia="仿宋_GB2312"/>
          <w:sz w:val="32"/>
          <w:szCs w:val="32"/>
          <w:highlight w:val="none"/>
          <w:lang w:eastAsia="zh-CN"/>
        </w:rPr>
        <w:t>所需时间长的原因主要是因为事项审批办理需要工作人员到现场勘查，经检查合格或相对人整改合格后方能予以审批，而现场勘查时间不算在承诺办结时限内</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（二）公开公示情况。</w:t>
      </w:r>
      <w:r>
        <w:rPr>
          <w:rFonts w:hint="eastAsia" w:ascii="仿宋_GB2312" w:eastAsia="仿宋_GB2312"/>
          <w:b w:val="0"/>
          <w:bCs/>
          <w:sz w:val="32"/>
          <w:szCs w:val="32"/>
          <w:highlight w:val="none"/>
          <w:lang w:eastAsia="zh-CN"/>
        </w:rPr>
        <w:t>通过广东省政务服务网公开公示实施主体、依据、程序、条件、期限、裁量标准、申请材料及办法、申请书格式文本、咨询投诉方式等信息，</w:t>
      </w:r>
      <w:r>
        <w:rPr>
          <w:rFonts w:hint="eastAsia" w:ascii="仿宋_GB2312" w:eastAsia="仿宋_GB2312"/>
          <w:b w:val="0"/>
          <w:bCs/>
          <w:sz w:val="32"/>
          <w:szCs w:val="32"/>
          <w:highlight w:val="none"/>
          <w:lang w:val="en-US" w:eastAsia="zh-CN"/>
        </w:rPr>
        <w:t>公开信息明确具体，方便群众咨询办理</w:t>
      </w:r>
      <w:r>
        <w:rPr>
          <w:rFonts w:hint="eastAsia" w:ascii="仿宋_GB2312" w:eastAsia="仿宋_GB2312"/>
          <w:b w:val="0"/>
          <w:bCs/>
          <w:sz w:val="32"/>
          <w:szCs w:val="32"/>
          <w:highlight w:val="none"/>
          <w:lang w:eastAsia="zh-CN"/>
        </w:rPr>
        <w:t>。</w:t>
      </w:r>
      <w:r>
        <w:rPr>
          <w:rFonts w:hint="eastAsia" w:eastAsia="仿宋_GB2312"/>
          <w:sz w:val="32"/>
          <w:szCs w:val="32"/>
          <w:lang w:val="en-US" w:eastAsia="zh-CN"/>
        </w:rPr>
        <w:t>在信用广州、广东省行政执法信息公示平台及时公示许可结果，确保许可行为公开、透明、高效</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（三）</w:t>
      </w:r>
      <w:r>
        <w:rPr>
          <w:rFonts w:hint="eastAsia" w:eastAsia="楷体_GB2312"/>
          <w:sz w:val="32"/>
          <w:szCs w:val="32"/>
        </w:rPr>
        <w:t>监督管理情况</w:t>
      </w:r>
      <w:r>
        <w:rPr>
          <w:rFonts w:eastAsia="楷体_GB2312"/>
          <w:sz w:val="32"/>
          <w:szCs w:val="32"/>
        </w:rPr>
        <w:t>。</w:t>
      </w:r>
      <w:r>
        <w:rPr>
          <w:rFonts w:hint="eastAsia" w:eastAsia="仿宋_GB2312"/>
          <w:b/>
          <w:bCs/>
          <w:sz w:val="32"/>
          <w:szCs w:val="32"/>
        </w:rPr>
        <w:t>一是</w:t>
      </w:r>
      <w:r>
        <w:rPr>
          <w:rFonts w:hint="eastAsia" w:eastAsia="仿宋_GB2312"/>
          <w:sz w:val="32"/>
          <w:szCs w:val="32"/>
        </w:rPr>
        <w:t>我局严格按照省、市、区有关行政审批的工作要求从事审批工作，按照“谁审批、谁负责，谁主管、谁监管”</w:t>
      </w:r>
      <w:r>
        <w:rPr>
          <w:rFonts w:hint="eastAsia" w:ascii="仿宋_GB2312" w:hAnsi="仿宋_GB2312" w:eastAsia="仿宋_GB2312" w:cs="仿宋_GB2312"/>
          <w:sz w:val="32"/>
          <w:szCs w:val="32"/>
        </w:rPr>
        <w:t>开展行政许可</w:t>
      </w: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rPr>
        <w:t>事中事后监管</w:t>
      </w:r>
      <w:r>
        <w:rPr>
          <w:rFonts w:hint="eastAsia" w:eastAsia="仿宋_GB2312"/>
          <w:sz w:val="32"/>
          <w:szCs w:val="32"/>
          <w:lang w:eastAsia="zh-CN"/>
        </w:rPr>
        <w:t>。</w:t>
      </w:r>
      <w:r>
        <w:rPr>
          <w:rFonts w:hint="eastAsia" w:eastAsia="仿宋_GB2312"/>
          <w:b/>
          <w:bCs/>
          <w:sz w:val="32"/>
          <w:szCs w:val="32"/>
        </w:rPr>
        <w:t>二是</w:t>
      </w:r>
      <w:r>
        <w:rPr>
          <w:rFonts w:hint="eastAsia" w:eastAsia="仿宋_GB2312"/>
          <w:sz w:val="32"/>
          <w:szCs w:val="32"/>
          <w:lang w:eastAsia="zh-CN"/>
        </w:rPr>
        <w:t>根据</w:t>
      </w:r>
      <w:r>
        <w:rPr>
          <w:rFonts w:hint="eastAsia" w:eastAsia="仿宋_GB2312"/>
          <w:sz w:val="32"/>
          <w:szCs w:val="32"/>
        </w:rPr>
        <w:t>业务科室自查自律、法规科室审查把关、监察科室监督检查</w:t>
      </w:r>
      <w:r>
        <w:rPr>
          <w:rFonts w:hint="eastAsia" w:eastAsia="仿宋_GB2312"/>
          <w:sz w:val="32"/>
          <w:szCs w:val="32"/>
          <w:lang w:eastAsia="zh-CN"/>
        </w:rPr>
        <w:t>的监督原则，2021年12月对我局实施的行政审批事权情况进行了检查评估，各事项在实施过程中严格遵守法律法规规定的审批权限、范围、程序、条件，均能通过开展业务培训、完善事项标准、及时公布办事指南等达到依法行政要求。</w:t>
      </w:r>
      <w:r>
        <w:rPr>
          <w:rFonts w:hint="eastAsia" w:eastAsia="仿宋_GB2312"/>
          <w:sz w:val="32"/>
          <w:szCs w:val="32"/>
        </w:rPr>
        <w:t>一年来，我局没有发生从事行政许可事项活动的人员违法违规的情况，无接到、无受理投诉举报情况</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（四）实施效果情况。</w:t>
      </w:r>
      <w:r>
        <w:rPr>
          <w:rFonts w:hint="eastAsia" w:eastAsia="仿宋_GB2312"/>
          <w:sz w:val="32"/>
          <w:szCs w:val="32"/>
        </w:rPr>
        <w:t>过优化审批流程，提升事项级别，我局行政审批效率得到明显提高，所有行政审批事项均在承诺办结时限内办结，且程序合法、公开透明。202</w:t>
      </w:r>
      <w:r>
        <w:rPr>
          <w:rFonts w:hint="eastAsia" w:eastAsia="仿宋_GB2312"/>
          <w:sz w:val="32"/>
          <w:szCs w:val="32"/>
          <w:lang w:val="en-US" w:eastAsia="zh-CN"/>
        </w:rPr>
        <w:t>1</w:t>
      </w:r>
      <w:r>
        <w:rPr>
          <w:rFonts w:hint="eastAsia" w:eastAsia="仿宋_GB2312"/>
          <w:sz w:val="32"/>
          <w:szCs w:val="32"/>
        </w:rPr>
        <w:t>年，我局各项行政审批申请、受理渠道畅通，审批及时，按时办结率均达到100%。本年度我局没有因行政许可引起行政复议、行政诉讼案件，群众认可满意度较高</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（五）创新方式情况。</w:t>
      </w:r>
      <w:r>
        <w:rPr>
          <w:rFonts w:hint="eastAsia" w:eastAsia="仿宋_GB2312"/>
          <w:b/>
          <w:bCs/>
          <w:sz w:val="32"/>
          <w:szCs w:val="32"/>
        </w:rPr>
        <w:t>一是</w:t>
      </w:r>
      <w:r>
        <w:rPr>
          <w:rFonts w:hint="eastAsia" w:eastAsia="仿宋_GB2312"/>
          <w:sz w:val="32"/>
          <w:szCs w:val="32"/>
        </w:rPr>
        <w:t>本着简化、便民、效率原则，我局对许可办理程序认真梳理，通过开通互联网咨询、互联网预审、互联网受理、互联网办理、互联网办理结果信息反馈等功能，推进</w:t>
      </w:r>
      <w:r>
        <w:rPr>
          <w:rFonts w:hint="eastAsia" w:eastAsia="仿宋_GB2312"/>
          <w:sz w:val="32"/>
          <w:szCs w:val="32"/>
          <w:lang w:eastAsia="zh-CN"/>
        </w:rPr>
        <w:t>事项全流程网办</w:t>
      </w:r>
      <w:r>
        <w:rPr>
          <w:rFonts w:hint="eastAsia" w:eastAsia="仿宋_GB2312"/>
          <w:sz w:val="32"/>
          <w:szCs w:val="32"/>
        </w:rPr>
        <w:t>。</w:t>
      </w:r>
      <w:r>
        <w:rPr>
          <w:rFonts w:hint="eastAsia" w:eastAsia="仿宋_GB2312"/>
          <w:b/>
          <w:bCs/>
          <w:sz w:val="32"/>
          <w:szCs w:val="32"/>
        </w:rPr>
        <w:t>二是</w:t>
      </w:r>
      <w:r>
        <w:rPr>
          <w:rFonts w:hint="eastAsia" w:eastAsia="仿宋_GB2312"/>
          <w:sz w:val="32"/>
          <w:szCs w:val="32"/>
        </w:rPr>
        <w:t>通过减材料、减时间、减跑动及对能进驻区政务服务大厅综合受理窗口统一办理的事项应进尽进（“一窗受理”）等方式，简化办理流程，提高办事效率，为企业、群众办事“减负增速”。</w:t>
      </w:r>
      <w:r>
        <w:rPr>
          <w:rFonts w:hint="eastAsia" w:eastAsia="仿宋_GB2312"/>
          <w:b/>
          <w:bCs/>
          <w:sz w:val="32"/>
          <w:szCs w:val="32"/>
        </w:rPr>
        <w:t>三是</w:t>
      </w:r>
      <w:r>
        <w:rPr>
          <w:rFonts w:hint="eastAsia" w:eastAsia="仿宋_GB2312"/>
          <w:sz w:val="32"/>
          <w:szCs w:val="32"/>
        </w:rPr>
        <w:t>对于跨层级审批事项，我局不仅做好形式审查，还对有关情况进行认真核实，必要时组织人员实地核查，严把初审关，防止随意敷衍，防范弄虚作假。</w:t>
      </w:r>
      <w:r>
        <w:rPr>
          <w:rFonts w:hint="eastAsia" w:eastAsia="仿宋_GB2312"/>
          <w:b/>
          <w:bCs/>
          <w:sz w:val="32"/>
          <w:szCs w:val="32"/>
        </w:rPr>
        <w:t>四是</w:t>
      </w:r>
      <w:r>
        <w:rPr>
          <w:rFonts w:hint="eastAsia" w:eastAsia="仿宋_GB2312"/>
          <w:sz w:val="32"/>
          <w:szCs w:val="32"/>
        </w:rPr>
        <w:t>落实电子证照同步签发，为部门间信息共享和相互协同打下基础。动物防疫条件合格证、农作物种子生产经营许可证等2</w:t>
      </w:r>
      <w:r>
        <w:rPr>
          <w:rFonts w:hint="eastAsia" w:eastAsia="仿宋_GB2312"/>
          <w:sz w:val="32"/>
          <w:szCs w:val="32"/>
          <w:lang w:val="en-US" w:eastAsia="zh-CN"/>
        </w:rPr>
        <w:t>0</w:t>
      </w:r>
      <w:r>
        <w:rPr>
          <w:rFonts w:hint="eastAsia" w:eastAsia="仿宋_GB2312"/>
          <w:sz w:val="32"/>
          <w:szCs w:val="32"/>
        </w:rPr>
        <w:t>种证书已实行同步签发电子证照，其中农药经营许可证及农作物种子生产经营许可证已在区政务</w:t>
      </w:r>
      <w:r>
        <w:rPr>
          <w:rFonts w:hint="eastAsia" w:eastAsia="仿宋_GB2312"/>
          <w:sz w:val="32"/>
          <w:szCs w:val="32"/>
          <w:lang w:eastAsia="zh-CN"/>
        </w:rPr>
        <w:t>服务</w:t>
      </w:r>
      <w:r>
        <w:rPr>
          <w:rFonts w:hint="eastAsia" w:eastAsia="仿宋_GB2312"/>
          <w:sz w:val="32"/>
          <w:szCs w:val="32"/>
        </w:rPr>
        <w:t>大厅试点实施电子证照免提交应用</w:t>
      </w:r>
      <w:r>
        <w:rPr>
          <w:rFonts w:eastAsia="仿宋_GB2312"/>
          <w:sz w:val="32"/>
          <w:szCs w:val="32"/>
        </w:rPr>
        <w:t>。</w:t>
      </w:r>
      <w:r>
        <w:rPr>
          <w:rFonts w:hint="eastAsia" w:eastAsia="仿宋_GB2312"/>
          <w:b/>
          <w:bCs/>
          <w:sz w:val="32"/>
          <w:szCs w:val="32"/>
          <w:lang w:eastAsia="zh-CN"/>
        </w:rPr>
        <w:t>五是</w:t>
      </w:r>
      <w:r>
        <w:rPr>
          <w:rFonts w:hint="eastAsia" w:eastAsia="仿宋_GB2312"/>
          <w:b w:val="0"/>
          <w:bCs w:val="0"/>
          <w:sz w:val="32"/>
          <w:szCs w:val="32"/>
          <w:lang w:eastAsia="zh-CN"/>
        </w:rPr>
        <w:t>“兽药经营许可（中、化药类）”“动物诊疗许可证”等事项在办事过程中需要申请人提交的</w:t>
      </w:r>
      <w:r>
        <w:rPr>
          <w:rFonts w:hint="eastAsia" w:eastAsia="仿宋_GB2312"/>
          <w:b w:val="0"/>
          <w:bCs w:val="0"/>
          <w:sz w:val="32"/>
          <w:szCs w:val="32"/>
          <w:lang w:val="en-US" w:eastAsia="zh-CN"/>
        </w:rPr>
        <w:t>2个</w:t>
      </w:r>
      <w:r>
        <w:rPr>
          <w:rFonts w:hint="eastAsia" w:eastAsia="仿宋_GB2312"/>
          <w:b w:val="0"/>
          <w:bCs w:val="0"/>
          <w:sz w:val="32"/>
          <w:szCs w:val="32"/>
          <w:lang w:eastAsia="zh-CN"/>
        </w:rPr>
        <w:t>证明事项实行告知承诺制，贯彻落实党中央、国务院“减证便民”工作部署，切实减轻群众和企业办事负担。</w:t>
      </w:r>
    </w:p>
    <w:p>
      <w:pPr>
        <w:spacing w:line="560" w:lineRule="exact"/>
        <w:ind w:firstLine="640" w:firstLineChars="200"/>
        <w:rPr>
          <w:rFonts w:hint="eastAsia" w:eastAsia="仿宋_GB2312"/>
          <w:sz w:val="32"/>
          <w:szCs w:val="32"/>
        </w:rPr>
      </w:pPr>
      <w:r>
        <w:rPr>
          <w:rFonts w:eastAsia="楷体_GB2312"/>
          <w:sz w:val="32"/>
          <w:szCs w:val="32"/>
        </w:rPr>
        <w:t>（六）推行标准化情况。</w:t>
      </w:r>
      <w:r>
        <w:rPr>
          <w:rFonts w:hint="eastAsia" w:eastAsia="仿宋_GB2312"/>
          <w:b/>
          <w:bCs/>
          <w:sz w:val="32"/>
          <w:szCs w:val="32"/>
          <w:lang w:val="en-US" w:eastAsia="zh-CN"/>
        </w:rPr>
        <w:t>一是</w:t>
      </w:r>
      <w:r>
        <w:rPr>
          <w:rFonts w:hint="eastAsia" w:eastAsia="仿宋_GB2312"/>
          <w:sz w:val="32"/>
          <w:szCs w:val="32"/>
          <w:lang w:val="en-US" w:eastAsia="zh-CN"/>
        </w:rPr>
        <w:t>按照省、市统筹清单，对政务服务事项进行认领、完善，优化调整办事指南，确保权力清单科学有效，规范运行。</w:t>
      </w:r>
      <w:r>
        <w:rPr>
          <w:rFonts w:hint="eastAsia" w:eastAsia="仿宋_GB2312"/>
          <w:b/>
          <w:bCs/>
          <w:sz w:val="32"/>
          <w:szCs w:val="32"/>
          <w:lang w:val="en-US" w:eastAsia="zh-CN"/>
        </w:rPr>
        <w:t>二是</w:t>
      </w:r>
      <w:r>
        <w:rPr>
          <w:rFonts w:hint="eastAsia" w:eastAsia="仿宋_GB2312"/>
          <w:sz w:val="32"/>
          <w:szCs w:val="32"/>
          <w:lang w:eastAsia="zh-CN"/>
        </w:rPr>
        <w:t>严格</w:t>
      </w:r>
      <w:r>
        <w:rPr>
          <w:rFonts w:hint="eastAsia" w:eastAsia="仿宋_GB2312"/>
          <w:sz w:val="32"/>
          <w:szCs w:val="32"/>
          <w:lang w:val="en-US" w:eastAsia="zh-CN"/>
        </w:rPr>
        <w:t>对照行政许可事项</w:t>
      </w:r>
      <w:r>
        <w:rPr>
          <w:rFonts w:eastAsia="仿宋_GB2312"/>
          <w:sz w:val="32"/>
          <w:szCs w:val="32"/>
        </w:rPr>
        <w:t>实施依据、申请条件、申请材料、办理时限、受理范围</w:t>
      </w:r>
      <w:r>
        <w:rPr>
          <w:rFonts w:hint="eastAsia" w:eastAsia="仿宋_GB2312"/>
          <w:sz w:val="32"/>
          <w:szCs w:val="32"/>
          <w:lang w:val="en-US" w:eastAsia="zh-CN"/>
        </w:rPr>
        <w:t>等，认真审查审核申请材料，根据材料的真实性、合法性和完整性，依法作出许可决定和审批意见，杜绝主观推断。</w:t>
      </w:r>
      <w:r>
        <w:rPr>
          <w:rFonts w:hint="eastAsia" w:eastAsia="仿宋_GB2312"/>
          <w:b/>
          <w:bCs/>
          <w:sz w:val="32"/>
          <w:szCs w:val="32"/>
          <w:lang w:val="en-US" w:eastAsia="zh-CN"/>
        </w:rPr>
        <w:t>三是</w:t>
      </w:r>
      <w:r>
        <w:rPr>
          <w:rFonts w:hint="eastAsia" w:eastAsia="仿宋_GB2312"/>
          <w:sz w:val="32"/>
          <w:szCs w:val="32"/>
          <w:lang w:val="en-US" w:eastAsia="zh-CN"/>
        </w:rPr>
        <w:t>对我局行政许可、行政处罚、行政强制、行政检查、行政给付、其他行政权力等共424项事项及相关责任事项进行梳理并在增城区人民政府门户网站进行公示进一步推进我局权责清单标准化、规范化建设，强化对行政职权的监督。</w:t>
      </w:r>
    </w:p>
    <w:p>
      <w:pPr>
        <w:spacing w:line="560" w:lineRule="exact"/>
        <w:ind w:firstLine="640" w:firstLineChars="200"/>
        <w:rPr>
          <w:rFonts w:eastAsia="黑体"/>
          <w:sz w:val="32"/>
          <w:szCs w:val="32"/>
        </w:rPr>
      </w:pPr>
      <w:r>
        <w:rPr>
          <w:rFonts w:hAnsi="黑体" w:eastAsia="黑体"/>
          <w:sz w:val="32"/>
          <w:szCs w:val="32"/>
        </w:rPr>
        <w:t>二、存在问题和困难</w:t>
      </w:r>
    </w:p>
    <w:p>
      <w:pPr>
        <w:spacing w:line="560" w:lineRule="exact"/>
        <w:ind w:firstLine="640" w:firstLineChars="200"/>
        <w:rPr>
          <w:rFonts w:eastAsia="仿宋_GB2312"/>
          <w:sz w:val="32"/>
          <w:szCs w:val="32"/>
        </w:rPr>
      </w:pPr>
      <w:r>
        <w:rPr>
          <w:rFonts w:hint="eastAsia" w:eastAsia="仿宋_GB2312"/>
          <w:sz w:val="32"/>
          <w:szCs w:val="32"/>
          <w:lang w:eastAsia="zh-CN"/>
        </w:rPr>
        <w:t>以前的行政资源</w:t>
      </w:r>
      <w:r>
        <w:rPr>
          <w:rFonts w:hint="eastAsia" w:eastAsia="仿宋_GB2312"/>
          <w:sz w:val="32"/>
          <w:szCs w:val="32"/>
        </w:rPr>
        <w:t>大量集中于规范事前审批，事中事后监管</w:t>
      </w:r>
      <w:r>
        <w:rPr>
          <w:rFonts w:hint="eastAsia" w:eastAsia="仿宋_GB2312"/>
          <w:sz w:val="32"/>
          <w:szCs w:val="32"/>
          <w:lang w:eastAsia="zh-CN"/>
        </w:rPr>
        <w:t>制度</w:t>
      </w:r>
      <w:r>
        <w:rPr>
          <w:rFonts w:hint="eastAsia" w:eastAsia="仿宋_GB2312"/>
          <w:sz w:val="32"/>
          <w:szCs w:val="32"/>
        </w:rPr>
        <w:t>、监管程序等方面</w:t>
      </w:r>
      <w:r>
        <w:rPr>
          <w:rFonts w:hint="eastAsia" w:eastAsia="仿宋_GB2312"/>
          <w:sz w:val="32"/>
          <w:szCs w:val="32"/>
          <w:lang w:eastAsia="zh-CN"/>
        </w:rPr>
        <w:t>规定</w:t>
      </w:r>
      <w:r>
        <w:rPr>
          <w:rFonts w:hint="eastAsia" w:eastAsia="仿宋_GB2312"/>
          <w:sz w:val="32"/>
          <w:szCs w:val="32"/>
        </w:rPr>
        <w:t>不</w:t>
      </w:r>
      <w:r>
        <w:rPr>
          <w:rFonts w:hint="eastAsia" w:eastAsia="仿宋_GB2312"/>
          <w:sz w:val="32"/>
          <w:szCs w:val="32"/>
          <w:lang w:eastAsia="zh-CN"/>
        </w:rPr>
        <w:t>健全，</w:t>
      </w:r>
      <w:r>
        <w:rPr>
          <w:rFonts w:hint="eastAsia" w:eastAsia="仿宋_GB2312"/>
          <w:sz w:val="32"/>
          <w:szCs w:val="32"/>
        </w:rPr>
        <w:t>制约了监管的开展</w:t>
      </w:r>
      <w:r>
        <w:rPr>
          <w:rFonts w:hint="eastAsia" w:eastAsia="仿宋_GB2312"/>
          <w:sz w:val="32"/>
          <w:szCs w:val="32"/>
          <w:lang w:eastAsia="zh-CN"/>
        </w:rPr>
        <w:t>，</w:t>
      </w:r>
      <w:r>
        <w:rPr>
          <w:rFonts w:hint="eastAsia" w:eastAsia="仿宋_GB2312"/>
          <w:sz w:val="32"/>
          <w:szCs w:val="32"/>
        </w:rPr>
        <w:t>行政审批事中事后监管制度待进一步完善。</w:t>
      </w:r>
    </w:p>
    <w:p>
      <w:pPr>
        <w:spacing w:line="560" w:lineRule="exact"/>
        <w:ind w:firstLine="640" w:firstLineChars="200"/>
        <w:rPr>
          <w:rFonts w:eastAsia="黑体"/>
          <w:sz w:val="32"/>
          <w:szCs w:val="32"/>
        </w:rPr>
      </w:pPr>
      <w:r>
        <w:rPr>
          <w:rFonts w:hAnsi="黑体" w:eastAsia="黑体"/>
          <w:sz w:val="32"/>
          <w:szCs w:val="32"/>
        </w:rPr>
        <w:t>三、下一步工作措施及有关建议</w:t>
      </w:r>
    </w:p>
    <w:p>
      <w:pPr>
        <w:spacing w:line="560" w:lineRule="exact"/>
        <w:ind w:firstLine="640" w:firstLineChars="200"/>
        <w:rPr>
          <w:rFonts w:eastAsia="仿宋_GB2312"/>
          <w:sz w:val="32"/>
          <w:szCs w:val="32"/>
        </w:rPr>
      </w:pPr>
      <w:r>
        <w:rPr>
          <w:rFonts w:hint="eastAsia" w:eastAsia="仿宋_GB2312"/>
          <w:sz w:val="32"/>
          <w:szCs w:val="32"/>
        </w:rPr>
        <w:t>按照“谁审批、谁负责，谁主管、谁监管”的原则</w:t>
      </w:r>
      <w:r>
        <w:rPr>
          <w:rFonts w:hint="eastAsia" w:eastAsia="仿宋_GB2312"/>
          <w:sz w:val="32"/>
          <w:szCs w:val="32"/>
          <w:lang w:eastAsia="zh-CN"/>
        </w:rPr>
        <w:t>，</w:t>
      </w:r>
      <w:r>
        <w:rPr>
          <w:rFonts w:hint="eastAsia" w:eastAsia="仿宋_GB2312"/>
          <w:sz w:val="32"/>
          <w:szCs w:val="32"/>
        </w:rPr>
        <w:t>制定</w:t>
      </w:r>
      <w:r>
        <w:rPr>
          <w:rFonts w:hint="eastAsia" w:eastAsia="仿宋_GB2312"/>
          <w:sz w:val="32"/>
          <w:szCs w:val="32"/>
          <w:lang w:eastAsia="zh-CN"/>
        </w:rPr>
        <w:t>我</w:t>
      </w:r>
      <w:r>
        <w:rPr>
          <w:rFonts w:hint="eastAsia" w:eastAsia="仿宋_GB2312"/>
          <w:sz w:val="32"/>
          <w:szCs w:val="32"/>
        </w:rPr>
        <w:t>局行政许可事项事中事后监管制度，加强和规范事中事后监管，把更多行政资源从事前审批转到加强事中事后监管上来，落实监管责任、健全监管规则、规范监管行为，推进事中事后监管法治化、制度化、规范化。</w:t>
      </w:r>
    </w:p>
    <w:p>
      <w:pPr>
        <w:spacing w:line="560" w:lineRule="exact"/>
        <w:ind w:firstLine="0" w:firstLineChars="0"/>
        <w:rPr>
          <w:rFonts w:eastAsia="仿宋_GB2312"/>
          <w:sz w:val="32"/>
          <w:szCs w:val="32"/>
        </w:rPr>
      </w:pPr>
    </w:p>
    <w:p>
      <w:pPr>
        <w:wordWrap w:val="0"/>
        <w:spacing w:line="520" w:lineRule="exact"/>
        <w:ind w:right="0"/>
        <w:jc w:val="right"/>
        <w:rPr>
          <w:rFonts w:hint="eastAsia" w:ascii="仿宋_GB2312" w:hAnsi="仿宋_GB2312" w:eastAsia="仿宋_GB2312" w:cs="仿宋_GB2312"/>
          <w:sz w:val="32"/>
          <w:szCs w:val="32"/>
          <w:lang w:val="en-US" w:eastAsia="zh-CN"/>
        </w:rPr>
      </w:pPr>
    </w:p>
    <w:p>
      <w:pPr>
        <w:wordWrap w:val="0"/>
        <w:spacing w:line="520" w:lineRule="exact"/>
        <w:ind w:right="0"/>
        <w:jc w:val="right"/>
        <w:rPr>
          <w:rFonts w:hint="eastAsia" w:ascii="仿宋_GB2312" w:hAnsi="仿宋_GB2312" w:eastAsia="仿宋_GB2312" w:cs="仿宋_GB2312"/>
          <w:sz w:val="32"/>
          <w:szCs w:val="32"/>
          <w:lang w:val="en-US" w:eastAsia="zh-CN"/>
        </w:rPr>
      </w:pPr>
    </w:p>
    <w:p>
      <w:pPr>
        <w:wordWrap w:val="0"/>
        <w:spacing w:line="520" w:lineRule="exact"/>
        <w:ind w:right="0"/>
        <w:jc w:val="right"/>
        <w:rPr>
          <w:rFonts w:hint="eastAsia" w:ascii="仿宋_GB2312" w:hAnsi="仿宋_GB2312" w:eastAsia="仿宋_GB2312" w:cs="仿宋_GB2312"/>
          <w:sz w:val="32"/>
          <w:szCs w:val="32"/>
          <w:lang w:val="en-US" w:eastAsia="zh-CN"/>
        </w:rPr>
      </w:pPr>
    </w:p>
    <w:p>
      <w:pPr>
        <w:wordWrap w:val="0"/>
        <w:spacing w:line="520" w:lineRule="exact"/>
        <w:ind w:right="0"/>
        <w:jc w:val="right"/>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widowControl/>
        <w:suppressLineNumbers w:val="0"/>
        <w:jc w:val="both"/>
        <w:textAlignment w:val="center"/>
        <w:rPr>
          <w:rFonts w:hint="eastAsia" w:ascii="黑体" w:hAnsi="宋体" w:eastAsia="黑体" w:cs="黑体"/>
          <w:i w:val="0"/>
          <w:color w:val="000000"/>
          <w:kern w:val="0"/>
          <w:sz w:val="32"/>
          <w:szCs w:val="32"/>
          <w:u w:val="none"/>
          <w:lang w:val="en-US" w:eastAsia="zh-CN" w:bidi="ar"/>
        </w:rPr>
        <w:sectPr>
          <w:pgSz w:w="11850" w:h="16783"/>
          <w:pgMar w:top="1440" w:right="1800" w:bottom="1440" w:left="1800" w:header="851" w:footer="992" w:gutter="0"/>
          <w:cols w:space="425" w:num="1"/>
          <w:docGrid w:type="lines" w:linePitch="312" w:charSpace="0"/>
        </w:sectPr>
      </w:pPr>
    </w:p>
    <w:tbl>
      <w:tblPr>
        <w:tblStyle w:val="2"/>
        <w:tblW w:w="27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6"/>
        <w:gridCol w:w="882"/>
        <w:gridCol w:w="1481"/>
        <w:gridCol w:w="544"/>
        <w:gridCol w:w="581"/>
        <w:gridCol w:w="488"/>
        <w:gridCol w:w="487"/>
        <w:gridCol w:w="469"/>
        <w:gridCol w:w="469"/>
        <w:gridCol w:w="469"/>
        <w:gridCol w:w="468"/>
        <w:gridCol w:w="432"/>
        <w:gridCol w:w="431"/>
        <w:gridCol w:w="431"/>
        <w:gridCol w:w="450"/>
        <w:gridCol w:w="414"/>
        <w:gridCol w:w="599"/>
        <w:gridCol w:w="543"/>
        <w:gridCol w:w="603"/>
        <w:gridCol w:w="560"/>
        <w:gridCol w:w="519"/>
        <w:gridCol w:w="606"/>
        <w:gridCol w:w="637"/>
        <w:gridCol w:w="1464"/>
        <w:gridCol w:w="13052"/>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27715" w:type="dxa"/>
            <w:gridSpan w:val="25"/>
            <w:shd w:val="clear" w:color="auto" w:fill="auto"/>
            <w:vAlign w:val="center"/>
          </w:tcPr>
          <w:p>
            <w:pPr>
              <w:keepNext w:val="0"/>
              <w:keepLines w:val="0"/>
              <w:widowControl/>
              <w:suppressLineNumbers w:val="0"/>
              <w:ind w:right="12764" w:rightChars="6078"/>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广州市增城区农业农村局2021年度行政许可实施和监督管理情况表</w:t>
            </w:r>
          </w:p>
        </w:tc>
        <w:tc>
          <w:tcPr>
            <w:tcW w:w="240"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65"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0" w:name="_GoBack"/>
            <w:bookmarkEnd w:id="0"/>
            <w:r>
              <w:rPr>
                <w:rFonts w:hint="eastAsia" w:ascii="宋体" w:hAnsi="宋体" w:eastAsia="宋体" w:cs="宋体"/>
                <w:i w:val="0"/>
                <w:color w:val="000000"/>
                <w:kern w:val="0"/>
                <w:sz w:val="24"/>
                <w:szCs w:val="24"/>
                <w:u w:val="none"/>
                <w:lang w:val="en-US" w:eastAsia="zh-CN" w:bidi="ar"/>
              </w:rPr>
              <w:t>序号</w:t>
            </w:r>
          </w:p>
        </w:tc>
        <w:tc>
          <w:tcPr>
            <w:tcW w:w="23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审批事项</w:t>
            </w:r>
          </w:p>
        </w:tc>
        <w:tc>
          <w:tcPr>
            <w:tcW w:w="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是否纳入区行政许可事项目录</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是否进驻省政务服务网</w:t>
            </w:r>
          </w:p>
        </w:tc>
        <w:tc>
          <w:tcPr>
            <w:tcW w:w="37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全年业务量（件）</w:t>
            </w:r>
          </w:p>
        </w:tc>
        <w:tc>
          <w:tcPr>
            <w:tcW w:w="30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实施过程</w:t>
            </w:r>
          </w:p>
        </w:tc>
        <w:tc>
          <w:tcPr>
            <w:tcW w:w="23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监督管理</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501"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189" w:rightChars="9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子项名称</w:t>
            </w:r>
          </w:p>
        </w:tc>
        <w:tc>
          <w:tcPr>
            <w:tcW w:w="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申请量</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受理量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不受理量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办结量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审批同意量</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审批不同意量</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网上受理量</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网上全流程办结量</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法定办结期限</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承诺办结期限</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实际平均办结时间</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是否向社会公开审批结果</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是否公开办事指南和业务手册</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是否制定监管标准或制度</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开展抽查监管人次</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抽查发现违法违规行为件数</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查处违法违规行为件数</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收到行政相对人有效投诉举报数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动物防疫条件合格证核发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动物防疫条件合格证核发（动物饲养场、养殖小区和动物屠宰加工场所)</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动物及动物产品检疫合格证核发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动物及动物产品检疫合格证核发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15461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15461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15461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15461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动物诊疗许可证核发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动物诊疗许可证核发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进口兽药通关单开具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进口兽药通关单开具</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生鲜乳收购许可</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生鲜乳收购许可</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生鲜乳准运证明核发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生鲜乳准运证明核发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兽药经营许可</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兽药经营许可（中、化药类）</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种畜禽生产经营许可证核发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商品代仔畜生产场、商品代雏禽生产场（含父母代种禽场、禽蛋孵化场）的种畜禽生产经营许可证核发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32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采集国家一级保护野生植物（渔业类）审批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采集国家一级保护野生植物（渔业类）审批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水产苗种生产、进出口审核、审批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水产苗种进出口的审批、审核</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水产苗种生产、进出口审核、审批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水产苗种生产许可证的审批、审核</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水生野生保护动物利用审批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出售、购买、利用国家二级及省重点保护水生野生动物及其制品的审核、审批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水生野生保护动物利用审批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出售、购买、利用国家一级（9种类除外）保护水生野生动物及其制品的审核、审批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水生野生保护动物利用审批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猎捕国家二级保护水生野生动物的审核、审批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水生野生保护动物利用审批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人工繁育国家二级保护水生野生动物的审核、审批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水生野生保护动物利用审批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人工繁育国家一级（9种类除外）保护水生野生动物的审核、审批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水生野生保护动物利用审批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外国人在我国对国家重点保护水生野生动物进行野外考察、野外拍摄电影、录像等活动审核、审批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水域滩涂养殖证的审核与登记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水域滩涂养殖证的审核（变更）</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水域滩涂养殖证的审核与登记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水域滩涂养殖证的审核（新申请）</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水域滩涂养殖证的审核与登记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水域滩涂养殖证的审核（延期）</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水域滩涂养殖证的审核与登记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水域滩涂养殖证的审核（注销）</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渔业捕捞许可审批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海洋大型拖网、围网作业渔船渔业捕捞许可证核发(不含涉外渔业)</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渔业捕捞许可审批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省管权限渔船渔业船网工具指标审批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渔业捕捞许可审批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渔业捕捞许可证审核、审批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5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渔业水域实施电力、爆炸、有毒物作业审批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渔业水域实施电力、爆炸、有毒物作业审批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重点保护水生野生动物利用的审核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出售、购买、利用9种（类）国家一级保护水生野生动物及其制品的审核</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重点保护水生野生动物利用的审核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猎捕国家一级保护水生野生动物的审核</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重点保护水生野生动物利用的审核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人工繁育9种（类）国家一级保护水生野生动物的审核</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专项捕捞许可证审核、审批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专项捕捞许可证(拖虾、拖贝、鳗苗)审批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渔业船舶船员证书核发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市、县级渔业船舶船员证书签发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渔业船舶变更登记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渔业船舶抵押权登记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渔业船舶国籍登记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渔业船舶所有权登记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渔业船舶注销登记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渔业船舶登记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渔业船舶租赁登记</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渔业船舶及船用产品检验与发证</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渔业船舶初次检验与发证</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渔业船舶及船用产品检验与发证</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渔业船舶船用产品检验与发证</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渔业船舶及船用产品检验与发证</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渔业船舶临时检验与发证</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渔业船舶及船用产品检验与发证</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渔业船舶营运检验与发证</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渔业航标的设置审批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变更渔业航标审批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渔业航标的设置审批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拆除渔业航标审批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渔业航标的设置审批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移动渔业航标位置审批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渔业航标的设置审批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渔业航标的新设置审批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农药经营许可证申请（限制使用农药除外）</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由于该事项需要现场勘查，现场勘查时间不算在承诺办结时限内。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农药经营许可证注销</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农药经营许可证变更</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农药经营许可证补发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6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农药经营许可证延续</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拖拉机、联合收割机及驾驶员牌照证照核发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拖拉机、联合收割机及驾驶员牌照证照核发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由于该事项需要现场验机，现场验机时间不算在承诺办结时限内。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采集、出售、收购国家二级保护野生植物（农业类）审批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采集国家二级保护野生植物（农业类）审批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采集、出售、收购国家二级保护野生植物（农业类）审批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出售、收购国家二级保护野生植物（农业类）审批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暂无业务量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农业植物及其产品产地检疫合格证签发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农业植物及其产品产地检疫合格证签发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由于该事项需要现场检验，现场检验时间不算在承诺办结时限内。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181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农业植物及其产品调运植物检疫证书签发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农业植物及其产品调运植物检疫证书签发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由于该事项需要现场检验，现场检验时间不算在承诺办结时限内。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农作物种子生产经营许可证审核（核发）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非主要农作物及主要农作物常规种的农作物种子生产经营许可证核发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农作物种子生产经营许可证审核（核发）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非主要农作物种苗生产经营许可证核发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农作物种子生产经营许可证审核（核发）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实行选育生产经营相结合的种子生产经营许可证核发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暂无此类持证企业。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99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农作物种子生产经营许可证审核（核发）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主要农作物杂交种子及其亲本种子生产经营许可证核发</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3292" w:type="dxa"/>
          <w:trHeight w:val="15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使用低于国家或地方规定标准的农作物种子审批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使用低于国家或地方规定标准的农作物种子审批</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暂无此类许可企业。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3292" w:type="dxa"/>
          <w:trHeight w:val="4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16823</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16823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16823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16804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1585</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3292" w:type="dxa"/>
          <w:trHeight w:val="495" w:hRule="atLeast"/>
        </w:trPr>
        <w:tc>
          <w:tcPr>
            <w:tcW w:w="14663" w:type="dxa"/>
            <w:gridSpan w:val="24"/>
            <w:shd w:val="clear" w:color="auto" w:fill="auto"/>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注：表格中选项为是的打“√”，否的打“×”。</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B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2022-03-30T01:38:24Z</dcterms:created>
  <dc:creator>Administrator</dc:creator>
  <cp:lastModifiedBy>天道酬勤</cp:lastModifiedBy>
  <dcterms:modified xsi:type="dcterms:W3CDTF">2022-03-30T01:42:36Z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E315888C48624CD6AF8C491A0EFF36D2</vt:lpwstr>
  </property>
</Properties>
</file>