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增城区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档案局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年度行政许可实施和监督管理情况表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eastAsia="仿宋_GB2312"/>
          <w:sz w:val="32"/>
          <w:szCs w:val="32"/>
        </w:rPr>
      </w:pPr>
    </w:p>
    <w:tbl>
      <w:tblPr>
        <w:tblStyle w:val="4"/>
        <w:tblW w:w="15980" w:type="dxa"/>
        <w:jc w:val="center"/>
        <w:tblInd w:w="-7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88"/>
        <w:gridCol w:w="1929"/>
        <w:gridCol w:w="732"/>
        <w:gridCol w:w="717"/>
        <w:gridCol w:w="423"/>
        <w:gridCol w:w="395"/>
        <w:gridCol w:w="395"/>
        <w:gridCol w:w="410"/>
        <w:gridCol w:w="425"/>
        <w:gridCol w:w="395"/>
        <w:gridCol w:w="380"/>
        <w:gridCol w:w="512"/>
        <w:gridCol w:w="483"/>
        <w:gridCol w:w="498"/>
        <w:gridCol w:w="526"/>
        <w:gridCol w:w="746"/>
        <w:gridCol w:w="747"/>
        <w:gridCol w:w="746"/>
        <w:gridCol w:w="761"/>
        <w:gridCol w:w="805"/>
        <w:gridCol w:w="848"/>
        <w:gridCol w:w="7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序号</w:t>
            </w:r>
          </w:p>
        </w:tc>
        <w:tc>
          <w:tcPr>
            <w:tcW w:w="3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审批事项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是否纳入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区</w:t>
            </w:r>
            <w:r>
              <w:rPr>
                <w:rFonts w:hAnsi="宋体"/>
                <w:sz w:val="24"/>
                <w:szCs w:val="24"/>
              </w:rPr>
              <w:t>行政许可事项目录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Ansi="宋体"/>
                <w:sz w:val="24"/>
                <w:szCs w:val="24"/>
              </w:rPr>
              <w:t>是否进驻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省政务服务网</w:t>
            </w:r>
          </w:p>
        </w:tc>
        <w:tc>
          <w:tcPr>
            <w:tcW w:w="33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全年业务量（件）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实施过程</w:t>
            </w: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监督管理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事项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名称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子项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名称</w:t>
            </w: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申请量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受理量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不受理量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办结量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审批同意量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审批不同意量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网上受理量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网上全流程办结量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法定办结期限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承诺办结期限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实际平均办结时间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是否向社会公开审批结果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是否公开办事指南和业务手册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是否制定监管标准或制度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开展抽查监管人次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抽查发现违法违规行为件数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查处违法违规行为件数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收到行政相对人有效投诉举报数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机关、团体、企业事业单位、其他组织和个人携带、运输或者邮寄档案及其复制件出境审批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机关、团体、企业事业单位、其他组织和个人携带、运输或者邮寄档案及其复制件出境审批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√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</w:tbl>
    <w:p>
      <w:r>
        <w:rPr>
          <w:rFonts w:hAnsi="宋体"/>
          <w:szCs w:val="21"/>
        </w:rPr>
        <w:t>注：表格中选项为是的打</w:t>
      </w:r>
      <w:r>
        <w:rPr>
          <w:szCs w:val="21"/>
        </w:rPr>
        <w:t>“√”</w:t>
      </w:r>
      <w:r>
        <w:rPr>
          <w:rFonts w:hAnsi="宋体"/>
          <w:szCs w:val="21"/>
        </w:rPr>
        <w:t>，否的打</w:t>
      </w:r>
      <w:r>
        <w:rPr>
          <w:szCs w:val="21"/>
        </w:rPr>
        <w:t>“×</w:t>
      </w:r>
    </w:p>
    <w:sectPr>
      <w:footerReference r:id="rId3" w:type="default"/>
      <w:pgSz w:w="16838" w:h="11905" w:orient="landscape"/>
      <w:pgMar w:top="1531" w:right="1984" w:bottom="1531" w:left="1984" w:header="0" w:footer="1417" w:gutter="0"/>
      <w:pgNumType w:fmt="numberInDash"/>
      <w:cols w:space="720" w:num="1"/>
      <w:rtlGutter w:val="0"/>
      <w:docGrid w:type="linesAndChars" w:linePitch="585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NErhR+wAQAA&#10;T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C1660"/>
    <w:rsid w:val="41DC1660"/>
    <w:rsid w:val="53B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2022-03-23T03:17:00Z</dcterms:created>
  <dc:creator>Administrator</dc:creator>
  <cp:lastModifiedBy>Administrator</cp:lastModifiedBy>
  <cp:lastPrinted>2022-03-23T03:25:56Z</cp:lastPrinted>
  <dcterms:modified xsi:type="dcterms:W3CDTF">2022-03-23T03:26:52Z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