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Attachment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3</w:t>
      </w:r>
    </w:p>
    <w:bookmarkEnd w:id="0"/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32"/>
          <w:szCs w:val="32"/>
        </w:rPr>
        <w:t>Zengcheng District Rural Homestead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32"/>
          <w:szCs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32"/>
          <w:szCs w:val="32"/>
        </w:rPr>
        <w:t xml:space="preserve"> Allocation Qualification List Database</w:t>
      </w:r>
    </w:p>
    <w:tbl>
      <w:tblPr>
        <w:tblStyle w:val="5"/>
        <w:tblpPr w:leftFromText="180" w:rightFromText="180" w:vertAnchor="page" w:horzAnchor="page" w:tblpX="1454" w:tblpY="2917"/>
        <w:tblOverlap w:val="never"/>
        <w:tblW w:w="139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7"/>
        <w:gridCol w:w="1010"/>
        <w:gridCol w:w="730"/>
        <w:gridCol w:w="1986"/>
        <w:gridCol w:w="2132"/>
        <w:gridCol w:w="2100"/>
        <w:gridCol w:w="2188"/>
        <w:gridCol w:w="2027"/>
        <w:gridCol w:w="14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4" w:hRule="atLeast"/>
        </w:trPr>
        <w:tc>
          <w:tcPr>
            <w:tcW w:w="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No.</w:t>
            </w: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own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street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V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illage</w:t>
            </w:r>
          </w:p>
        </w:tc>
        <w:tc>
          <w:tcPr>
            <w:tcW w:w="19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Name of rural collective economic organization</w:t>
            </w:r>
          </w:p>
        </w:tc>
        <w:tc>
          <w:tcPr>
            <w:tcW w:w="2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Names of members to be included in the directory library</w:t>
            </w:r>
          </w:p>
        </w:tc>
        <w:tc>
          <w:tcPr>
            <w:tcW w:w="2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ID card number</w:t>
            </w:r>
          </w:p>
        </w:tc>
        <w:tc>
          <w:tcPr>
            <w:tcW w:w="21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Household division situation</w:t>
            </w:r>
          </w:p>
        </w:tc>
        <w:tc>
          <w:tcPr>
            <w:tcW w:w="20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Application time for homestead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14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ote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3971" w:type="dxa"/>
            <w:gridSpan w:val="9"/>
            <w:tcBorders>
              <w:top w:val="single" w:color="auto" w:sz="2" w:space="0"/>
            </w:tcBorders>
            <w:vAlign w:val="top"/>
          </w:tcPr>
          <w:p>
            <w:pPr>
              <w:pStyle w:val="2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ind w:lef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Household division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situations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include:</w:t>
            </w:r>
          </w:p>
          <w:p>
            <w:pPr>
              <w:pStyle w:val="2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ind w:lef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(1) the husband and wife shall live with their children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under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the legal age for marriage;</w:t>
            </w:r>
          </w:p>
          <w:p>
            <w:pPr>
              <w:pStyle w:val="2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ind w:lef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(2)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i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f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the applicant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has brothers or sisters, one of them shall live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with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their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parents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as one household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, and the other brothers or sisters may apply for household division upon reaching the legal marriageable age or after marriage;</w:t>
            </w:r>
          </w:p>
          <w:p>
            <w:pPr>
              <w:pStyle w:val="2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ind w:left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(3)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the only child in the family can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continue to live with parents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as one household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or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apply for being one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household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after marriage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;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(4)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If the applicant get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divorce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d and remarries another who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has no house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, he or she can apply for being one household.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2. In the column of "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note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", fill in "whether there is violation of qualification identification conditions" and "time of obtaining the Rural Homestead Approval", etc.</w:t>
            </w:r>
          </w:p>
        </w:tc>
      </w:tr>
    </w:tbl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00" w:lineRule="exact"/>
        <w:textAlignment w:val="bottom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exact"/>
        <w:ind w:left="0"/>
        <w:textAlignment w:val="auto"/>
      </w:pPr>
      <w:r>
        <w:rPr>
          <w:rFonts w:hint="default" w:ascii="Times New Roman" w:hAnsi="Times New Roman" w:cs="Times New Roman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-62865</wp:posOffset>
                </wp:positionV>
                <wp:extent cx="8862060" cy="283845"/>
                <wp:effectExtent l="4445" t="4445" r="10795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206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 xml:space="preserve">Person in charge of village collective economic organizations or village committees: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 xml:space="preserve">Responsible person: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Date：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-4.95pt;height:22.35pt;width:697.8pt;z-index:251660288;mso-width-relative:page;mso-height-relative:page;" fillcolor="#FFFFFF [3201]" filled="t" stroked="t" coordsize="21600,21600" o:gfxdata="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2N1udUAAAAIAQAADwAAAAAAAAABACAAAAAi&#10;AAAAZHJzL2Rvd25yZXYueG1sUEsBAhQAFAAAAAgAh07iQJiSJJRGAgAAgwQAAA4AAAAAAAAAAQAg&#10;AAAAJAEAAGRycy9lMm9Eb2MueG1sUEsFBgAAAAAGAAYAWQEAANwFAAAAAA==&#10;">
                <v:fill on="t" focussize="0,0"/>
                <v:stroke weight="0.5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 xml:space="preserve">Person in charge of village collective economic organizations or village committees: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 xml:space="preserve">Responsible person: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Date：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5181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ind w:right="271"/>
          <w:jc w:val="right"/>
        </w:pPr>
        <w:r>
          <w:rPr>
            <w:rFonts w:hint="eastAsia"/>
            <w:spacing w:val="0"/>
          </w:rPr>
          <w:t xml:space="preserve"> </w: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begin"/>
        </w:r>
        <w:r>
          <w:rPr>
            <w:rFonts w:asciiTheme="minorEastAsia" w:hAnsiTheme="minorEastAsia"/>
            <w:spacing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pacing w:val="0"/>
            <w:sz w:val="28"/>
            <w:szCs w:val="28"/>
            <w:lang w:val="zh-CN"/>
          </w:rPr>
          <w:t>17</w: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pacing w:val="0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32A"/>
    <w:multiLevelType w:val="multilevel"/>
    <w:tmpl w:val="08C4732A"/>
    <w:lvl w:ilvl="0" w:tentative="0">
      <w:start w:val="0"/>
      <w:numFmt w:val="bullet"/>
      <w:lvlText w:val="—"/>
      <w:lvlJc w:val="left"/>
      <w:pPr>
        <w:ind w:left="717" w:hanging="360"/>
      </w:pPr>
      <w:rPr>
        <w:rFonts w:hint="eastAsia" w:ascii="宋体" w:hAnsi="宋体" w:eastAsia="宋体" w:cstheme="minorBidi"/>
        <w:sz w:val="28"/>
        <w:szCs w:val="28"/>
      </w:rPr>
    </w:lvl>
    <w:lvl w:ilvl="1" w:tentative="0">
      <w:start w:val="1"/>
      <w:numFmt w:val="bullet"/>
      <w:lvlText w:val=""/>
      <w:lvlJc w:val="left"/>
      <w:pPr>
        <w:ind w:left="119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1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3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5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7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9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1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3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F53AC"/>
    <w:rsid w:val="1B2B0C64"/>
    <w:rsid w:val="1B9C2C84"/>
    <w:rsid w:val="6ABF5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16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/>
      <w:ind w:left="191"/>
    </w:pPr>
    <w:rPr>
      <w:rFonts w:ascii="宋体" w:hAnsi="宋体"/>
      <w:sz w:val="30"/>
      <w:szCs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2021-11-24T01:44:00Z</dcterms:created>
  <dc:creator>-恒+</dc:creator>
  <cp:lastModifiedBy>-恒+</cp:lastModifiedBy>
  <dcterms:modified xsi:type="dcterms:W3CDTF">2021-11-24T01:48:14Z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