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center"/>
        <w:textAlignment w:val="baseline"/>
        <w:rPr>
          <w:b/>
          <w:bCs/>
          <w:sz w:val="36"/>
          <w:szCs w:val="36"/>
        </w:rPr>
      </w:pPr>
      <w:r>
        <w:rPr>
          <w:rFonts w:hint="eastAsia"/>
          <w:b/>
          <w:bCs/>
          <w:sz w:val="36"/>
          <w:szCs w:val="36"/>
        </w:rPr>
        <w:t>公众意见及落实情况</w:t>
      </w:r>
    </w:p>
    <w:p>
      <w:pPr>
        <w:spacing w:line="460" w:lineRule="exact"/>
        <w:ind w:firstLine="562" w:firstLineChars="201"/>
        <w:jc w:val="left"/>
        <w:textAlignment w:val="baseline"/>
        <w:rPr>
          <w:rFonts w:hint="eastAsia"/>
          <w:color w:val="000000"/>
          <w:sz w:val="28"/>
          <w:szCs w:val="28"/>
        </w:rPr>
      </w:pPr>
      <w:r>
        <w:rPr>
          <w:rFonts w:hint="eastAsia"/>
          <w:sz w:val="28"/>
          <w:szCs w:val="28"/>
        </w:rPr>
        <w:t>2021年3月26日，市规划和自然资源局增城区分局与市规划和自然资源局黄埔区分局对《增城区翟洞片区控制性详细规划》在翟洞村村委会、广州市增城区政府门户网站和广州市黄埔区政府门户网站进行公示。</w:t>
      </w:r>
      <w:r>
        <w:rPr>
          <w:rFonts w:hint="eastAsia"/>
          <w:color w:val="000000"/>
          <w:sz w:val="28"/>
          <w:szCs w:val="28"/>
        </w:rPr>
        <w:t>征询意见公示有效反馈期为3月26日至4月29日。截止至公示有效意见反馈期结束，共收集到反馈意见232份，其中4份信函（多人联合实名签名的纸质文件），228份电子邮箱有效反馈意见。经对反馈意见进行分类与整理，意见主要为以下两个方面：</w:t>
      </w:r>
    </w:p>
    <w:p>
      <w:pPr>
        <w:spacing w:line="460" w:lineRule="exact"/>
        <w:ind w:firstLine="562" w:firstLineChars="201"/>
        <w:jc w:val="left"/>
        <w:textAlignment w:val="baseline"/>
        <w:rPr>
          <w:rFonts w:hint="eastAsia"/>
          <w:color w:val="000000"/>
          <w:sz w:val="28"/>
          <w:szCs w:val="28"/>
        </w:rPr>
      </w:pPr>
    </w:p>
    <w:tbl>
      <w:tblPr>
        <w:tblStyle w:val="6"/>
        <w:tblW w:w="13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33"/>
        <w:gridCol w:w="10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388" w:type="dxa"/>
            <w:vAlign w:val="top"/>
          </w:tcPr>
          <w:p>
            <w:pPr>
              <w:jc w:val="center"/>
              <w:textAlignment w:val="baseline"/>
              <w:rPr>
                <w:color w:val="auto"/>
                <w:kern w:val="0"/>
                <w:sz w:val="24"/>
                <w:szCs w:val="24"/>
              </w:rPr>
            </w:pPr>
            <w:r>
              <w:rPr>
                <w:rFonts w:hint="eastAsia" w:ascii="宋体" w:hAnsi="宋体" w:cs="Arial"/>
                <w:b/>
                <w:bCs/>
                <w:color w:val="auto"/>
                <w:kern w:val="0"/>
                <w:sz w:val="24"/>
                <w:szCs w:val="24"/>
              </w:rPr>
              <w:t>反馈方式</w:t>
            </w:r>
          </w:p>
        </w:tc>
        <w:tc>
          <w:tcPr>
            <w:tcW w:w="1933" w:type="dxa"/>
            <w:vAlign w:val="top"/>
          </w:tcPr>
          <w:p>
            <w:pPr>
              <w:jc w:val="center"/>
              <w:textAlignment w:val="baseline"/>
              <w:rPr>
                <w:color w:val="auto"/>
                <w:kern w:val="0"/>
                <w:sz w:val="24"/>
                <w:szCs w:val="24"/>
              </w:rPr>
            </w:pPr>
            <w:r>
              <w:rPr>
                <w:rFonts w:hint="eastAsia" w:ascii="宋体" w:hAnsi="宋体" w:cs="Arial"/>
                <w:b/>
                <w:bCs/>
                <w:color w:val="auto"/>
                <w:kern w:val="0"/>
                <w:sz w:val="24"/>
                <w:szCs w:val="24"/>
              </w:rPr>
              <w:t>反馈意见情况</w:t>
            </w:r>
          </w:p>
        </w:tc>
        <w:tc>
          <w:tcPr>
            <w:tcW w:w="10134" w:type="dxa"/>
            <w:vAlign w:val="top"/>
          </w:tcPr>
          <w:p>
            <w:pPr>
              <w:jc w:val="center"/>
              <w:textAlignment w:val="baseline"/>
              <w:rPr>
                <w:color w:val="auto"/>
                <w:kern w:val="0"/>
                <w:sz w:val="24"/>
                <w:szCs w:val="24"/>
              </w:rPr>
            </w:pPr>
            <w:r>
              <w:rPr>
                <w:rFonts w:hint="eastAsia" w:ascii="宋体" w:hAnsi="宋体"/>
                <w:b/>
                <w:color w:val="auto"/>
                <w:kern w:val="0"/>
                <w:sz w:val="24"/>
                <w:szCs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88" w:type="dxa"/>
            <w:vAlign w:val="top"/>
          </w:tcPr>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p>
          <w:p>
            <w:pPr>
              <w:textAlignment w:val="baseline"/>
              <w:rPr>
                <w:rFonts w:ascii="Helvetica" w:hAnsi="Helvetica" w:cs="Helvetica"/>
                <w:color w:val="auto"/>
                <w:kern w:val="0"/>
                <w:sz w:val="24"/>
                <w:szCs w:val="24"/>
              </w:rPr>
            </w:pPr>
            <w:r>
              <w:rPr>
                <w:rFonts w:hint="eastAsia" w:ascii="Helvetica" w:hAnsi="Helvetica" w:cs="Helvetica"/>
                <w:color w:val="auto"/>
                <w:kern w:val="0"/>
                <w:sz w:val="24"/>
                <w:szCs w:val="24"/>
              </w:rPr>
              <w:t>电子邮箱、</w:t>
            </w:r>
          </w:p>
          <w:p>
            <w:pPr>
              <w:textAlignment w:val="baseline"/>
              <w:rPr>
                <w:color w:val="auto"/>
                <w:kern w:val="0"/>
                <w:sz w:val="24"/>
                <w:szCs w:val="24"/>
              </w:rPr>
            </w:pPr>
            <w:r>
              <w:rPr>
                <w:rFonts w:hint="eastAsia" w:ascii="Helvetica" w:hAnsi="Helvetica" w:cs="Helvetica"/>
                <w:color w:val="auto"/>
                <w:kern w:val="0"/>
                <w:sz w:val="24"/>
                <w:szCs w:val="24"/>
              </w:rPr>
              <w:t>信函</w:t>
            </w:r>
          </w:p>
        </w:tc>
        <w:tc>
          <w:tcPr>
            <w:tcW w:w="1933" w:type="dxa"/>
            <w:vAlign w:val="top"/>
          </w:tcPr>
          <w:p>
            <w:pPr>
              <w:textAlignment w:val="baseline"/>
              <w:rPr>
                <w:rFonts w:ascii="宋体" w:hAnsi="宋体" w:cs="Arial"/>
                <w:color w:val="auto"/>
                <w:kern w:val="0"/>
                <w:sz w:val="24"/>
                <w:szCs w:val="24"/>
              </w:rPr>
            </w:pPr>
          </w:p>
          <w:p>
            <w:pPr>
              <w:textAlignment w:val="baseline"/>
              <w:rPr>
                <w:rFonts w:ascii="宋体" w:hAnsi="宋体" w:cs="Arial"/>
                <w:color w:val="auto"/>
                <w:kern w:val="0"/>
                <w:sz w:val="24"/>
                <w:szCs w:val="24"/>
              </w:rPr>
            </w:pPr>
          </w:p>
          <w:p>
            <w:pPr>
              <w:numPr>
                <w:ilvl w:val="0"/>
                <w:numId w:val="1"/>
              </w:numPr>
              <w:textAlignment w:val="baseline"/>
              <w:rPr>
                <w:rFonts w:hint="eastAsia" w:ascii="宋体" w:hAnsi="宋体" w:cs="Arial"/>
                <w:color w:val="auto"/>
                <w:kern w:val="0"/>
                <w:sz w:val="24"/>
                <w:szCs w:val="24"/>
              </w:rPr>
            </w:pPr>
            <w:r>
              <w:rPr>
                <w:rFonts w:hint="eastAsia" w:ascii="宋体" w:hAnsi="宋体" w:cs="Arial"/>
                <w:color w:val="auto"/>
                <w:kern w:val="0"/>
                <w:sz w:val="24"/>
                <w:szCs w:val="24"/>
              </w:rPr>
              <w:t>反对该地块引进污染大项目——华星光电</w:t>
            </w:r>
          </w:p>
          <w:p>
            <w:pPr>
              <w:textAlignment w:val="baseline"/>
              <w:rPr>
                <w:rFonts w:ascii="宋体" w:hAnsi="宋体" w:cs="Arial"/>
                <w:color w:val="auto"/>
                <w:kern w:val="0"/>
                <w:sz w:val="24"/>
                <w:szCs w:val="24"/>
              </w:rPr>
            </w:pPr>
          </w:p>
          <w:p>
            <w:pPr>
              <w:textAlignment w:val="baseline"/>
              <w:rPr>
                <w:rFonts w:ascii="宋体" w:hAnsi="宋体" w:cs="Arial"/>
                <w:color w:val="auto"/>
                <w:kern w:val="0"/>
                <w:sz w:val="24"/>
                <w:szCs w:val="24"/>
              </w:rPr>
            </w:pPr>
            <w:r>
              <w:rPr>
                <w:rFonts w:hint="eastAsia"/>
                <w:color w:val="auto"/>
                <w:sz w:val="24"/>
                <w:szCs w:val="24"/>
              </w:rPr>
              <w:t>2、反对将M1/M2用地选址规划在金地公园上城小区旁边，要求规划方案将M2用地全部改成M1用地。</w:t>
            </w:r>
          </w:p>
        </w:tc>
        <w:tc>
          <w:tcPr>
            <w:tcW w:w="10134" w:type="dxa"/>
            <w:vAlign w:val="top"/>
          </w:tcPr>
          <w:p>
            <w:pPr>
              <w:textAlignment w:val="baseline"/>
              <w:rPr>
                <w:rFonts w:hint="eastAsia"/>
                <w:color w:val="auto"/>
                <w:sz w:val="24"/>
                <w:szCs w:val="24"/>
              </w:rPr>
            </w:pPr>
            <w:r>
              <w:rPr>
                <w:rFonts w:hint="eastAsia" w:ascii="宋体" w:hAnsi="宋体" w:cs="Arial"/>
                <w:color w:val="auto"/>
                <w:kern w:val="0"/>
                <w:sz w:val="24"/>
                <w:szCs w:val="24"/>
              </w:rPr>
              <w:t>一、关于第1点：本次为《增城区翟洞片区控制性详细规划》的公示征集公众意见，</w:t>
            </w:r>
            <w:r>
              <w:rPr>
                <w:rFonts w:hint="eastAsia"/>
                <w:color w:val="auto"/>
                <w:sz w:val="24"/>
                <w:szCs w:val="24"/>
              </w:rPr>
              <w:t>具体项目不属于本次征集意见范畴。</w:t>
            </w:r>
          </w:p>
          <w:p>
            <w:pPr>
              <w:textAlignment w:val="baseline"/>
              <w:rPr>
                <w:rFonts w:hint="eastAsia" w:ascii="宋体" w:hAnsi="宋体" w:cs="Arial"/>
                <w:color w:val="auto"/>
                <w:kern w:val="0"/>
                <w:sz w:val="24"/>
                <w:szCs w:val="24"/>
              </w:rPr>
            </w:pPr>
          </w:p>
          <w:p>
            <w:pPr>
              <w:textAlignment w:val="baseline"/>
              <w:rPr>
                <w:rFonts w:hint="eastAsia" w:ascii="宋体" w:hAnsi="宋体" w:cs="Arial"/>
                <w:color w:val="auto"/>
                <w:kern w:val="0"/>
                <w:sz w:val="24"/>
                <w:szCs w:val="24"/>
              </w:rPr>
            </w:pPr>
            <w:r>
              <w:rPr>
                <w:rFonts w:hint="eastAsia" w:ascii="宋体" w:hAnsi="宋体" w:cs="Arial"/>
                <w:color w:val="auto"/>
                <w:kern w:val="0"/>
                <w:sz w:val="24"/>
                <w:szCs w:val="24"/>
              </w:rPr>
              <w:t>二、关于第2点：</w:t>
            </w:r>
          </w:p>
          <w:p>
            <w:pPr>
              <w:textAlignment w:val="baseline"/>
              <w:rPr>
                <w:rFonts w:hint="eastAsia" w:ascii="宋体" w:hAnsi="宋体" w:cs="Arial"/>
                <w:color w:val="auto"/>
                <w:kern w:val="0"/>
                <w:sz w:val="24"/>
                <w:szCs w:val="24"/>
              </w:rPr>
            </w:pPr>
            <w:r>
              <w:rPr>
                <w:rFonts w:hint="eastAsia" w:ascii="宋体" w:hAnsi="宋体" w:cs="Arial"/>
                <w:color w:val="auto"/>
                <w:kern w:val="0"/>
                <w:sz w:val="24"/>
                <w:szCs w:val="24"/>
              </w:rPr>
              <w:t>（一）规划范围位于广州市东部产业集聚区——永和工业区，是广深科技创新走廊重要节点。</w:t>
            </w:r>
            <w:r>
              <w:rPr>
                <w:rFonts w:ascii="宋体" w:hAnsi="宋体" w:cs="Arial"/>
                <w:color w:val="auto"/>
                <w:kern w:val="0"/>
                <w:sz w:val="24"/>
                <w:szCs w:val="24"/>
              </w:rPr>
              <w:t>2019-2020年广州市开展了工业产业区块划定</w:t>
            </w:r>
            <w:r>
              <w:rPr>
                <w:rFonts w:hint="eastAsia" w:ascii="宋体" w:hAnsi="宋体" w:cs="Arial"/>
                <w:color w:val="auto"/>
                <w:kern w:val="0"/>
                <w:sz w:val="24"/>
                <w:szCs w:val="24"/>
              </w:rPr>
              <w:t>并</w:t>
            </w:r>
            <w:r>
              <w:rPr>
                <w:rFonts w:ascii="宋体" w:hAnsi="宋体" w:cs="Arial"/>
                <w:color w:val="auto"/>
                <w:kern w:val="0"/>
                <w:sz w:val="24"/>
                <w:szCs w:val="24"/>
              </w:rPr>
              <w:t>已经市政府批准，</w:t>
            </w:r>
            <w:r>
              <w:rPr>
                <w:rFonts w:hint="eastAsia" w:ascii="宋体" w:hAnsi="宋体" w:cs="Arial"/>
                <w:color w:val="auto"/>
                <w:kern w:val="0"/>
                <w:sz w:val="24"/>
                <w:szCs w:val="24"/>
              </w:rPr>
              <w:t>规划范围已纳入广州市工业产业区块一级控制线范围，规划用途符合工业产业区块的主导功能为先进制造业的功能属性要求。</w:t>
            </w:r>
          </w:p>
          <w:p>
            <w:pPr>
              <w:textAlignment w:val="baseline"/>
              <w:rPr>
                <w:rFonts w:hint="eastAsia" w:ascii="宋体" w:hAnsi="宋体" w:cs="Arial"/>
                <w:color w:val="auto"/>
                <w:kern w:val="0"/>
                <w:sz w:val="24"/>
                <w:szCs w:val="24"/>
              </w:rPr>
            </w:pPr>
            <w:bookmarkStart w:id="0" w:name="_GoBack"/>
            <w:bookmarkEnd w:id="0"/>
          </w:p>
          <w:p>
            <w:pPr>
              <w:textAlignment w:val="baseline"/>
              <w:rPr>
                <w:rFonts w:cs="Arial"/>
                <w:color w:val="auto"/>
                <w:sz w:val="24"/>
                <w:szCs w:val="24"/>
              </w:rPr>
            </w:pPr>
            <w:r>
              <w:rPr>
                <w:rFonts w:hint="eastAsia" w:cs="Arial"/>
                <w:color w:val="auto"/>
                <w:sz w:val="24"/>
                <w:szCs w:val="24"/>
              </w:rPr>
              <w:t>（二）</w:t>
            </w:r>
            <w:r>
              <w:rPr>
                <w:rFonts w:hint="eastAsia" w:cs="Arial"/>
                <w:color w:val="auto"/>
                <w:sz w:val="24"/>
                <w:szCs w:val="24"/>
                <w:lang w:eastAsia="zh-CN"/>
              </w:rPr>
              <w:t>现</w:t>
            </w:r>
            <w:r>
              <w:rPr>
                <w:rFonts w:hint="eastAsia" w:cs="Arial"/>
                <w:color w:val="auto"/>
                <w:sz w:val="24"/>
                <w:szCs w:val="24"/>
              </w:rPr>
              <w:t>控规方案</w:t>
            </w:r>
            <w:r>
              <w:rPr>
                <w:rFonts w:hint="eastAsia" w:cs="Arial"/>
                <w:color w:val="auto"/>
                <w:sz w:val="24"/>
                <w:szCs w:val="24"/>
                <w:lang w:eastAsia="zh-CN"/>
              </w:rPr>
              <w:t>按照控规编制相关规程进行编制，并且</w:t>
            </w:r>
            <w:r>
              <w:rPr>
                <w:rFonts w:hint="eastAsia" w:cs="Arial"/>
                <w:color w:val="auto"/>
                <w:sz w:val="24"/>
                <w:szCs w:val="24"/>
              </w:rPr>
              <w:t>为进一步体现和支持产业转型升级、改善地区环境质量，推动产城融合，控规成果一是将土地用途规划为一类工业用地</w:t>
            </w:r>
            <w:r>
              <w:rPr>
                <w:rFonts w:cs="Arial"/>
                <w:color w:val="auto"/>
                <w:sz w:val="24"/>
                <w:szCs w:val="24"/>
              </w:rPr>
              <w:t>（对居住和公共设施等环境基本无干扰和污染的工业</w:t>
            </w:r>
            <w:r>
              <w:rPr>
                <w:rFonts w:hint="eastAsia" w:cs="Arial"/>
                <w:color w:val="auto"/>
                <w:sz w:val="24"/>
                <w:szCs w:val="24"/>
              </w:rPr>
              <w:t>用地</w:t>
            </w:r>
            <w:r>
              <w:rPr>
                <w:rFonts w:cs="Arial"/>
                <w:color w:val="auto"/>
                <w:sz w:val="24"/>
                <w:szCs w:val="24"/>
              </w:rPr>
              <w:t>）</w:t>
            </w:r>
            <w:r>
              <w:rPr>
                <w:rFonts w:hint="eastAsia" w:cs="Arial"/>
                <w:color w:val="auto"/>
                <w:sz w:val="24"/>
                <w:szCs w:val="24"/>
              </w:rPr>
              <w:t>兼容二类工业用地</w:t>
            </w:r>
            <w:r>
              <w:rPr>
                <w:rFonts w:cs="Arial"/>
                <w:color w:val="auto"/>
                <w:sz w:val="24"/>
                <w:szCs w:val="24"/>
              </w:rPr>
              <w:t>（对居住和公共设施等环境有一定干扰和污染的工业用地）</w:t>
            </w:r>
            <w:r>
              <w:rPr>
                <w:rFonts w:hint="eastAsia" w:cs="Arial"/>
                <w:color w:val="auto"/>
                <w:sz w:val="24"/>
                <w:szCs w:val="24"/>
              </w:rPr>
              <w:t>。二是在工业用地和金地公园上城之间规划了包括职工宿舍、公共绿地、农林用地为主的过渡隔离带，并提出对现状废弃采石场进行生态修复；提升整体生态环境质量。</w:t>
            </w:r>
          </w:p>
        </w:tc>
      </w:tr>
    </w:tbl>
    <w:p>
      <w:pPr>
        <w:spacing w:line="460" w:lineRule="exact"/>
        <w:ind w:firstLine="562" w:firstLineChars="201"/>
        <w:jc w:val="left"/>
        <w:textAlignment w:val="baseline"/>
        <w:rPr>
          <w:rFonts w:hint="eastAsia"/>
          <w:sz w:val="28"/>
          <w:szCs w:val="28"/>
        </w:rPr>
      </w:pPr>
    </w:p>
    <w:p>
      <w:pPr>
        <w:spacing w:line="460" w:lineRule="exact"/>
        <w:ind w:firstLine="562" w:firstLineChars="201"/>
        <w:jc w:val="left"/>
        <w:textAlignment w:val="baseline"/>
        <w:rPr>
          <w:rFonts w:hint="eastAsia"/>
          <w:sz w:val="28"/>
          <w:szCs w:val="28"/>
        </w:rPr>
      </w:pPr>
      <w:r>
        <w:rPr>
          <w:rFonts w:hint="eastAsia"/>
          <w:sz w:val="28"/>
          <w:szCs w:val="28"/>
        </w:rPr>
        <w:t>根据《自然资源听证规定》和《广东省重大行政决策听证规定》等相关要求，为了保证该项目中相关利害关系人的权益，广州市规划和自然资源局增城区分局会同相关单位于2021年6月18日召开了增城区翟洞片区控制性详细规划听证会。刘</w:t>
      </w:r>
      <w:r>
        <w:rPr>
          <w:rFonts w:hint="eastAsia"/>
          <w:sz w:val="28"/>
          <w:szCs w:val="28"/>
          <w:lang w:eastAsia="zh-CN"/>
        </w:rPr>
        <w:t>先生</w:t>
      </w:r>
      <w:r>
        <w:rPr>
          <w:rFonts w:hint="eastAsia"/>
          <w:sz w:val="28"/>
          <w:szCs w:val="28"/>
        </w:rPr>
        <w:t>、黄</w:t>
      </w:r>
      <w:r>
        <w:rPr>
          <w:rFonts w:hint="eastAsia"/>
          <w:sz w:val="28"/>
          <w:szCs w:val="28"/>
          <w:lang w:eastAsia="zh-CN"/>
        </w:rPr>
        <w:t>女士</w:t>
      </w:r>
      <w:r>
        <w:rPr>
          <w:rFonts w:hint="eastAsia"/>
          <w:sz w:val="28"/>
          <w:szCs w:val="28"/>
        </w:rPr>
        <w:t>、郭</w:t>
      </w:r>
      <w:r>
        <w:rPr>
          <w:rFonts w:hint="eastAsia"/>
          <w:sz w:val="28"/>
          <w:szCs w:val="28"/>
          <w:lang w:eastAsia="zh-CN"/>
        </w:rPr>
        <w:t>先生</w:t>
      </w:r>
      <w:r>
        <w:rPr>
          <w:rFonts w:hint="eastAsia"/>
          <w:sz w:val="28"/>
          <w:szCs w:val="28"/>
        </w:rPr>
        <w:t>、刘</w:t>
      </w:r>
      <w:r>
        <w:rPr>
          <w:rFonts w:hint="eastAsia"/>
          <w:sz w:val="28"/>
          <w:szCs w:val="28"/>
          <w:lang w:eastAsia="zh-CN"/>
        </w:rPr>
        <w:t>女士</w:t>
      </w:r>
      <w:r>
        <w:rPr>
          <w:rFonts w:hint="eastAsia"/>
          <w:sz w:val="28"/>
          <w:szCs w:val="28"/>
        </w:rPr>
        <w:t>、胡</w:t>
      </w:r>
      <w:r>
        <w:rPr>
          <w:rFonts w:hint="eastAsia"/>
          <w:sz w:val="28"/>
          <w:szCs w:val="28"/>
          <w:lang w:eastAsia="zh-CN"/>
        </w:rPr>
        <w:t>女士</w:t>
      </w:r>
      <w:r>
        <w:rPr>
          <w:rFonts w:hint="eastAsia"/>
          <w:sz w:val="28"/>
          <w:szCs w:val="28"/>
        </w:rPr>
        <w:t>、王</w:t>
      </w:r>
      <w:r>
        <w:rPr>
          <w:rFonts w:hint="eastAsia"/>
          <w:sz w:val="28"/>
          <w:szCs w:val="28"/>
          <w:lang w:eastAsia="zh-CN"/>
        </w:rPr>
        <w:t>先生</w:t>
      </w:r>
      <w:r>
        <w:rPr>
          <w:rFonts w:hint="eastAsia"/>
          <w:sz w:val="28"/>
          <w:szCs w:val="28"/>
        </w:rPr>
        <w:t>、杨</w:t>
      </w:r>
      <w:r>
        <w:rPr>
          <w:rFonts w:hint="eastAsia"/>
          <w:sz w:val="28"/>
          <w:szCs w:val="28"/>
          <w:lang w:eastAsia="zh-CN"/>
        </w:rPr>
        <w:t>女士</w:t>
      </w:r>
      <w:r>
        <w:rPr>
          <w:rFonts w:hint="eastAsia"/>
          <w:sz w:val="28"/>
          <w:szCs w:val="28"/>
        </w:rPr>
        <w:t>、唐</w:t>
      </w:r>
      <w:r>
        <w:rPr>
          <w:rFonts w:hint="eastAsia"/>
          <w:sz w:val="28"/>
          <w:szCs w:val="28"/>
          <w:lang w:eastAsia="zh-CN"/>
        </w:rPr>
        <w:t>先生</w:t>
      </w:r>
      <w:r>
        <w:rPr>
          <w:rFonts w:hint="eastAsia"/>
          <w:sz w:val="28"/>
          <w:szCs w:val="28"/>
        </w:rPr>
        <w:t>、肖</w:t>
      </w:r>
      <w:r>
        <w:rPr>
          <w:rFonts w:hint="eastAsia"/>
          <w:sz w:val="28"/>
          <w:szCs w:val="28"/>
          <w:lang w:eastAsia="zh-CN"/>
        </w:rPr>
        <w:t>女士</w:t>
      </w:r>
      <w:r>
        <w:rPr>
          <w:rFonts w:hint="eastAsia"/>
          <w:sz w:val="28"/>
          <w:szCs w:val="28"/>
        </w:rPr>
        <w:t>作为相关利害关系人听证参加人代表参加会议并提出意见。反馈意见以及回应情况如下：</w:t>
      </w:r>
    </w:p>
    <w:p>
      <w:pPr>
        <w:spacing w:line="460" w:lineRule="exact"/>
        <w:ind w:firstLine="562" w:firstLineChars="201"/>
        <w:jc w:val="left"/>
        <w:textAlignment w:val="baseline"/>
        <w:rPr>
          <w:rFonts w:hint="eastAsia"/>
          <w:sz w:val="28"/>
          <w:szCs w:val="28"/>
        </w:rPr>
      </w:pPr>
    </w:p>
    <w:tbl>
      <w:tblPr>
        <w:tblStyle w:val="6"/>
        <w:tblW w:w="13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800"/>
        <w:gridCol w:w="4892"/>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57"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800" w:type="dxa"/>
            <w:vAlign w:val="center"/>
          </w:tcPr>
          <w:p>
            <w:pPr>
              <w:jc w:val="center"/>
              <w:rPr>
                <w:rFonts w:ascii="宋体" w:hAnsi="宋体"/>
                <w:b/>
                <w:color w:val="auto"/>
                <w:sz w:val="24"/>
                <w:szCs w:val="24"/>
                <w:highlight w:val="none"/>
              </w:rPr>
            </w:pPr>
            <w:r>
              <w:rPr>
                <w:rFonts w:hint="eastAsia" w:ascii="宋体" w:hAnsi="宋体" w:cs="Arial"/>
                <w:b/>
                <w:bCs/>
                <w:color w:val="auto"/>
                <w:sz w:val="24"/>
                <w:szCs w:val="24"/>
                <w:highlight w:val="none"/>
              </w:rPr>
              <w:t>公众署名</w:t>
            </w:r>
          </w:p>
        </w:tc>
        <w:tc>
          <w:tcPr>
            <w:tcW w:w="4892" w:type="dxa"/>
            <w:vAlign w:val="center"/>
          </w:tcPr>
          <w:p>
            <w:pPr>
              <w:jc w:val="center"/>
              <w:rPr>
                <w:rFonts w:ascii="宋体" w:hAnsi="宋体"/>
                <w:b/>
                <w:color w:val="auto"/>
                <w:sz w:val="24"/>
                <w:szCs w:val="24"/>
                <w:highlight w:val="none"/>
              </w:rPr>
            </w:pPr>
            <w:r>
              <w:rPr>
                <w:rFonts w:hint="eastAsia" w:ascii="宋体" w:hAnsi="宋体" w:cs="Arial"/>
                <w:b/>
                <w:bCs/>
                <w:color w:val="auto"/>
                <w:sz w:val="24"/>
                <w:szCs w:val="24"/>
                <w:highlight w:val="none"/>
              </w:rPr>
              <w:t>反馈意见情况</w:t>
            </w:r>
          </w:p>
        </w:tc>
        <w:tc>
          <w:tcPr>
            <w:tcW w:w="5906"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800" w:type="dxa"/>
            <w:vAlign w:val="center"/>
          </w:tcPr>
          <w:p>
            <w:pPr>
              <w:widowControl/>
              <w:jc w:val="left"/>
              <w:rPr>
                <w:rFonts w:ascii="宋体" w:hAnsi="宋体" w:cs="Arial"/>
                <w:color w:val="auto"/>
                <w:sz w:val="24"/>
                <w:szCs w:val="24"/>
                <w:highlight w:val="none"/>
              </w:rPr>
            </w:pPr>
            <w:r>
              <w:rPr>
                <w:rFonts w:hint="eastAsia" w:ascii="Helvetica" w:hAnsi="Helvetica" w:cs="Helvetica"/>
                <w:color w:val="auto"/>
                <w:sz w:val="24"/>
                <w:szCs w:val="24"/>
                <w:highlight w:val="none"/>
              </w:rPr>
              <w:t>胡</w:t>
            </w:r>
            <w:r>
              <w:rPr>
                <w:rFonts w:hint="eastAsia" w:ascii="Helvetica" w:hAnsi="Helvetica" w:cs="Helvetica"/>
                <w:color w:val="auto"/>
                <w:sz w:val="24"/>
                <w:szCs w:val="24"/>
                <w:highlight w:val="none"/>
                <w:lang w:eastAsia="zh-CN"/>
              </w:rPr>
              <w:t>女士</w:t>
            </w:r>
          </w:p>
        </w:tc>
        <w:tc>
          <w:tcPr>
            <w:tcW w:w="4892" w:type="dxa"/>
            <w:vAlign w:val="center"/>
          </w:tcPr>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1）规划中的一类工业用地兼容二类工业用地（M1/M2）具体的法律法规是什么？一类工业用地兼容二类工业用地（M1/M2）适用的环保标准是什么？这块地原来是一块农用地，为什么现在突然之间又升级，从一个没有污染的土地，直接升级为可以接受重污染的土地？这个法律依据是什么？</w:t>
            </w:r>
          </w:p>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2）根据广东省大气污染排放限值，涉案用地M1/M2没有法律依据，违背了立法原意，并且在一类控制区域明确禁止新扩建污染源，恳请政府切实以民为重，重新规划，不要规划二类工业用地M2或者一类工业用地兼容二类工业用地（M1/M2），不要引进华星光电等类似的污染项目，让大型污染工厂远离居民的生活区。</w:t>
            </w:r>
          </w:p>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（3）关于编制这个地块规划为一类工业用地兼容二类工业用地（M1/M2），不但要考虑到它是否符合法律的条款，更加要综合考虑周边相关方的意见，保障相关居民的生命安全和生态环境的状况。</w:t>
            </w:r>
          </w:p>
        </w:tc>
        <w:tc>
          <w:tcPr>
            <w:tcW w:w="5906" w:type="dxa"/>
            <w:vAlign w:val="center"/>
          </w:tcPr>
          <w:p>
            <w:pPr>
              <w:pStyle w:val="4"/>
              <w:spacing w:before="0" w:beforeAutospacing="0" w:after="0" w:afterAutospacing="0"/>
              <w:jc w:val="both"/>
              <w:rPr>
                <w:rFonts w:cs="Arial"/>
                <w:color w:val="auto"/>
                <w:sz w:val="24"/>
                <w:szCs w:val="24"/>
                <w:highlight w:val="none"/>
              </w:rPr>
            </w:pPr>
            <w:r>
              <w:rPr>
                <w:rFonts w:hint="eastAsia" w:cs="Times New Roman"/>
                <w:color w:val="auto"/>
                <w:kern w:val="2"/>
                <w:sz w:val="24"/>
                <w:szCs w:val="24"/>
                <w:highlight w:val="none"/>
              </w:rPr>
              <w:t>规划范围已纳入广州市工业产业区块一级控制线范围内，按照《广州</w:t>
            </w:r>
            <w:r>
              <w:rPr>
                <w:rFonts w:hint="eastAsia" w:cs="Times New Roman"/>
                <w:color w:val="auto"/>
                <w:kern w:val="2"/>
                <w:sz w:val="24"/>
                <w:szCs w:val="24"/>
                <w:highlight w:val="none"/>
                <w:lang w:eastAsia="zh-CN"/>
              </w:rPr>
              <w:t>市</w:t>
            </w:r>
            <w:r>
              <w:rPr>
                <w:rFonts w:hint="eastAsia" w:cs="Times New Roman"/>
                <w:color w:val="auto"/>
                <w:kern w:val="2"/>
                <w:sz w:val="24"/>
                <w:szCs w:val="24"/>
                <w:highlight w:val="none"/>
              </w:rPr>
              <w:t>工业产业区块划定成果》要求，工业产业区块一级控制线内主导功能为先进制造业。按照《城乡规划用地分类标准》的要求，</w:t>
            </w:r>
            <w:r>
              <w:rPr>
                <w:rFonts w:hint="eastAsia" w:cs="Times New Roman"/>
                <w:color w:val="auto"/>
                <w:kern w:val="2"/>
                <w:sz w:val="24"/>
                <w:szCs w:val="24"/>
                <w:lang w:eastAsia="zh-CN"/>
              </w:rPr>
              <w:t>一类</w:t>
            </w:r>
            <w:r>
              <w:rPr>
                <w:rFonts w:hint="eastAsia" w:cs="Times New Roman"/>
                <w:color w:val="auto"/>
                <w:kern w:val="2"/>
                <w:sz w:val="24"/>
                <w:szCs w:val="24"/>
              </w:rPr>
              <w:t>工业用地可兼容二类工业用地</w:t>
            </w:r>
            <w:r>
              <w:rPr>
                <w:rFonts w:hint="eastAsia" w:cs="Times New Roman"/>
                <w:color w:val="auto"/>
                <w:kern w:val="2"/>
                <w:sz w:val="24"/>
                <w:szCs w:val="24"/>
                <w:highlight w:val="none"/>
              </w:rPr>
              <w:t>。为保障实体经济发展的要求以及提高用地供给弹性，因此地块规划为一类兼容二类工业用地。后期针对具体项目落地时，要求项目开展项目环评来进行严格把关并管控。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800" w:type="dxa"/>
            <w:vAlign w:val="center"/>
          </w:tcPr>
          <w:p>
            <w:pPr>
              <w:widowControl/>
              <w:jc w:val="left"/>
              <w:rPr>
                <w:rFonts w:ascii="Helvetica" w:hAnsi="Helvetica" w:cs="Helvetica"/>
                <w:color w:val="auto"/>
                <w:sz w:val="24"/>
                <w:szCs w:val="24"/>
                <w:highlight w:val="none"/>
              </w:rPr>
            </w:pPr>
            <w:r>
              <w:rPr>
                <w:rFonts w:hint="eastAsia" w:ascii="Helvetica" w:hAnsi="Helvetica" w:cs="Helvetica"/>
                <w:color w:val="auto"/>
                <w:sz w:val="24"/>
                <w:szCs w:val="24"/>
                <w:highlight w:val="none"/>
              </w:rPr>
              <w:t>刘</w:t>
            </w:r>
            <w:r>
              <w:rPr>
                <w:rFonts w:hint="eastAsia" w:ascii="Helvetica" w:hAnsi="Helvetica" w:cs="Helvetica"/>
                <w:color w:val="auto"/>
                <w:sz w:val="24"/>
                <w:szCs w:val="24"/>
                <w:highlight w:val="none"/>
                <w:lang w:eastAsia="zh-CN"/>
              </w:rPr>
              <w:t>先生</w:t>
            </w:r>
          </w:p>
        </w:tc>
        <w:tc>
          <w:tcPr>
            <w:tcW w:w="4892" w:type="dxa"/>
            <w:vAlign w:val="center"/>
          </w:tcPr>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1）《增城区翟洞片区控制性详细规划》中一类工业用地兼容二类工业用地（M1/M2）离居民区太近，最近距离是250米，距离规划的中小学用地265米。要求规划部门将M1/M2地块改成M1，或者其他非工业用地，降低对周边居民的影响。</w:t>
            </w:r>
          </w:p>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（2）华星光电项目大部分用地属于增城区，但存在24小时开工的违规行为，已经严重扰民。金地公园上城居民投诉上百次，黄埔区永和街执法队出动多次，问题仍然无法得到解决。</w:t>
            </w:r>
          </w:p>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（3）按照广东省大气污染物排放限值，位于一类控制区的污染源执行一级标准，你们现在所谓的一类工业用地兼容二类工业用地（M1/M2）适用的环保标准是什么？适用的大气污染物排放的限值是什么？</w:t>
            </w:r>
          </w:p>
        </w:tc>
        <w:tc>
          <w:tcPr>
            <w:tcW w:w="5906" w:type="dxa"/>
            <w:vAlign w:val="center"/>
          </w:tcPr>
          <w:p>
            <w:pPr>
              <w:pStyle w:val="4"/>
              <w:rPr>
                <w:rFonts w:cs="Times New Roman"/>
                <w:color w:val="auto"/>
                <w:kern w:val="2"/>
                <w:sz w:val="24"/>
                <w:szCs w:val="24"/>
                <w:highlight w:val="none"/>
              </w:rPr>
            </w:pPr>
            <w:r>
              <w:rPr>
                <w:rFonts w:hint="eastAsia" w:cs="Times New Roman"/>
                <w:color w:val="auto"/>
                <w:kern w:val="2"/>
                <w:sz w:val="24"/>
                <w:szCs w:val="24"/>
                <w:highlight w:val="none"/>
              </w:rPr>
              <w:t>一、控规在M</w:t>
            </w:r>
            <w:r>
              <w:rPr>
                <w:rFonts w:cs="Times New Roman"/>
                <w:color w:val="auto"/>
                <w:kern w:val="2"/>
                <w:sz w:val="24"/>
                <w:szCs w:val="24"/>
                <w:highlight w:val="none"/>
              </w:rPr>
              <w:t>1/M2</w:t>
            </w:r>
            <w:r>
              <w:rPr>
                <w:rFonts w:hint="eastAsia" w:cs="Times New Roman"/>
                <w:color w:val="auto"/>
                <w:kern w:val="2"/>
                <w:sz w:val="24"/>
                <w:szCs w:val="24"/>
                <w:highlight w:val="none"/>
              </w:rPr>
              <w:t>用地和金地公园上城之间规划M</w:t>
            </w:r>
            <w:r>
              <w:rPr>
                <w:rFonts w:cs="Times New Roman"/>
                <w:color w:val="auto"/>
                <w:kern w:val="2"/>
                <w:sz w:val="24"/>
                <w:szCs w:val="24"/>
                <w:highlight w:val="none"/>
              </w:rPr>
              <w:t>1/M2</w:t>
            </w:r>
            <w:r>
              <w:rPr>
                <w:rFonts w:hint="eastAsia" w:cs="Times New Roman"/>
                <w:color w:val="auto"/>
                <w:kern w:val="2"/>
                <w:sz w:val="24"/>
                <w:szCs w:val="24"/>
                <w:highlight w:val="none"/>
                <w:lang w:eastAsia="zh-CN"/>
              </w:rPr>
              <w:t>或</w:t>
            </w:r>
            <w:r>
              <w:rPr>
                <w:rFonts w:hint="eastAsia" w:cs="Times New Roman"/>
                <w:color w:val="auto"/>
                <w:kern w:val="2"/>
                <w:sz w:val="24"/>
                <w:szCs w:val="24"/>
                <w:highlight w:val="none"/>
              </w:rPr>
              <w:t>B</w:t>
            </w:r>
            <w:r>
              <w:rPr>
                <w:rFonts w:cs="Times New Roman"/>
                <w:color w:val="auto"/>
                <w:kern w:val="2"/>
                <w:sz w:val="24"/>
                <w:szCs w:val="24"/>
                <w:highlight w:val="none"/>
              </w:rPr>
              <w:t>1/B2</w:t>
            </w:r>
            <w:r>
              <w:rPr>
                <w:rFonts w:hint="eastAsia" w:cs="Times New Roman"/>
                <w:color w:val="auto"/>
                <w:kern w:val="2"/>
                <w:sz w:val="24"/>
                <w:szCs w:val="24"/>
                <w:highlight w:val="none"/>
              </w:rPr>
              <w:t>用地，作为职工宿舍。</w:t>
            </w:r>
            <w:r>
              <w:rPr>
                <w:rFonts w:hint="eastAsia" w:cs="Times New Roman"/>
                <w:color w:val="auto"/>
                <w:kern w:val="2"/>
                <w:sz w:val="24"/>
                <w:szCs w:val="24"/>
                <w:highlight w:val="none"/>
                <w:lang w:eastAsia="zh-CN"/>
              </w:rPr>
              <w:t>后续可</w:t>
            </w:r>
            <w:r>
              <w:rPr>
                <w:rFonts w:hint="eastAsia" w:cs="Times New Roman"/>
                <w:color w:val="auto"/>
                <w:kern w:val="2"/>
                <w:sz w:val="24"/>
                <w:szCs w:val="24"/>
                <w:highlight w:val="none"/>
              </w:rPr>
              <w:t>通过生态修复</w:t>
            </w:r>
            <w:r>
              <w:rPr>
                <w:rFonts w:hint="eastAsia" w:cs="Times New Roman"/>
                <w:color w:val="auto"/>
                <w:kern w:val="2"/>
                <w:sz w:val="24"/>
                <w:szCs w:val="24"/>
                <w:highlight w:val="none"/>
                <w:lang w:eastAsia="zh-CN"/>
              </w:rPr>
              <w:t>技术</w:t>
            </w:r>
            <w:r>
              <w:rPr>
                <w:rFonts w:hint="eastAsia" w:cs="Times New Roman"/>
                <w:color w:val="auto"/>
                <w:kern w:val="2"/>
                <w:sz w:val="24"/>
                <w:szCs w:val="24"/>
                <w:highlight w:val="none"/>
              </w:rPr>
              <w:t>将废弃田心采石场打造成一条生态廊道，链接荔湖生态廊道提升</w:t>
            </w:r>
            <w:r>
              <w:rPr>
                <w:rFonts w:hint="eastAsia" w:cs="Times New Roman"/>
                <w:color w:val="auto"/>
                <w:kern w:val="2"/>
                <w:sz w:val="24"/>
                <w:szCs w:val="24"/>
                <w:highlight w:val="none"/>
                <w:lang w:eastAsia="zh-CN"/>
              </w:rPr>
              <w:t>整体生态环境质量，同时与职工宿舍一同形成防护屏障。</w:t>
            </w:r>
            <w:r>
              <w:rPr>
                <w:rFonts w:hint="eastAsia" w:cs="Times New Roman"/>
                <w:color w:val="auto"/>
                <w:kern w:val="2"/>
                <w:sz w:val="24"/>
                <w:szCs w:val="24"/>
                <w:highlight w:val="none"/>
              </w:rPr>
              <w:t>规划范围周边</w:t>
            </w:r>
            <w:r>
              <w:rPr>
                <w:rFonts w:hint="eastAsia" w:cs="Times New Roman"/>
                <w:color w:val="auto"/>
                <w:kern w:val="2"/>
                <w:sz w:val="24"/>
                <w:szCs w:val="24"/>
                <w:highlight w:val="none"/>
                <w:lang w:eastAsia="zh-CN"/>
              </w:rPr>
              <w:t>暂</w:t>
            </w:r>
            <w:r>
              <w:rPr>
                <w:rFonts w:hint="eastAsia" w:cs="Times New Roman"/>
                <w:color w:val="auto"/>
                <w:kern w:val="2"/>
                <w:sz w:val="24"/>
                <w:szCs w:val="24"/>
                <w:highlight w:val="none"/>
              </w:rPr>
              <w:t>无规划中小学用地。</w:t>
            </w:r>
          </w:p>
          <w:p>
            <w:pPr>
              <w:pStyle w:val="4"/>
              <w:rPr>
                <w:rFonts w:cs="Times New Roman"/>
                <w:color w:val="auto"/>
                <w:kern w:val="2"/>
                <w:sz w:val="24"/>
                <w:szCs w:val="24"/>
                <w:highlight w:val="none"/>
              </w:rPr>
            </w:pPr>
            <w:r>
              <w:rPr>
                <w:rFonts w:hint="eastAsia" w:cs="Times New Roman"/>
                <w:color w:val="auto"/>
                <w:kern w:val="2"/>
                <w:sz w:val="24"/>
                <w:szCs w:val="24"/>
                <w:highlight w:val="none"/>
              </w:rPr>
              <w:t>二、项目实施过程对周边住户存在困扰，如噪声、不文明施工等，不在本次听证会讨论范围，后续我们将协调相关部门做好现场管理工作。</w:t>
            </w:r>
          </w:p>
          <w:p>
            <w:pPr>
              <w:pStyle w:val="4"/>
              <w:rPr>
                <w:rFonts w:cs="Times New Roman"/>
                <w:color w:val="auto"/>
                <w:kern w:val="2"/>
                <w:sz w:val="24"/>
                <w:szCs w:val="24"/>
                <w:highlight w:val="none"/>
              </w:rPr>
            </w:pPr>
            <w:r>
              <w:rPr>
                <w:rFonts w:hint="eastAsia" w:cs="Times New Roman"/>
                <w:color w:val="auto"/>
                <w:kern w:val="2"/>
                <w:sz w:val="24"/>
                <w:szCs w:val="24"/>
                <w:highlight w:val="none"/>
              </w:rPr>
              <w:t>三、根据市生态环境局增城分局的回应，广东省大气污染物排放限值</w:t>
            </w:r>
            <w:r>
              <w:rPr>
                <w:rFonts w:hint="eastAsia" w:cs="Times New Roman"/>
                <w:color w:val="auto"/>
                <w:kern w:val="2"/>
                <w:sz w:val="24"/>
                <w:szCs w:val="24"/>
                <w:highlight w:val="none"/>
                <w:lang w:eastAsia="zh-CN"/>
              </w:rPr>
              <w:t>里指的控制区为环境空气质量功能区。根据</w:t>
            </w:r>
            <w:r>
              <w:rPr>
                <w:rFonts w:hint="eastAsia" w:cs="Times New Roman"/>
                <w:color w:val="auto"/>
                <w:kern w:val="2"/>
                <w:sz w:val="24"/>
                <w:szCs w:val="24"/>
                <w:highlight w:val="none"/>
              </w:rPr>
              <w:t>广州市的大气环境功能区划</w:t>
            </w:r>
            <w:r>
              <w:rPr>
                <w:rFonts w:hint="eastAsia" w:cs="Times New Roman"/>
                <w:color w:val="auto"/>
                <w:kern w:val="2"/>
                <w:sz w:val="24"/>
                <w:szCs w:val="24"/>
                <w:highlight w:val="none"/>
                <w:lang w:eastAsia="zh-CN"/>
              </w:rPr>
              <w:t>，</w:t>
            </w:r>
            <w:r>
              <w:rPr>
                <w:rFonts w:hint="eastAsia" w:cs="Times New Roman"/>
                <w:color w:val="auto"/>
                <w:kern w:val="2"/>
                <w:sz w:val="24"/>
                <w:szCs w:val="24"/>
                <w:highlight w:val="none"/>
              </w:rPr>
              <w:t>本次规划范围位于</w:t>
            </w:r>
            <w:r>
              <w:rPr>
                <w:rFonts w:hint="eastAsia" w:cs="Times New Roman"/>
                <w:color w:val="auto"/>
                <w:kern w:val="2"/>
                <w:sz w:val="24"/>
                <w:szCs w:val="24"/>
                <w:highlight w:val="none"/>
                <w:lang w:eastAsia="zh-CN"/>
              </w:rPr>
              <w:t>大气环境功能区划二类区。同时本次规划范围位于工业产业规划一级控制线的范围内，按照工业产业区块一级控制线执行相关管理。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800" w:type="dxa"/>
            <w:vAlign w:val="center"/>
          </w:tcPr>
          <w:p>
            <w:pPr>
              <w:widowControl/>
              <w:jc w:val="left"/>
              <w:rPr>
                <w:rFonts w:ascii="Helvetica" w:hAnsi="Helvetica" w:cs="Helvetica"/>
                <w:color w:val="auto"/>
                <w:sz w:val="24"/>
                <w:szCs w:val="24"/>
                <w:highlight w:val="none"/>
              </w:rPr>
            </w:pPr>
            <w:r>
              <w:rPr>
                <w:rFonts w:hint="eastAsia" w:ascii="Helvetica" w:hAnsi="Helvetica" w:cs="Helvetica"/>
                <w:color w:val="auto"/>
                <w:sz w:val="24"/>
                <w:szCs w:val="24"/>
                <w:highlight w:val="none"/>
              </w:rPr>
              <w:t>唐</w:t>
            </w:r>
            <w:r>
              <w:rPr>
                <w:rFonts w:hint="eastAsia" w:ascii="Helvetica" w:hAnsi="Helvetica" w:cs="Helvetica"/>
                <w:color w:val="auto"/>
                <w:sz w:val="24"/>
                <w:szCs w:val="24"/>
                <w:highlight w:val="none"/>
                <w:lang w:eastAsia="zh-CN"/>
              </w:rPr>
              <w:t>先生</w:t>
            </w:r>
          </w:p>
        </w:tc>
        <w:tc>
          <w:tcPr>
            <w:tcW w:w="4892" w:type="dxa"/>
            <w:vAlign w:val="center"/>
          </w:tcPr>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1）M1和M2离居民区有什么要求？工业用地离居民区有什么要求？防护隔离带主要防护什么？你要防护隔离带是怎么做的？是什么材质做的？专家的评论是什么？满足什么防护要求对居民没有影响？我希望有明确的、详细的答复。</w:t>
            </w:r>
          </w:p>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（2）本次控规当中涉及的M1/M2的法律依据在哪里？</w:t>
            </w:r>
          </w:p>
        </w:tc>
        <w:tc>
          <w:tcPr>
            <w:tcW w:w="5906" w:type="dxa"/>
            <w:vAlign w:val="center"/>
          </w:tcPr>
          <w:p>
            <w:pPr>
              <w:pStyle w:val="4"/>
              <w:rPr>
                <w:rFonts w:cs="Times New Roman"/>
                <w:color w:val="auto"/>
                <w:kern w:val="2"/>
                <w:sz w:val="24"/>
                <w:szCs w:val="24"/>
                <w:highlight w:val="none"/>
              </w:rPr>
            </w:pPr>
            <w:r>
              <w:rPr>
                <w:rFonts w:hint="eastAsia" w:cs="Times New Roman"/>
                <w:color w:val="auto"/>
                <w:kern w:val="2"/>
                <w:sz w:val="24"/>
                <w:szCs w:val="24"/>
                <w:highlight w:val="none"/>
              </w:rPr>
              <w:t>一、国家、省、市现行标准规范对二类工业用地与居住区之间的防护距离未做出明确的规定。为减少工业厂房对周边环境和居民生活的影响，控规在M</w:t>
            </w:r>
            <w:r>
              <w:rPr>
                <w:rFonts w:cs="Times New Roman"/>
                <w:color w:val="auto"/>
                <w:kern w:val="2"/>
                <w:sz w:val="24"/>
                <w:szCs w:val="24"/>
                <w:highlight w:val="none"/>
              </w:rPr>
              <w:t>1/M2</w:t>
            </w:r>
            <w:r>
              <w:rPr>
                <w:rFonts w:hint="eastAsia" w:cs="Times New Roman"/>
                <w:color w:val="auto"/>
                <w:kern w:val="2"/>
                <w:sz w:val="24"/>
                <w:szCs w:val="24"/>
                <w:highlight w:val="none"/>
              </w:rPr>
              <w:t>用地和金地公园上城之间规划M</w:t>
            </w:r>
            <w:r>
              <w:rPr>
                <w:rFonts w:cs="Times New Roman"/>
                <w:color w:val="auto"/>
                <w:kern w:val="2"/>
                <w:sz w:val="24"/>
                <w:szCs w:val="24"/>
                <w:highlight w:val="none"/>
              </w:rPr>
              <w:t>1/M2</w:t>
            </w:r>
            <w:r>
              <w:rPr>
                <w:rFonts w:hint="eastAsia" w:cs="Times New Roman"/>
                <w:color w:val="auto"/>
                <w:kern w:val="2"/>
                <w:sz w:val="24"/>
                <w:szCs w:val="24"/>
                <w:highlight w:val="none"/>
                <w:lang w:eastAsia="zh-CN"/>
              </w:rPr>
              <w:t>或</w:t>
            </w:r>
            <w:r>
              <w:rPr>
                <w:rFonts w:hint="eastAsia" w:cs="Times New Roman"/>
                <w:color w:val="auto"/>
                <w:kern w:val="2"/>
                <w:sz w:val="24"/>
                <w:szCs w:val="24"/>
                <w:highlight w:val="none"/>
              </w:rPr>
              <w:t>B</w:t>
            </w:r>
            <w:r>
              <w:rPr>
                <w:rFonts w:cs="Times New Roman"/>
                <w:color w:val="auto"/>
                <w:kern w:val="2"/>
                <w:sz w:val="24"/>
                <w:szCs w:val="24"/>
                <w:highlight w:val="none"/>
              </w:rPr>
              <w:t>1/B2</w:t>
            </w:r>
            <w:r>
              <w:rPr>
                <w:rFonts w:hint="eastAsia" w:cs="Times New Roman"/>
                <w:color w:val="auto"/>
                <w:kern w:val="2"/>
                <w:sz w:val="24"/>
                <w:szCs w:val="24"/>
                <w:highlight w:val="none"/>
              </w:rPr>
              <w:t>用地，作为职工宿舍。</w:t>
            </w:r>
            <w:r>
              <w:rPr>
                <w:rFonts w:hint="eastAsia" w:cs="Times New Roman"/>
                <w:color w:val="auto"/>
                <w:kern w:val="2"/>
                <w:sz w:val="24"/>
                <w:szCs w:val="24"/>
                <w:highlight w:val="none"/>
                <w:lang w:eastAsia="zh-CN"/>
              </w:rPr>
              <w:t>后续可</w:t>
            </w:r>
            <w:r>
              <w:rPr>
                <w:rFonts w:hint="eastAsia" w:cs="Times New Roman"/>
                <w:color w:val="auto"/>
                <w:kern w:val="2"/>
                <w:sz w:val="24"/>
                <w:szCs w:val="24"/>
                <w:highlight w:val="none"/>
              </w:rPr>
              <w:t>通过生态修复</w:t>
            </w:r>
            <w:r>
              <w:rPr>
                <w:rFonts w:hint="eastAsia" w:cs="Times New Roman"/>
                <w:color w:val="auto"/>
                <w:kern w:val="2"/>
                <w:sz w:val="24"/>
                <w:szCs w:val="24"/>
                <w:highlight w:val="none"/>
                <w:lang w:eastAsia="zh-CN"/>
              </w:rPr>
              <w:t>技术</w:t>
            </w:r>
            <w:r>
              <w:rPr>
                <w:rFonts w:hint="eastAsia" w:cs="Times New Roman"/>
                <w:color w:val="auto"/>
                <w:kern w:val="2"/>
                <w:sz w:val="24"/>
                <w:szCs w:val="24"/>
                <w:highlight w:val="none"/>
              </w:rPr>
              <w:t>将废弃田心采石场打造成一条生态廊道，链接荔湖生态廊道提升</w:t>
            </w:r>
            <w:r>
              <w:rPr>
                <w:rFonts w:hint="eastAsia" w:cs="Times New Roman"/>
                <w:color w:val="auto"/>
                <w:kern w:val="2"/>
                <w:sz w:val="24"/>
                <w:szCs w:val="24"/>
                <w:highlight w:val="none"/>
                <w:lang w:eastAsia="zh-CN"/>
              </w:rPr>
              <w:t>整体生态环境质量，同时与职工宿舍一同形成防护屏障。</w:t>
            </w:r>
          </w:p>
          <w:p>
            <w:pPr>
              <w:pStyle w:val="4"/>
              <w:rPr>
                <w:rFonts w:cs="Times New Roman"/>
                <w:color w:val="auto"/>
                <w:kern w:val="2"/>
                <w:sz w:val="24"/>
                <w:szCs w:val="24"/>
                <w:highlight w:val="none"/>
              </w:rPr>
            </w:pPr>
            <w:r>
              <w:rPr>
                <w:rFonts w:hint="eastAsia" w:cs="Times New Roman"/>
                <w:color w:val="auto"/>
                <w:kern w:val="2"/>
                <w:sz w:val="24"/>
                <w:szCs w:val="24"/>
                <w:highlight w:val="none"/>
              </w:rPr>
              <w:t>二</w:t>
            </w:r>
            <w:r>
              <w:rPr>
                <w:rFonts w:hint="eastAsia" w:cs="Times New Roman"/>
                <w:color w:val="auto"/>
                <w:kern w:val="2"/>
                <w:sz w:val="24"/>
                <w:szCs w:val="24"/>
              </w:rPr>
              <w:t>、按照《城乡规划用地分类标准》的要求，</w:t>
            </w:r>
            <w:r>
              <w:rPr>
                <w:rFonts w:hint="eastAsia" w:cs="Times New Roman"/>
                <w:color w:val="auto"/>
                <w:kern w:val="2"/>
                <w:sz w:val="24"/>
                <w:szCs w:val="24"/>
                <w:lang w:eastAsia="zh-CN"/>
              </w:rPr>
              <w:t>一类</w:t>
            </w:r>
            <w:r>
              <w:rPr>
                <w:rFonts w:hint="eastAsia" w:cs="Times New Roman"/>
                <w:color w:val="auto"/>
                <w:kern w:val="2"/>
                <w:sz w:val="24"/>
                <w:szCs w:val="24"/>
              </w:rPr>
              <w:t>工业用地可兼容二类工业用地。M1/M2是符合法律规定。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1800" w:type="dxa"/>
            <w:vAlign w:val="center"/>
          </w:tcPr>
          <w:p>
            <w:pPr>
              <w:widowControl/>
              <w:jc w:val="left"/>
              <w:rPr>
                <w:rFonts w:ascii="Helvetica" w:hAnsi="Helvetica" w:cs="Helvetica"/>
                <w:color w:val="auto"/>
                <w:sz w:val="24"/>
                <w:szCs w:val="24"/>
                <w:highlight w:val="none"/>
              </w:rPr>
            </w:pPr>
            <w:r>
              <w:rPr>
                <w:rFonts w:hint="eastAsia" w:ascii="Helvetica" w:hAnsi="Helvetica" w:cs="Helvetica"/>
                <w:color w:val="auto"/>
                <w:sz w:val="24"/>
                <w:szCs w:val="24"/>
                <w:highlight w:val="none"/>
              </w:rPr>
              <w:t>刘</w:t>
            </w:r>
            <w:r>
              <w:rPr>
                <w:rFonts w:hint="eastAsia" w:ascii="Helvetica" w:hAnsi="Helvetica" w:cs="Helvetica"/>
                <w:color w:val="auto"/>
                <w:sz w:val="24"/>
                <w:szCs w:val="24"/>
                <w:highlight w:val="none"/>
                <w:lang w:eastAsia="zh-CN"/>
              </w:rPr>
              <w:t>女士</w:t>
            </w:r>
          </w:p>
        </w:tc>
        <w:tc>
          <w:tcPr>
            <w:tcW w:w="4892" w:type="dxa"/>
            <w:vAlign w:val="center"/>
          </w:tcPr>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（1）政府在控规编制的时候要考虑到老百姓的利益，地块是M1还是M2，必须结合周边的情况来看。必须考虑民意，如果那么多人都反对，那肯定是不能这样规划。</w:t>
            </w:r>
          </w:p>
        </w:tc>
        <w:tc>
          <w:tcPr>
            <w:tcW w:w="5906" w:type="dxa"/>
            <w:vAlign w:val="center"/>
          </w:tcPr>
          <w:p>
            <w:pPr>
              <w:pStyle w:val="4"/>
              <w:rPr>
                <w:rFonts w:cs="Times New Roman"/>
                <w:color w:val="auto"/>
                <w:kern w:val="2"/>
                <w:sz w:val="24"/>
                <w:szCs w:val="24"/>
                <w:highlight w:val="none"/>
              </w:rPr>
            </w:pPr>
            <w:r>
              <w:rPr>
                <w:rFonts w:hint="eastAsia" w:cs="Times New Roman"/>
                <w:color w:val="auto"/>
                <w:kern w:val="2"/>
                <w:sz w:val="24"/>
                <w:szCs w:val="24"/>
                <w:highlight w:val="none"/>
              </w:rPr>
              <w:t>规划范围已纳入广州市工业产业区块一级控制线范围内，按照《广州市工业产业区块划定成果》要求，工业产业区块一级控制线内主导功能为先进制造业。按照《城乡规划用地分类标准》的要求，</w:t>
            </w:r>
            <w:r>
              <w:rPr>
                <w:rFonts w:hint="eastAsia" w:cs="Times New Roman"/>
                <w:color w:val="auto"/>
                <w:kern w:val="2"/>
                <w:sz w:val="24"/>
                <w:szCs w:val="24"/>
                <w:lang w:eastAsia="zh-CN"/>
              </w:rPr>
              <w:t>一类</w:t>
            </w:r>
            <w:r>
              <w:rPr>
                <w:rFonts w:hint="eastAsia" w:cs="Times New Roman"/>
                <w:color w:val="auto"/>
                <w:kern w:val="2"/>
                <w:sz w:val="24"/>
                <w:szCs w:val="24"/>
              </w:rPr>
              <w:t>工业用地可兼容二类工业用地</w:t>
            </w:r>
            <w:r>
              <w:rPr>
                <w:rFonts w:hint="eastAsia" w:cs="Times New Roman"/>
                <w:color w:val="auto"/>
                <w:kern w:val="2"/>
                <w:sz w:val="24"/>
                <w:szCs w:val="24"/>
                <w:highlight w:val="none"/>
              </w:rPr>
              <w:t>，按照保障实体经济发展的要求以及用地供给弹性，因此规划为一类兼容二类工业用地。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1800" w:type="dxa"/>
            <w:vAlign w:val="center"/>
          </w:tcPr>
          <w:p>
            <w:pPr>
              <w:widowControl/>
              <w:jc w:val="left"/>
              <w:rPr>
                <w:rFonts w:ascii="Helvetica" w:hAnsi="Helvetica" w:cs="Helvetica"/>
                <w:color w:val="auto"/>
                <w:sz w:val="24"/>
                <w:szCs w:val="24"/>
                <w:highlight w:val="none"/>
              </w:rPr>
            </w:pPr>
            <w:r>
              <w:rPr>
                <w:rFonts w:hint="eastAsia" w:ascii="Helvetica" w:hAnsi="Helvetica" w:cs="Helvetica"/>
                <w:color w:val="auto"/>
                <w:sz w:val="24"/>
                <w:szCs w:val="24"/>
                <w:highlight w:val="none"/>
              </w:rPr>
              <w:t>所有代表</w:t>
            </w:r>
          </w:p>
        </w:tc>
        <w:tc>
          <w:tcPr>
            <w:tcW w:w="4892" w:type="dxa"/>
            <w:vAlign w:val="center"/>
          </w:tcPr>
          <w:p>
            <w:pPr>
              <w:widowControl/>
              <w:jc w:val="left"/>
              <w:rPr>
                <w:rFonts w:ascii="宋体" w:hAnsi="宋体" w:cs="Arial"/>
                <w:color w:val="auto"/>
                <w:sz w:val="24"/>
                <w:szCs w:val="24"/>
                <w:highlight w:val="none"/>
              </w:rPr>
            </w:pPr>
            <w:r>
              <w:rPr>
                <w:rFonts w:hint="eastAsia" w:ascii="宋体" w:hAnsi="宋体" w:cs="Arial"/>
                <w:color w:val="auto"/>
                <w:sz w:val="24"/>
                <w:szCs w:val="24"/>
                <w:highlight w:val="none"/>
              </w:rPr>
              <w:t>所有代表一致不同意本次规划中含M1/M2一类工业用地兼容二类工业用地，要求改为M1一类工业用地或非工业用地。</w:t>
            </w:r>
          </w:p>
        </w:tc>
        <w:tc>
          <w:tcPr>
            <w:tcW w:w="5906" w:type="dxa"/>
            <w:vAlign w:val="center"/>
          </w:tcPr>
          <w:p>
            <w:pPr>
              <w:pStyle w:val="4"/>
              <w:rPr>
                <w:rFonts w:cs="Times New Roman"/>
                <w:color w:val="auto"/>
                <w:kern w:val="2"/>
                <w:sz w:val="24"/>
                <w:szCs w:val="24"/>
                <w:highlight w:val="none"/>
              </w:rPr>
            </w:pPr>
            <w:r>
              <w:rPr>
                <w:rFonts w:hint="eastAsia" w:cs="Times New Roman"/>
                <w:color w:val="auto"/>
                <w:kern w:val="2"/>
                <w:sz w:val="24"/>
                <w:szCs w:val="24"/>
                <w:highlight w:val="none"/>
              </w:rPr>
              <w:t>规划范围已纳入广州市工业产业区块一级控制线范围内，按照《广州市工业产业区块划定成果》要求，工业产业区块一级控制线内主导功能为先进制造业。按照《城乡规划用地分类标准》的要求，</w:t>
            </w:r>
            <w:r>
              <w:rPr>
                <w:rFonts w:hint="eastAsia" w:cs="Times New Roman"/>
                <w:color w:val="auto"/>
                <w:kern w:val="2"/>
                <w:sz w:val="24"/>
                <w:szCs w:val="24"/>
                <w:lang w:eastAsia="zh-CN"/>
              </w:rPr>
              <w:t>一类</w:t>
            </w:r>
            <w:r>
              <w:rPr>
                <w:rFonts w:hint="eastAsia" w:cs="Times New Roman"/>
                <w:color w:val="auto"/>
                <w:kern w:val="2"/>
                <w:sz w:val="24"/>
                <w:szCs w:val="24"/>
              </w:rPr>
              <w:t>工业用地可兼容二类工业用地</w:t>
            </w:r>
            <w:r>
              <w:rPr>
                <w:rFonts w:hint="eastAsia" w:cs="Times New Roman"/>
                <w:color w:val="auto"/>
                <w:kern w:val="2"/>
                <w:sz w:val="24"/>
                <w:szCs w:val="24"/>
                <w:highlight w:val="none"/>
              </w:rPr>
              <w:t>，按照保障实体经济发展的要求以及用地供给弹性，因此规划为一类兼容二类工业用地。</w:t>
            </w:r>
          </w:p>
        </w:tc>
      </w:tr>
    </w:tbl>
    <w:p>
      <w:pPr>
        <w:ind w:firstLine="565" w:firstLineChars="202"/>
        <w:jc w:val="left"/>
        <w:rPr>
          <w:sz w:val="28"/>
        </w:rPr>
      </w:pPr>
    </w:p>
    <w:p>
      <w:pPr>
        <w:jc w:val="center"/>
        <w:rPr>
          <w:b/>
          <w:bCs/>
          <w:sz w:val="28"/>
        </w:rPr>
      </w:pPr>
      <w:r>
        <w:rPr>
          <w:b/>
          <w:bCs/>
          <w:sz w:val="28"/>
        </w:rPr>
        <w:br w:type="page"/>
      </w:r>
      <w:r>
        <w:rPr>
          <w:rFonts w:hint="eastAsia"/>
          <w:b/>
          <w:bCs/>
          <w:sz w:val="28"/>
        </w:rPr>
        <w:t>控规修改方案</w:t>
      </w:r>
    </w:p>
    <w:p>
      <w:pPr>
        <w:ind w:firstLine="565" w:firstLineChars="202"/>
        <w:jc w:val="left"/>
        <w:rPr>
          <w:b/>
          <w:sz w:val="28"/>
        </w:rPr>
      </w:pPr>
      <w:r>
        <w:rPr>
          <w:rFonts w:hint="eastAsia"/>
          <w:sz w:val="28"/>
        </w:rPr>
        <w:t>根据</w:t>
      </w:r>
      <w:r>
        <w:rPr>
          <w:sz w:val="28"/>
        </w:rPr>
        <w:t>6</w:t>
      </w:r>
      <w:r>
        <w:rPr>
          <w:rFonts w:hint="eastAsia"/>
          <w:sz w:val="28"/>
        </w:rPr>
        <w:t>月</w:t>
      </w:r>
      <w:r>
        <w:rPr>
          <w:sz w:val="28"/>
        </w:rPr>
        <w:t>18</w:t>
      </w:r>
      <w:r>
        <w:rPr>
          <w:rFonts w:hint="eastAsia"/>
          <w:sz w:val="28"/>
        </w:rPr>
        <w:t>日控规修改项目听证会要求，对控规方案进行修改完善。</w:t>
      </w:r>
    </w:p>
    <w:p>
      <w:pPr>
        <w:ind w:firstLine="565" w:firstLineChars="202"/>
        <w:jc w:val="center"/>
        <w:rPr>
          <w:rFonts w:hint="eastAsia"/>
          <w:sz w:val="28"/>
          <w:lang w:eastAsia="zh-CN"/>
        </w:rPr>
      </w:pPr>
      <w:r>
        <w:rPr>
          <w:rFonts w:hint="eastAsia"/>
          <w:sz w:val="28"/>
          <w:lang w:eastAsia="zh-CN"/>
        </w:rPr>
        <w:drawing>
          <wp:inline distT="0" distB="0" distL="114300" distR="114300">
            <wp:extent cx="6256020" cy="8430260"/>
            <wp:effectExtent l="0" t="0" r="11430" b="8890"/>
            <wp:docPr id="1" name="图片 2" descr="247257991882067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472579918820672152"/>
                    <pic:cNvPicPr>
                      <a:picLocks noChangeAspect="1"/>
                    </pic:cNvPicPr>
                  </pic:nvPicPr>
                  <pic:blipFill>
                    <a:blip r:embed="rId4"/>
                    <a:srcRect l="2109" t="7248" r="2266" b="1595"/>
                    <a:stretch>
                      <a:fillRect/>
                    </a:stretch>
                  </pic:blipFill>
                  <pic:spPr>
                    <a:xfrm>
                      <a:off x="0" y="0"/>
                      <a:ext cx="6256020" cy="8430260"/>
                    </a:xfrm>
                    <a:prstGeom prst="rect">
                      <a:avLst/>
                    </a:prstGeom>
                    <a:noFill/>
                    <a:ln w="9525">
                      <a:noFill/>
                    </a:ln>
                  </pic:spPr>
                </pic:pic>
              </a:graphicData>
            </a:graphic>
          </wp:inline>
        </w:drawing>
      </w:r>
    </w:p>
    <w:p>
      <w:pPr>
        <w:ind w:firstLine="420"/>
      </w:pPr>
    </w:p>
    <w:sectPr>
      <w:pgSz w:w="16839" w:h="23814"/>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RomanS"/>
    <w:panose1 w:val="02020404030301010803"/>
    <w:charset w:val="00"/>
    <w:family w:val="roman"/>
    <w:pitch w:val="default"/>
    <w:sig w:usb0="00000000" w:usb1="00000000" w:usb2="00000000" w:usb3="00000000" w:csb0="0000009F" w:csb1="00000000"/>
  </w:font>
  <w:font w:name="TimesNewRomanPS-BoldMT">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RomanS">
    <w:panose1 w:val="02000400000000000000"/>
    <w:charset w:val="00"/>
    <w:family w:val="auto"/>
    <w:pitch w:val="default"/>
    <w:sig w:usb0="00000207" w:usb1="00000000" w:usb2="00000000" w:usb3="00000000" w:csb0="000001F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MGDT">
    <w:panose1 w:val="02000400000000000000"/>
    <w:charset w:val="00"/>
    <w:family w:val="auto"/>
    <w:pitch w:val="default"/>
    <w:sig w:usb0="80000003" w:usb1="10000000" w:usb2="00000000" w:usb3="00000000" w:csb0="00000001" w:csb1="00000000"/>
  </w:font>
  <w:font w:name="等线 Light">
    <w:altName w:val="AMGDT"/>
    <w:panose1 w:val="00000000000000000000"/>
    <w:charset w:val="00"/>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A3764"/>
    <w:multiLevelType w:val="singleLevel"/>
    <w:tmpl w:val="610A37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64"/>
    <w:rsid w:val="000209F1"/>
    <w:rsid w:val="000A2B19"/>
    <w:rsid w:val="00121DA7"/>
    <w:rsid w:val="00126177"/>
    <w:rsid w:val="0018147C"/>
    <w:rsid w:val="00296764"/>
    <w:rsid w:val="004663A2"/>
    <w:rsid w:val="00715E97"/>
    <w:rsid w:val="007C17A7"/>
    <w:rsid w:val="00811633"/>
    <w:rsid w:val="00862019"/>
    <w:rsid w:val="008C5B6B"/>
    <w:rsid w:val="008D28E3"/>
    <w:rsid w:val="00991268"/>
    <w:rsid w:val="00B04461"/>
    <w:rsid w:val="00BB5930"/>
    <w:rsid w:val="00BC4B10"/>
    <w:rsid w:val="00C53DD6"/>
    <w:rsid w:val="00C751D3"/>
    <w:rsid w:val="00D16476"/>
    <w:rsid w:val="00DE0438"/>
    <w:rsid w:val="00DE1479"/>
    <w:rsid w:val="00E75767"/>
    <w:rsid w:val="00FD32EC"/>
    <w:rsid w:val="09FC30DE"/>
    <w:rsid w:val="0FB209FE"/>
    <w:rsid w:val="42FD3501"/>
    <w:rsid w:val="45FE1F02"/>
    <w:rsid w:val="48043068"/>
    <w:rsid w:val="57F93439"/>
    <w:rsid w:val="619D0CDF"/>
    <w:rsid w:val="6F026598"/>
    <w:rsid w:val="7AD92978"/>
    <w:rsid w:val="7BD263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pPr>
      <w:widowControl w:val="0"/>
      <w:spacing w:line="240" w:lineRule="auto"/>
      <w:ind w:firstLine="0" w:firstLineChars="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表段落1"/>
    <w:basedOn w:val="1"/>
    <w:qFormat/>
    <w:uiPriority w:val="34"/>
    <w:pPr>
      <w:ind w:firstLine="420" w:firstLineChars="200"/>
    </w:pPr>
    <w:rPr>
      <w:rFonts w:ascii="等线" w:hAnsi="等线" w:eastAsia="等线"/>
    </w:rPr>
  </w:style>
  <w:style w:type="character" w:customStyle="1" w:styleId="9">
    <w:name w:val="页眉 Char"/>
    <w:link w:val="3"/>
    <w:semiHidden/>
    <w:qFormat/>
    <w:uiPriority w:val="99"/>
    <w:rPr>
      <w:kern w:val="2"/>
      <w:sz w:val="18"/>
      <w:szCs w:val="18"/>
    </w:rPr>
  </w:style>
  <w:style w:type="character" w:customStyle="1" w:styleId="10">
    <w:name w:val="页脚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112</Words>
  <Characters>643</Characters>
  <Lines>5</Lines>
  <Paragraphs>1</Paragraphs>
  <TotalTime>0</TotalTime>
  <ScaleCrop>false</ScaleCrop>
  <LinksUpToDate>false</LinksUpToDate>
  <CharactersWithSpaces>754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2021-08-05T03:21:00Z</dcterms:created>
  <dc:creator>谢莉璇</dc:creator>
  <cp:lastModifiedBy>张其任</cp:lastModifiedBy>
  <cp:lastPrinted>2021-08-05T01:31:00Z</cp:lastPrinted>
  <dcterms:modified xsi:type="dcterms:W3CDTF">2021-08-06T01:10:13Z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