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</w:pPr>
      <w:bookmarkStart w:id="0" w:name="_GoBack"/>
      <w:bookmarkEnd w:id="0"/>
      <w:r>
        <w:rPr>
          <w:rFonts w:ascii="Calibri" w:hAnsi="Calibri" w:eastAsia="Tahoma" w:cs="Calibri"/>
          <w:sz w:val="24"/>
          <w:szCs w:val="24"/>
        </w:rPr>
        <w:t>附件2：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0"/>
        <w:jc w:val="center"/>
      </w:pP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竞投风险告知书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560"/>
      </w:pPr>
      <w:r>
        <w:rPr>
          <w:rFonts w:ascii="仿宋_GB2312" w:hAnsi="Tahoma" w:eastAsia="仿宋_GB2312" w:cs="仿宋_GB2312"/>
          <w:color w:val="333333"/>
          <w:sz w:val="28"/>
          <w:szCs w:val="28"/>
        </w:rPr>
        <w:t>投标人：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560"/>
      </w:pP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对于中新镇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u w:val="single"/>
        </w:rPr>
        <w:t> 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u w:val="single"/>
          <w:lang w:eastAsia="zh-CN"/>
        </w:rPr>
        <w:t>三迳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u w:val="single"/>
        </w:rPr>
        <w:t>村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u w:val="single"/>
          <w:lang w:eastAsia="zh-CN"/>
        </w:rPr>
        <w:t>经济联合社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u w:val="single"/>
        </w:rPr>
        <w:t>房屋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u w:val="single"/>
          <w:lang w:eastAsia="zh-CN"/>
        </w:rPr>
        <w:t>（土名：</w:t>
      </w:r>
      <w:r>
        <w:rPr>
          <w:rFonts w:hint="default" w:ascii="仿宋_GB2312" w:hAnsi="Tahoma" w:eastAsia="仿宋_GB2312" w:cs="仿宋_GB2312"/>
          <w:color w:val="333333"/>
          <w:sz w:val="28"/>
          <w:szCs w:val="28"/>
          <w:u w:val="single"/>
          <w:lang w:val="en-US" w:eastAsia="zh-CN"/>
        </w:rPr>
        <w:t>”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u w:val="single"/>
          <w:lang w:eastAsia="zh-CN"/>
        </w:rPr>
        <w:t>龙福</w:t>
      </w:r>
      <w:r>
        <w:rPr>
          <w:rFonts w:hint="default" w:ascii="仿宋_GB2312" w:hAnsi="Tahoma" w:eastAsia="仿宋_GB2312" w:cs="仿宋_GB2312"/>
          <w:color w:val="333333"/>
          <w:sz w:val="28"/>
          <w:szCs w:val="28"/>
          <w:u w:val="single"/>
          <w:lang w:val="en-US" w:eastAsia="zh-CN"/>
        </w:rPr>
        <w:t>”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u w:val="single"/>
          <w:lang w:eastAsia="zh-CN"/>
        </w:rPr>
        <w:t>）出租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项目（资产占地面积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lang w:eastAsia="zh-CN"/>
        </w:rPr>
        <w:t>约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lang w:val="en-US" w:eastAsia="zh-CN"/>
        </w:rPr>
        <w:t>94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平方米）将进行招投标，为了使您更好的了解该出租房屋的状况，特编制本竞投风险告知书，请您认真阅知。如您有困难或疑惑，及时向增城区中新镇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  <w:lang w:eastAsia="zh-CN"/>
        </w:rPr>
        <w:t>综合保障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心提出，他们将会向您耐心讲解。如您已清楚了解所要竞投的出租房屋存在的风险后，请在下方签名并印上手印。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560"/>
      </w:pP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出租房屋存在的风险问题：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560"/>
      </w:pPr>
      <w:r>
        <w:rPr>
          <w:rFonts w:ascii="Arial" w:hAnsi="Arial" w:eastAsia="Tahoma" w:cs="Arial"/>
          <w:color w:val="333333"/>
          <w:sz w:val="28"/>
          <w:szCs w:val="28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该房屋现有“建筑许可证”、“集体土地建设用地使用证”；无“集体产权证”，存在权属及合法性瑕疵。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560"/>
      </w:pPr>
      <w:r>
        <w:rPr>
          <w:rFonts w:hint="default" w:ascii="Arial" w:hAnsi="Arial" w:eastAsia="Tahoma" w:cs="Arial"/>
          <w:color w:val="333333"/>
          <w:sz w:val="28"/>
          <w:szCs w:val="28"/>
        </w:rPr>
        <w:t>2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房屋报建手续及消防报批手续不完善，因此该房屋可能存在质量、安全隐患、被拆除等瑕疵。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560"/>
      </w:pPr>
      <w:r>
        <w:rPr>
          <w:rFonts w:hint="default" w:ascii="Arial" w:hAnsi="Arial" w:eastAsia="Tahoma" w:cs="Arial"/>
          <w:color w:val="333333"/>
          <w:sz w:val="28"/>
          <w:szCs w:val="28"/>
        </w:rPr>
        <w:t>3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</w:t>
      </w: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基于上述原因，可能对正常的使用经营造成影响。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80"/>
      </w:pP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本人已清楚了解该出租房屋的风险，愿意竞投并承担此风险。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0"/>
      </w:pP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                             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200"/>
      </w:pP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 签名（手印）：             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4480"/>
      </w:pPr>
      <w:r>
        <w:rPr>
          <w:rFonts w:hint="eastAsia" w:ascii="仿宋_GB2312" w:hAnsi="Tahoma" w:eastAsia="仿宋_GB2312" w:cs="仿宋_GB2312"/>
          <w:color w:val="333333"/>
          <w:sz w:val="28"/>
          <w:szCs w:val="28"/>
        </w:rPr>
        <w:t> 年    月    日   </w:t>
      </w:r>
      <w:r>
        <w:rPr>
          <w:rFonts w:hint="eastAsia" w:ascii="仿宋_GB2312" w:hAnsi="Tahoma" w:eastAsia="仿宋_GB2312" w:cs="仿宋_GB2312"/>
          <w:color w:val="333333"/>
          <w:sz w:val="32"/>
          <w:szCs w:val="32"/>
        </w:rPr>
        <w:t>                   </w:t>
      </w:r>
      <w:r>
        <w:rPr>
          <w:rFonts w:hint="default" w:ascii="Tahoma" w:hAnsi="Tahoma" w:eastAsia="Tahoma" w:cs="Tahoma"/>
          <w:sz w:val="18"/>
          <w:szCs w:val="1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82C58"/>
    <w:rsid w:val="1A5758EF"/>
    <w:rsid w:val="5ABC7A8E"/>
    <w:rsid w:val="7C21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航海家</cp:lastModifiedBy>
  <dcterms:modified xsi:type="dcterms:W3CDTF">2021-05-12T08:48:15Z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