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CE476" w14:textId="629F683E" w:rsidR="0001178F" w:rsidRPr="0001178F" w:rsidRDefault="0001178F" w:rsidP="0001178F">
      <w:pPr>
        <w:spacing w:line="0" w:lineRule="atLeast"/>
        <w:jc w:val="left"/>
        <w:rPr>
          <w:rFonts w:ascii="黑体" w:eastAsia="黑体" w:hAnsi="黑体" w:hint="eastAsia"/>
        </w:rPr>
      </w:pPr>
      <w:r>
        <w:rPr>
          <w:rFonts w:ascii="黑体" w:eastAsia="黑体" w:hAnsi="黑体" w:hint="eastAsia"/>
        </w:rPr>
        <w:t>附件</w:t>
      </w:r>
    </w:p>
    <w:p w14:paraId="7EA838F3" w14:textId="629F683E" w:rsidR="004D49B1" w:rsidRPr="00971C81" w:rsidRDefault="004F3044" w:rsidP="0001178F">
      <w:pPr>
        <w:spacing w:line="0" w:lineRule="atLeast"/>
        <w:jc w:val="center"/>
        <w:rPr>
          <w:rFonts w:ascii="Times New Roman" w:eastAsia="仿宋_GB2312" w:hAnsi="Times New Roman" w:cs="Times New Roman"/>
        </w:rPr>
      </w:pPr>
      <w:r>
        <w:rPr>
          <w:rFonts w:ascii="小标宋" w:eastAsia="小标宋" w:hint="eastAsia"/>
          <w:sz w:val="44"/>
          <w:szCs w:val="44"/>
        </w:rPr>
        <w:t>广州市增城区应急管理局2020年度行政许可实施和监督管理情况报告</w:t>
      </w:r>
    </w:p>
    <w:p w14:paraId="169DC854" w14:textId="77777777" w:rsidR="004D49B1" w:rsidRDefault="004D49B1">
      <w:pPr>
        <w:spacing w:line="540" w:lineRule="exact"/>
        <w:ind w:firstLineChars="200" w:firstLine="624"/>
        <w:rPr>
          <w:rFonts w:ascii="仿宋_GB2312" w:eastAsia="仿宋_GB2312"/>
        </w:rPr>
      </w:pPr>
    </w:p>
    <w:p w14:paraId="3E1AF058" w14:textId="77777777" w:rsidR="004D49B1" w:rsidRDefault="004F3044">
      <w:pPr>
        <w:spacing w:line="580" w:lineRule="exact"/>
        <w:ind w:firstLine="810"/>
        <w:jc w:val="left"/>
        <w:rPr>
          <w:rFonts w:ascii="仿宋_GB2312" w:eastAsia="仿宋_GB2312"/>
        </w:rPr>
      </w:pPr>
      <w:r>
        <w:rPr>
          <w:rFonts w:ascii="仿宋_GB2312" w:eastAsia="仿宋_GB2312" w:hint="eastAsia"/>
        </w:rPr>
        <w:t>根据《广东省行政许可监督管理条例》的要求，现将我局2020年行政许可实施和监督管理情况报告如下：</w:t>
      </w:r>
      <w:bookmarkStart w:id="0" w:name="_GoBack"/>
      <w:bookmarkEnd w:id="0"/>
    </w:p>
    <w:p w14:paraId="2A8331CB" w14:textId="77777777" w:rsidR="004D49B1" w:rsidRDefault="004F3044">
      <w:pPr>
        <w:pStyle w:val="a4"/>
        <w:numPr>
          <w:ilvl w:val="0"/>
          <w:numId w:val="1"/>
        </w:numPr>
        <w:spacing w:line="580" w:lineRule="exact"/>
        <w:ind w:firstLineChars="0"/>
        <w:jc w:val="left"/>
        <w:rPr>
          <w:rFonts w:ascii="黑体" w:eastAsia="黑体" w:hAnsi="黑体"/>
          <w:szCs w:val="32"/>
        </w:rPr>
      </w:pPr>
      <w:r>
        <w:rPr>
          <w:rFonts w:ascii="黑体" w:eastAsia="黑体" w:hAnsi="黑体" w:hint="eastAsia"/>
          <w:szCs w:val="32"/>
        </w:rPr>
        <w:t>基本情况</w:t>
      </w:r>
    </w:p>
    <w:p w14:paraId="0619F9B6" w14:textId="77777777" w:rsidR="004D49B1" w:rsidRDefault="004F3044">
      <w:pPr>
        <w:spacing w:line="580" w:lineRule="exact"/>
        <w:ind w:firstLineChars="200" w:firstLine="624"/>
        <w:jc w:val="left"/>
        <w:rPr>
          <w:rFonts w:ascii="仿宋_GB2312" w:eastAsia="仿宋_GB2312"/>
        </w:rPr>
      </w:pPr>
      <w:r>
        <w:rPr>
          <w:rFonts w:ascii="仿宋_GB2312" w:eastAsia="仿宋_GB2312" w:hint="eastAsia"/>
        </w:rPr>
        <w:t>2020年，我局实施的行政许可共5项（16个子项），根据“目录之外无审批”的要求，许可</w:t>
      </w:r>
      <w:r>
        <w:rPr>
          <w:rFonts w:ascii="仿宋_GB2312" w:eastAsia="仿宋_GB2312" w:hAnsi="黑体" w:hint="eastAsia"/>
        </w:rPr>
        <w:t>事项</w:t>
      </w:r>
      <w:r>
        <w:rPr>
          <w:rFonts w:ascii="仿宋_GB2312" w:eastAsia="仿宋_GB2312" w:hint="eastAsia"/>
        </w:rPr>
        <w:t>100%驻广东省政务服务事项管理系统（即广东政务服务网）。2020年，我局办理的行政许可申请共59宗，受理59宗，办结59宗，不存在未受理、未按时办结的事项，其中审批同意量59宗，审批不同意量0宗。</w:t>
      </w:r>
    </w:p>
    <w:p w14:paraId="2D8D811A" w14:textId="77777777" w:rsidR="004D49B1" w:rsidRDefault="004F3044">
      <w:pPr>
        <w:numPr>
          <w:ilvl w:val="0"/>
          <w:numId w:val="2"/>
        </w:numPr>
        <w:spacing w:line="580" w:lineRule="exact"/>
        <w:ind w:firstLineChars="200" w:firstLine="624"/>
        <w:jc w:val="left"/>
        <w:rPr>
          <w:rFonts w:ascii="仿宋_GB2312" w:eastAsia="仿宋_GB2312"/>
        </w:rPr>
      </w:pPr>
      <w:r>
        <w:rPr>
          <w:rFonts w:ascii="楷体_GB2312" w:eastAsia="楷体_GB2312" w:hint="eastAsia"/>
        </w:rPr>
        <w:t>依法实施情况。</w:t>
      </w:r>
      <w:r>
        <w:rPr>
          <w:rFonts w:ascii="仿宋_GB2312" w:eastAsia="仿宋_GB2312" w:hint="eastAsia"/>
        </w:rPr>
        <w:t>我局严格</w:t>
      </w:r>
      <w:r>
        <w:rPr>
          <w:rFonts w:eastAsia="仿宋_GB2312"/>
        </w:rPr>
        <w:t>遵守</w:t>
      </w:r>
      <w:r>
        <w:rPr>
          <w:rFonts w:eastAsia="仿宋_GB2312" w:hint="eastAsia"/>
        </w:rPr>
        <w:t>各项</w:t>
      </w:r>
      <w:r>
        <w:rPr>
          <w:rFonts w:eastAsia="仿宋_GB2312"/>
        </w:rPr>
        <w:t>法律法规规定</w:t>
      </w:r>
      <w:r>
        <w:rPr>
          <w:rFonts w:ascii="仿宋_GB2312" w:eastAsia="仿宋_GB2312" w:hint="eastAsia"/>
        </w:rPr>
        <w:t>，根据法定设立依据，在审批权限范围内，依程序实施行政许可审批工作，不存在变相设定和实施行政许可情况。积极配合政数局完成省政务服务事项管理系统对区级行政审批事项清单的动态更新，</w:t>
      </w:r>
      <w:r>
        <w:rPr>
          <w:rFonts w:ascii="仿宋_GB2312" w:eastAsia="仿宋_GB2312" w:hAnsi="宋体"/>
          <w:color w:val="000000"/>
          <w:kern w:val="0"/>
          <w:sz w:val="31"/>
          <w:szCs w:val="31"/>
          <w:lang w:bidi="ar"/>
        </w:rPr>
        <w:t>进一步</w:t>
      </w:r>
      <w:r>
        <w:rPr>
          <w:rFonts w:ascii="仿宋_GB2312" w:eastAsia="仿宋_GB2312" w:hAnsi="宋体" w:hint="eastAsia"/>
          <w:color w:val="000000"/>
          <w:kern w:val="0"/>
          <w:sz w:val="31"/>
          <w:szCs w:val="31"/>
          <w:lang w:bidi="ar"/>
        </w:rPr>
        <w:t>摸清证明材料数据，梳理证明材料目录，为优化营商环境办好政务事项标准化工作。</w:t>
      </w:r>
    </w:p>
    <w:p w14:paraId="289E8EF3" w14:textId="77777777" w:rsidR="004D49B1" w:rsidRDefault="004F3044">
      <w:pPr>
        <w:spacing w:line="580" w:lineRule="exact"/>
        <w:ind w:firstLine="630"/>
        <w:rPr>
          <w:rFonts w:ascii="仿宋_GB2312" w:eastAsia="仿宋_GB2312"/>
        </w:rPr>
      </w:pPr>
      <w:r>
        <w:rPr>
          <w:rFonts w:ascii="楷体_GB2312" w:eastAsia="楷体_GB2312" w:hint="eastAsia"/>
        </w:rPr>
        <w:t>（二）公开公示情况。</w:t>
      </w:r>
      <w:r>
        <w:rPr>
          <w:rFonts w:ascii="仿宋_GB2312" w:eastAsia="仿宋_GB2312" w:hAnsi="仿宋" w:cs="仿宋" w:hint="eastAsia"/>
          <w:shd w:val="clear" w:color="auto" w:fill="FFFFFF"/>
        </w:rPr>
        <w:t>一是通过</w:t>
      </w:r>
      <w:r>
        <w:rPr>
          <w:rFonts w:ascii="仿宋_GB2312" w:eastAsia="仿宋_GB2312" w:hint="eastAsia"/>
        </w:rPr>
        <w:t>广东政务服务网</w:t>
      </w:r>
      <w:r>
        <w:rPr>
          <w:rFonts w:ascii="仿宋_GB2312" w:eastAsia="仿宋_GB2312" w:hAnsi="仿宋" w:cs="仿宋" w:hint="eastAsia"/>
          <w:shd w:val="clear" w:color="auto" w:fill="FFFFFF"/>
        </w:rPr>
        <w:t>向社会公示审批依据、申请材料、申请书格式文本、咨询投诉方式等审批要素，有效提高审批效率。二是严格按照时限将行政许可实施和结</w:t>
      </w:r>
      <w:r>
        <w:rPr>
          <w:rFonts w:ascii="仿宋_GB2312" w:eastAsia="仿宋_GB2312" w:hAnsi="仿宋" w:cs="仿宋" w:hint="eastAsia"/>
          <w:shd w:val="clear" w:color="auto" w:fill="FFFFFF"/>
        </w:rPr>
        <w:lastRenderedPageBreak/>
        <w:t>果在广东省行政执法信息平台、“信用广州”平台公示，打造透明政府和公信政府。</w:t>
      </w:r>
      <w:r>
        <w:rPr>
          <w:rFonts w:ascii="仿宋_GB2312" w:eastAsia="仿宋_GB2312" w:hint="eastAsia"/>
        </w:rPr>
        <w:t>三是</w:t>
      </w:r>
      <w:r>
        <w:rPr>
          <w:rFonts w:ascii="仿宋_GB2312" w:eastAsia="仿宋_GB2312" w:hAnsi="仿宋" w:cs="仿宋" w:hint="eastAsia"/>
          <w:shd w:val="clear" w:color="auto" w:fill="FFFFFF"/>
        </w:rPr>
        <w:t>为创新政务工作模式，进一步提高行政效率和服务水平，以“多共享信息材料，少提交纸质材料”为目标，对许可审批结果同步签发电子证照。</w:t>
      </w:r>
    </w:p>
    <w:p w14:paraId="65DEC536" w14:textId="77777777" w:rsidR="004D49B1" w:rsidRDefault="004F3044">
      <w:pPr>
        <w:spacing w:line="580" w:lineRule="exact"/>
        <w:ind w:firstLineChars="200" w:firstLine="624"/>
        <w:jc w:val="left"/>
        <w:rPr>
          <w:rFonts w:ascii="楷体_GB2312" w:eastAsia="楷体_GB2312"/>
        </w:rPr>
      </w:pPr>
      <w:r>
        <w:rPr>
          <w:rFonts w:ascii="楷体_GB2312" w:eastAsia="楷体_GB2312" w:hint="eastAsia"/>
        </w:rPr>
        <w:t>（三）监督管理情况。我局</w:t>
      </w:r>
      <w:r>
        <w:rPr>
          <w:rFonts w:ascii="仿宋_GB2312" w:eastAsia="仿宋_GB2312" w:hAnsi="仿宋" w:cs="仿宋" w:hint="eastAsia"/>
          <w:shd w:val="clear" w:color="auto" w:fill="FFFFFF"/>
        </w:rPr>
        <w:t>按照谁审批、谁监管，谁主管、谁监管的原则切实履行监管职责。</w:t>
      </w:r>
      <w:r>
        <w:rPr>
          <w:rFonts w:ascii="仿宋_GB2312" w:eastAsia="仿宋_GB2312" w:hint="eastAsia"/>
        </w:rPr>
        <w:t>结合并切实推进“放管服”、“证照分离”改革等试点工作，对照改革涉及的审批事项，逐一制定强化事中事后监管的工作方案，明确职责分工，细化工作措施，</w:t>
      </w:r>
      <w:r>
        <w:rPr>
          <w:rFonts w:ascii="仿宋_GB2312" w:eastAsia="仿宋_GB2312" w:hAnsi="仿宋" w:cs="仿宋" w:hint="eastAsia"/>
          <w:shd w:val="clear" w:color="auto" w:fill="FFFFFF"/>
        </w:rPr>
        <w:t>防止出现监管真空。</w:t>
      </w:r>
    </w:p>
    <w:p w14:paraId="2E4086A7" w14:textId="77777777" w:rsidR="004D49B1" w:rsidRDefault="004F3044">
      <w:pPr>
        <w:spacing w:line="580" w:lineRule="exact"/>
        <w:ind w:firstLine="630"/>
        <w:rPr>
          <w:rFonts w:ascii="仿宋_GB2312" w:eastAsia="仿宋_GB2312"/>
        </w:rPr>
      </w:pPr>
      <w:r>
        <w:rPr>
          <w:rFonts w:ascii="楷体_GB2312" w:eastAsia="楷体_GB2312" w:hint="eastAsia"/>
        </w:rPr>
        <w:t>（四）实施效果情况</w:t>
      </w:r>
      <w:r>
        <w:rPr>
          <w:rFonts w:ascii="仿宋_GB2312" w:eastAsia="仿宋_GB2312" w:hAnsi="仿宋" w:cs="仿宋" w:hint="eastAsia"/>
          <w:shd w:val="clear" w:color="auto" w:fill="FFFFFF"/>
        </w:rPr>
        <w:t>。</w:t>
      </w:r>
      <w:r>
        <w:rPr>
          <w:rFonts w:ascii="仿宋_GB2312" w:eastAsia="仿宋_GB2312" w:hint="eastAsia"/>
        </w:rPr>
        <w:t>以《行政许可法》为依据，坚持以优质服务为导向，以改革创新为动力。结合疫情防控，</w:t>
      </w:r>
      <w:r>
        <w:rPr>
          <w:rFonts w:ascii="仿宋_GB2312" w:eastAsia="仿宋_GB2312" w:hAnsi="仿宋" w:cs="仿宋" w:hint="eastAsia"/>
          <w:shd w:val="clear" w:color="auto" w:fill="FFFFFF"/>
        </w:rPr>
        <w:t>我局积极完善行政审批工作，</w:t>
      </w:r>
      <w:r>
        <w:rPr>
          <w:rFonts w:ascii="仿宋_GB2312" w:eastAsia="仿宋_GB2312" w:hint="eastAsia"/>
        </w:rPr>
        <w:t>对行政审批事项实施优化准营，加强对企业审批办事的积极引导和精准监管，进一步促进创业创新热潮涌动,激发实体经济活力。2020年，无一例因行政许可引发的投诉案件发生。</w:t>
      </w:r>
    </w:p>
    <w:p w14:paraId="7C7A8CEE" w14:textId="77777777" w:rsidR="004D49B1" w:rsidRDefault="004F3044">
      <w:pPr>
        <w:pStyle w:val="a4"/>
        <w:numPr>
          <w:ilvl w:val="0"/>
          <w:numId w:val="3"/>
        </w:numPr>
        <w:spacing w:line="580" w:lineRule="exact"/>
        <w:ind w:firstLineChars="0"/>
        <w:jc w:val="left"/>
        <w:rPr>
          <w:rFonts w:ascii="楷体_GB2312" w:eastAsia="楷体_GB2312"/>
          <w:szCs w:val="32"/>
        </w:rPr>
      </w:pPr>
      <w:r>
        <w:rPr>
          <w:rFonts w:ascii="楷体_GB2312" w:eastAsia="楷体_GB2312" w:hint="eastAsia"/>
          <w:szCs w:val="32"/>
        </w:rPr>
        <w:t>创新方式情况。</w:t>
      </w:r>
      <w:r>
        <w:rPr>
          <w:rFonts w:ascii="仿宋_GB2312" w:eastAsia="仿宋_GB2312" w:hAnsi="仿宋" w:cs="仿宋" w:hint="eastAsia"/>
          <w:szCs w:val="32"/>
          <w:shd w:val="clear" w:color="auto" w:fill="FFFFFF"/>
        </w:rPr>
        <w:t>我局按照简政放权、依法监管、公</w:t>
      </w:r>
    </w:p>
    <w:p w14:paraId="047D859E" w14:textId="77777777" w:rsidR="004D49B1" w:rsidRDefault="004F3044">
      <w:pPr>
        <w:pStyle w:val="a4"/>
        <w:spacing w:line="580" w:lineRule="exact"/>
        <w:ind w:firstLineChars="0" w:firstLine="0"/>
        <w:jc w:val="left"/>
        <w:rPr>
          <w:rFonts w:ascii="楷体_GB2312" w:eastAsia="楷体_GB2312"/>
          <w:szCs w:val="32"/>
        </w:rPr>
      </w:pPr>
      <w:r>
        <w:rPr>
          <w:rFonts w:ascii="仿宋_GB2312" w:eastAsia="仿宋_GB2312" w:hAnsi="仿宋" w:cs="仿宋" w:hint="eastAsia"/>
          <w:szCs w:val="32"/>
          <w:shd w:val="clear" w:color="auto" w:fill="FFFFFF"/>
        </w:rPr>
        <w:t>正透明的原则，转变监管理念，简化办理环节，方便服务对象。一是依申请事项“一门”率、“一窗”综合受理率、</w:t>
      </w:r>
      <w:proofErr w:type="gramStart"/>
      <w:r>
        <w:rPr>
          <w:rFonts w:ascii="仿宋_GB2312" w:eastAsia="仿宋_GB2312" w:hAnsi="仿宋" w:cs="仿宋" w:hint="eastAsia"/>
          <w:szCs w:val="32"/>
          <w:shd w:val="clear" w:color="auto" w:fill="FFFFFF"/>
        </w:rPr>
        <w:t>可网办</w:t>
      </w:r>
      <w:proofErr w:type="gramEnd"/>
      <w:r>
        <w:rPr>
          <w:rFonts w:ascii="仿宋_GB2312" w:eastAsia="仿宋_GB2312" w:hAnsi="仿宋" w:cs="仿宋" w:hint="eastAsia"/>
          <w:szCs w:val="32"/>
          <w:shd w:val="clear" w:color="auto" w:fill="FFFFFF"/>
        </w:rPr>
        <w:t>率、可预约率均达到100%，积极开展“四免”工作，实现更多事项全</w:t>
      </w:r>
      <w:proofErr w:type="gramStart"/>
      <w:r>
        <w:rPr>
          <w:rFonts w:ascii="仿宋_GB2312" w:eastAsia="仿宋_GB2312" w:hAnsi="仿宋" w:cs="仿宋" w:hint="eastAsia"/>
          <w:szCs w:val="32"/>
          <w:shd w:val="clear" w:color="auto" w:fill="FFFFFF"/>
        </w:rPr>
        <w:t>流程网办</w:t>
      </w:r>
      <w:proofErr w:type="gramEnd"/>
      <w:r>
        <w:rPr>
          <w:rFonts w:ascii="仿宋_GB2312" w:eastAsia="仿宋_GB2312" w:hAnsi="仿宋" w:cs="仿宋" w:hint="eastAsia"/>
          <w:szCs w:val="32"/>
          <w:shd w:val="clear" w:color="auto" w:fill="FFFFFF"/>
        </w:rPr>
        <w:t>。二是全面推行</w:t>
      </w:r>
      <w:proofErr w:type="gramStart"/>
      <w:r>
        <w:rPr>
          <w:rFonts w:ascii="仿宋_GB2312" w:eastAsia="仿宋_GB2312" w:hAnsi="仿宋" w:cs="仿宋" w:hint="eastAsia"/>
          <w:szCs w:val="32"/>
          <w:shd w:val="clear" w:color="auto" w:fill="FFFFFF"/>
        </w:rPr>
        <w:t>完善容缺</w:t>
      </w:r>
      <w:proofErr w:type="gramEnd"/>
      <w:r>
        <w:rPr>
          <w:rFonts w:ascii="仿宋_GB2312" w:eastAsia="仿宋_GB2312" w:hAnsi="仿宋" w:cs="仿宋" w:hint="eastAsia"/>
          <w:szCs w:val="32"/>
          <w:shd w:val="clear" w:color="auto" w:fill="FFFFFF"/>
        </w:rPr>
        <w:t>受理制、备案事项即时办理。三是积极开展诚信建设，进一步完善我区生产经营单位安全生产的</w:t>
      </w:r>
      <w:r>
        <w:rPr>
          <w:rFonts w:ascii="仿宋_GB2312" w:eastAsia="仿宋_GB2312" w:hAnsi="仿宋" w:cs="仿宋" w:hint="eastAsia"/>
          <w:szCs w:val="32"/>
          <w:shd w:val="clear" w:color="auto" w:fill="FFFFFF"/>
        </w:rPr>
        <w:lastRenderedPageBreak/>
        <w:t>信用管理工作，促进企业建立完善安全生产责任制，严格 “联合惩戒”制度，引导企业守信守法经营。</w:t>
      </w:r>
    </w:p>
    <w:p w14:paraId="5E7BBB50" w14:textId="77777777" w:rsidR="004D49B1" w:rsidRDefault="004F3044">
      <w:pPr>
        <w:pStyle w:val="a4"/>
        <w:spacing w:line="580" w:lineRule="exact"/>
        <w:ind w:left="640" w:firstLineChars="0" w:firstLine="0"/>
        <w:rPr>
          <w:rFonts w:ascii="楷体_GB2312" w:eastAsia="楷体_GB2312"/>
          <w:szCs w:val="32"/>
        </w:rPr>
      </w:pPr>
      <w:r>
        <w:rPr>
          <w:rFonts w:ascii="楷体_GB2312" w:eastAsia="楷体_GB2312" w:hint="eastAsia"/>
          <w:szCs w:val="32"/>
        </w:rPr>
        <w:t>（六）推行标准化情况。</w:t>
      </w:r>
      <w:r>
        <w:rPr>
          <w:rFonts w:ascii="仿宋_GB2312" w:eastAsia="仿宋_GB2312" w:hAnsi="仿宋" w:cs="仿宋" w:hint="eastAsia"/>
          <w:szCs w:val="32"/>
          <w:shd w:val="clear" w:color="auto" w:fill="FFFFFF"/>
        </w:rPr>
        <w:t>2020年我局不断深化政务服务事</w:t>
      </w:r>
    </w:p>
    <w:p w14:paraId="4BCDDFC0" w14:textId="77777777" w:rsidR="004D49B1" w:rsidRDefault="004F3044">
      <w:pPr>
        <w:pStyle w:val="a4"/>
        <w:spacing w:line="580" w:lineRule="exact"/>
        <w:ind w:firstLineChars="0" w:firstLine="0"/>
        <w:rPr>
          <w:rFonts w:ascii="楷体_GB2312" w:eastAsia="楷体_GB2312"/>
          <w:szCs w:val="32"/>
        </w:rPr>
      </w:pPr>
      <w:proofErr w:type="gramStart"/>
      <w:r>
        <w:rPr>
          <w:rFonts w:ascii="仿宋_GB2312" w:eastAsia="仿宋_GB2312" w:hAnsi="仿宋" w:cs="仿宋" w:hint="eastAsia"/>
          <w:szCs w:val="32"/>
          <w:shd w:val="clear" w:color="auto" w:fill="FFFFFF"/>
        </w:rPr>
        <w:t>项标准</w:t>
      </w:r>
      <w:proofErr w:type="gramEnd"/>
      <w:r>
        <w:rPr>
          <w:rFonts w:ascii="仿宋_GB2312" w:eastAsia="仿宋_GB2312" w:hAnsi="仿宋" w:cs="仿宋" w:hint="eastAsia"/>
          <w:szCs w:val="32"/>
          <w:shd w:val="clear" w:color="auto" w:fill="FFFFFF"/>
        </w:rPr>
        <w:t>化工作，进一步规范事项名称、受理条件、申请材料、办理时限、办理流程等要素，并定期开展全面</w:t>
      </w:r>
      <w:r>
        <w:rPr>
          <w:rFonts w:ascii="仿宋_GB2312" w:eastAsia="仿宋_GB2312" w:hint="eastAsia"/>
          <w:szCs w:val="32"/>
        </w:rPr>
        <w:t>查漏补缺，立行立改，</w:t>
      </w:r>
      <w:r>
        <w:rPr>
          <w:rFonts w:ascii="仿宋_GB2312" w:eastAsia="仿宋_GB2312" w:hAnsi="仿宋" w:cs="仿宋" w:hint="eastAsia"/>
          <w:szCs w:val="32"/>
          <w:shd w:val="clear" w:color="auto" w:fill="FFFFFF"/>
        </w:rPr>
        <w:t>及时修改完善网上办事指南规范，取消重复性、形式化的审批手续。</w:t>
      </w:r>
    </w:p>
    <w:p w14:paraId="340DB3F9" w14:textId="77777777" w:rsidR="004D49B1" w:rsidRDefault="004F3044">
      <w:pPr>
        <w:spacing w:line="580" w:lineRule="exact"/>
        <w:ind w:firstLineChars="200" w:firstLine="624"/>
        <w:rPr>
          <w:rFonts w:eastAsia="黑体"/>
        </w:rPr>
      </w:pPr>
      <w:r>
        <w:rPr>
          <w:rFonts w:eastAsia="黑体" w:hAnsi="黑体"/>
        </w:rPr>
        <w:t>二</w:t>
      </w:r>
      <w:r>
        <w:rPr>
          <w:rFonts w:eastAsia="黑体" w:hAnsi="黑体" w:hint="eastAsia"/>
        </w:rPr>
        <w:t>、</w:t>
      </w:r>
      <w:r>
        <w:rPr>
          <w:rFonts w:eastAsia="黑体" w:hAnsi="黑体"/>
        </w:rPr>
        <w:t>下一步工作措施及有关建议</w:t>
      </w:r>
    </w:p>
    <w:p w14:paraId="0CBE2E87" w14:textId="77777777" w:rsidR="004D49B1" w:rsidRDefault="004F3044">
      <w:pPr>
        <w:spacing w:line="580" w:lineRule="exact"/>
        <w:ind w:firstLineChars="200" w:firstLine="624"/>
        <w:rPr>
          <w:rFonts w:ascii="仿宋_GB2312" w:eastAsia="仿宋_GB2312"/>
        </w:rPr>
      </w:pPr>
      <w:r>
        <w:rPr>
          <w:rFonts w:ascii="仿宋_GB2312" w:eastAsia="仿宋_GB2312" w:hint="eastAsia"/>
        </w:rPr>
        <w:t>（一）进一步优化营商环境，明确监管职责，创新监管方式，完善监管措施，健全信用约束机制，构建权责明确、透明高效的行政审批机制。</w:t>
      </w:r>
    </w:p>
    <w:p w14:paraId="770BA710" w14:textId="77777777" w:rsidR="004D49B1" w:rsidRDefault="004F3044">
      <w:pPr>
        <w:spacing w:line="580" w:lineRule="exact"/>
        <w:ind w:firstLineChars="200" w:firstLine="624"/>
        <w:rPr>
          <w:rFonts w:ascii="仿宋_GB2312" w:eastAsia="仿宋_GB2312"/>
        </w:rPr>
      </w:pPr>
      <w:r>
        <w:rPr>
          <w:rFonts w:ascii="仿宋_GB2312" w:eastAsia="仿宋_GB2312" w:hint="eastAsia"/>
        </w:rPr>
        <w:t>（二）加强政策法规宣传解读力度，立足便民利民的现实需要，进一步提高办事效率。</w:t>
      </w:r>
    </w:p>
    <w:p w14:paraId="15150F98" w14:textId="77777777" w:rsidR="004D49B1" w:rsidRDefault="004F3044">
      <w:pPr>
        <w:spacing w:line="580" w:lineRule="exact"/>
        <w:ind w:firstLineChars="200" w:firstLine="624"/>
        <w:rPr>
          <w:rFonts w:ascii="仿宋_GB2312" w:eastAsia="仿宋_GB2312"/>
        </w:rPr>
      </w:pPr>
      <w:r>
        <w:rPr>
          <w:rFonts w:ascii="仿宋_GB2312" w:eastAsia="仿宋_GB2312" w:hint="eastAsia"/>
        </w:rPr>
        <w:t>（三）按照依法推进、放管并重的原则，继续强化“双随机、</w:t>
      </w:r>
      <w:proofErr w:type="gramStart"/>
      <w:r>
        <w:rPr>
          <w:rFonts w:ascii="仿宋_GB2312" w:eastAsia="仿宋_GB2312" w:hint="eastAsia"/>
        </w:rPr>
        <w:t>一</w:t>
      </w:r>
      <w:proofErr w:type="gramEnd"/>
      <w:r>
        <w:rPr>
          <w:rFonts w:ascii="仿宋_GB2312" w:eastAsia="仿宋_GB2312" w:hint="eastAsia"/>
        </w:rPr>
        <w:t>公开”，进一步加强事中事后监管，推行标准化管理和网上办理，提升审批透明度、便捷度和</w:t>
      </w:r>
      <w:proofErr w:type="gramStart"/>
      <w:r>
        <w:rPr>
          <w:rFonts w:ascii="仿宋_GB2312" w:eastAsia="仿宋_GB2312" w:hint="eastAsia"/>
        </w:rPr>
        <w:t>可</w:t>
      </w:r>
      <w:proofErr w:type="gramEnd"/>
      <w:r>
        <w:rPr>
          <w:rFonts w:ascii="仿宋_GB2312" w:eastAsia="仿宋_GB2312" w:hint="eastAsia"/>
        </w:rPr>
        <w:t>预期性。</w:t>
      </w:r>
    </w:p>
    <w:p w14:paraId="6403FA95" w14:textId="77777777" w:rsidR="004D49B1" w:rsidRDefault="004D49B1">
      <w:pPr>
        <w:spacing w:line="580" w:lineRule="exact"/>
        <w:ind w:firstLineChars="200" w:firstLine="624"/>
        <w:rPr>
          <w:rFonts w:ascii="仿宋_GB2312" w:eastAsia="仿宋_GB2312"/>
        </w:rPr>
      </w:pPr>
    </w:p>
    <w:p w14:paraId="07B10118" w14:textId="77777777" w:rsidR="004D49B1" w:rsidRDefault="004D49B1">
      <w:pPr>
        <w:rPr>
          <w:rFonts w:eastAsia="黑体"/>
        </w:rPr>
      </w:pPr>
    </w:p>
    <w:p w14:paraId="2C83BCD4" w14:textId="77777777" w:rsidR="004D49B1" w:rsidRDefault="004D49B1">
      <w:pPr>
        <w:rPr>
          <w:rFonts w:eastAsia="黑体"/>
        </w:rPr>
      </w:pPr>
    </w:p>
    <w:p w14:paraId="54EFD2F4" w14:textId="77777777" w:rsidR="004D49B1" w:rsidRDefault="004D49B1">
      <w:pPr>
        <w:rPr>
          <w:rFonts w:eastAsia="黑体"/>
        </w:rPr>
      </w:pPr>
    </w:p>
    <w:p w14:paraId="0F7CAE7D" w14:textId="77777777" w:rsidR="004D49B1" w:rsidRDefault="004F3044">
      <w:pPr>
        <w:spacing w:line="520" w:lineRule="exact"/>
        <w:rPr>
          <w:rFonts w:eastAsia="仿宋_GB2312"/>
        </w:rPr>
      </w:pPr>
      <w:r>
        <w:rPr>
          <w:rFonts w:eastAsia="仿宋_GB2312" w:hint="eastAsia"/>
        </w:rPr>
        <w:t xml:space="preserve">                              </w:t>
      </w:r>
      <w:r>
        <w:rPr>
          <w:rFonts w:eastAsia="仿宋_GB2312" w:hint="eastAsia"/>
        </w:rPr>
        <w:t>广州市增城区应急管理局</w:t>
      </w:r>
    </w:p>
    <w:p w14:paraId="3D3EAEB4" w14:textId="77777777" w:rsidR="004D49B1" w:rsidRDefault="004F3044">
      <w:pPr>
        <w:spacing w:line="520" w:lineRule="exact"/>
        <w:ind w:leftChars="205" w:left="2198" w:hangingChars="500" w:hanging="1559"/>
        <w:rPr>
          <w:rFonts w:eastAsia="仿宋_GB2312"/>
        </w:rPr>
      </w:pPr>
      <w:r>
        <w:rPr>
          <w:rFonts w:eastAsia="仿宋_GB2312"/>
        </w:rPr>
        <w:t xml:space="preserve">                              20</w:t>
      </w:r>
      <w:r>
        <w:rPr>
          <w:rFonts w:eastAsia="仿宋_GB2312" w:hint="eastAsia"/>
        </w:rPr>
        <w:t>21</w:t>
      </w:r>
      <w:r>
        <w:rPr>
          <w:rFonts w:eastAsia="仿宋_GB2312"/>
        </w:rPr>
        <w:t>年</w:t>
      </w:r>
      <w:r>
        <w:rPr>
          <w:rFonts w:eastAsia="仿宋_GB2312" w:hint="eastAsia"/>
        </w:rPr>
        <w:t>3</w:t>
      </w:r>
      <w:r>
        <w:rPr>
          <w:rFonts w:eastAsia="仿宋_GB2312"/>
        </w:rPr>
        <w:t>月</w:t>
      </w:r>
      <w:r>
        <w:rPr>
          <w:rFonts w:eastAsia="仿宋_GB2312" w:hint="eastAsia"/>
        </w:rPr>
        <w:t>23</w:t>
      </w:r>
      <w:r>
        <w:rPr>
          <w:rFonts w:eastAsia="仿宋_GB2312"/>
        </w:rPr>
        <w:t>日</w:t>
      </w:r>
    </w:p>
    <w:p w14:paraId="28C0F932" w14:textId="77777777" w:rsidR="004D49B1" w:rsidRDefault="004D49B1">
      <w:pPr>
        <w:rPr>
          <w:rFonts w:eastAsia="黑体"/>
        </w:rPr>
        <w:sectPr w:rsidR="004D49B1">
          <w:footerReference w:type="default" r:id="rId8"/>
          <w:pgSz w:w="11906" w:h="16838"/>
          <w:pgMar w:top="2098" w:right="1474" w:bottom="1985" w:left="1588" w:header="851" w:footer="851" w:gutter="0"/>
          <w:cols w:space="720"/>
          <w:docGrid w:type="linesAndChars" w:linePitch="438" w:charSpace="-1683"/>
        </w:sectPr>
      </w:pPr>
    </w:p>
    <w:p w14:paraId="0E24C9C9" w14:textId="77777777" w:rsidR="004D49B1" w:rsidRDefault="004D49B1">
      <w:pPr>
        <w:spacing w:line="520" w:lineRule="exact"/>
      </w:pPr>
    </w:p>
    <w:sectPr w:rsidR="004D49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F67D4" w14:textId="77777777" w:rsidR="00FF0888" w:rsidRDefault="00FF0888">
      <w:r>
        <w:separator/>
      </w:r>
    </w:p>
  </w:endnote>
  <w:endnote w:type="continuationSeparator" w:id="0">
    <w:p w14:paraId="13BE89DC" w14:textId="77777777" w:rsidR="00FF0888" w:rsidRDefault="00FF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EADB9" w14:textId="77777777" w:rsidR="004D49B1" w:rsidRDefault="004F3044">
    <w:pPr>
      <w:snapToGrid w:val="0"/>
      <w:jc w:val="left"/>
      <w:rPr>
        <w:rFonts w:ascii="Times New Roman" w:eastAsia="宋体" w:hAnsi="Times New Roman" w:cs="Times New Roman"/>
        <w:sz w:val="18"/>
        <w:szCs w:val="18"/>
      </w:rPr>
    </w:pPr>
    <w:r>
      <w:rPr>
        <w:rFonts w:ascii="Times New Roman" w:eastAsia="宋体" w:hAnsi="Times New Roman" w:cs="Times New Roman"/>
        <w:noProof/>
        <w:sz w:val="18"/>
        <w:szCs w:val="18"/>
      </w:rPr>
      <mc:AlternateContent>
        <mc:Choice Requires="wps">
          <w:drawing>
            <wp:anchor distT="0" distB="0" distL="114300" distR="114300" simplePos="0" relativeHeight="251659264" behindDoc="0" locked="0" layoutInCell="1" allowOverlap="1" wp14:anchorId="407CA5F9" wp14:editId="08F82710">
              <wp:simplePos x="0" y="0"/>
              <wp:positionH relativeFrom="margin">
                <wp:align>center</wp:align>
              </wp:positionH>
              <wp:positionV relativeFrom="paragraph">
                <wp:posOffset>-514350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FF4FFA" w14:textId="77777777" w:rsidR="004D49B1" w:rsidRDefault="004F3044">
                          <w:pPr>
                            <w:snapToGrid w:val="0"/>
                            <w:jc w:val="left"/>
                            <w:rPr>
                              <w:rStyle w:val="a3"/>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fldChar w:fldCharType="begin"/>
                          </w:r>
                          <w:r>
                            <w:rPr>
                              <w:rStyle w:val="a3"/>
                              <w:rFonts w:ascii="Times New Roman" w:eastAsia="宋体" w:hAnsi="Times New Roman" w:cs="Times New Roman"/>
                              <w:sz w:val="28"/>
                              <w:szCs w:val="28"/>
                            </w:rPr>
                            <w:instrText xml:space="preserve">PAGE  </w:instrText>
                          </w:r>
                          <w:r>
                            <w:rPr>
                              <w:rFonts w:ascii="Times New Roman" w:eastAsia="宋体" w:hAnsi="Times New Roman" w:cs="Times New Roman"/>
                              <w:sz w:val="28"/>
                              <w:szCs w:val="28"/>
                            </w:rPr>
                            <w:fldChar w:fldCharType="separate"/>
                          </w:r>
                          <w:r>
                            <w:rPr>
                              <w:rStyle w:val="a3"/>
                              <w:rFonts w:ascii="Times New Roman" w:eastAsia="宋体" w:hAnsi="Times New Roman" w:cs="Times New Roman"/>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w:t>
                          </w:r>
                        </w:p>
                      </w:txbxContent>
                    </wps:txbx>
                    <wps:bodyPr wrap="none" lIns="0" tIns="0" rIns="0" bIns="0">
                      <a:spAutoFit/>
                    </wps:bodyPr>
                  </wps:wsp>
                </a:graphicData>
              </a:graphic>
            </wp:anchor>
          </w:drawing>
        </mc:Choice>
        <mc:Fallback>
          <w:pict>
            <v:shapetype w14:anchorId="407CA5F9" id="_x0000_t202" coordsize="21600,21600" o:spt="202" path="m,l,21600r21600,l21600,xe">
              <v:stroke joinstyle="miter"/>
              <v:path gradientshapeok="t" o:connecttype="rect"/>
            </v:shapetype>
            <v:shape id="文本框 5" o:spid="_x0000_s1026" type="#_x0000_t202" style="position:absolute;margin-left:0;margin-top:-40.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XurQEAAD8DAAAOAAAAZHJzL2Uyb0RvYy54bWysUs1qGzEQvgfyDkL3WhtD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" filled="f" stroked="f">
              <v:textbox style="mso-fit-shape-to-text:t" inset="0,0,0,0">
                <w:txbxContent>
                  <w:p w14:paraId="32FF4FFA" w14:textId="77777777" w:rsidR="004D49B1" w:rsidRDefault="004F3044">
                    <w:pPr>
                      <w:snapToGrid w:val="0"/>
                      <w:jc w:val="left"/>
                      <w:rPr>
                        <w:rStyle w:val="a3"/>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fldChar w:fldCharType="begin"/>
                    </w:r>
                    <w:r>
                      <w:rPr>
                        <w:rStyle w:val="a3"/>
                        <w:rFonts w:ascii="Times New Roman" w:eastAsia="宋体" w:hAnsi="Times New Roman" w:cs="Times New Roman"/>
                        <w:sz w:val="28"/>
                        <w:szCs w:val="28"/>
                      </w:rPr>
                      <w:instrText xml:space="preserve">PAGE  </w:instrText>
                    </w:r>
                    <w:r>
                      <w:rPr>
                        <w:rFonts w:ascii="Times New Roman" w:eastAsia="宋体" w:hAnsi="Times New Roman" w:cs="Times New Roman"/>
                        <w:sz w:val="28"/>
                        <w:szCs w:val="28"/>
                      </w:rPr>
                      <w:fldChar w:fldCharType="separate"/>
                    </w:r>
                    <w:r>
                      <w:rPr>
                        <w:rStyle w:val="a3"/>
                        <w:rFonts w:ascii="Times New Roman" w:eastAsia="宋体" w:hAnsi="Times New Roman" w:cs="Times New Roman"/>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5D154" w14:textId="77777777" w:rsidR="00FF0888" w:rsidRDefault="00FF0888">
      <w:r>
        <w:separator/>
      </w:r>
    </w:p>
  </w:footnote>
  <w:footnote w:type="continuationSeparator" w:id="0">
    <w:p w14:paraId="10E9DA60" w14:textId="77777777" w:rsidR="00FF0888" w:rsidRDefault="00FF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3B1BFA"/>
    <w:multiLevelType w:val="singleLevel"/>
    <w:tmpl w:val="9C3B1BFA"/>
    <w:lvl w:ilvl="0">
      <w:start w:val="1"/>
      <w:numFmt w:val="chineseCounting"/>
      <w:suff w:val="nothing"/>
      <w:lvlText w:val="（%1）"/>
      <w:lvlJc w:val="left"/>
      <w:rPr>
        <w:rFonts w:hint="eastAsia"/>
      </w:rPr>
    </w:lvl>
  </w:abstractNum>
  <w:abstractNum w:abstractNumId="1" w15:restartNumberingAfterBreak="0">
    <w:nsid w:val="39C043C1"/>
    <w:multiLevelType w:val="multilevel"/>
    <w:tmpl w:val="39C043C1"/>
    <w:lvl w:ilvl="0">
      <w:start w:val="1"/>
      <w:numFmt w:val="japaneseCounting"/>
      <w:lvlText w:val="%1、"/>
      <w:lvlJc w:val="left"/>
      <w:pPr>
        <w:ind w:left="1530" w:hanging="720"/>
      </w:pPr>
      <w:rPr>
        <w:rFonts w:hint="default"/>
      </w:rPr>
    </w:lvl>
    <w:lvl w:ilvl="1">
      <w:start w:val="1"/>
      <w:numFmt w:val="lowerLetter"/>
      <w:lvlText w:val="%2)"/>
      <w:lvlJc w:val="left"/>
      <w:pPr>
        <w:ind w:left="1650" w:hanging="420"/>
      </w:pPr>
    </w:lvl>
    <w:lvl w:ilvl="2">
      <w:start w:val="1"/>
      <w:numFmt w:val="lowerRoman"/>
      <w:lvlText w:val="%3."/>
      <w:lvlJc w:val="right"/>
      <w:pPr>
        <w:ind w:left="2070" w:hanging="420"/>
      </w:pPr>
    </w:lvl>
    <w:lvl w:ilvl="3">
      <w:start w:val="1"/>
      <w:numFmt w:val="decimal"/>
      <w:lvlText w:val="%4."/>
      <w:lvlJc w:val="left"/>
      <w:pPr>
        <w:ind w:left="2490" w:hanging="420"/>
      </w:pPr>
    </w:lvl>
    <w:lvl w:ilvl="4">
      <w:start w:val="1"/>
      <w:numFmt w:val="lowerLetter"/>
      <w:lvlText w:val="%5)"/>
      <w:lvlJc w:val="left"/>
      <w:pPr>
        <w:ind w:left="2910" w:hanging="420"/>
      </w:pPr>
    </w:lvl>
    <w:lvl w:ilvl="5">
      <w:start w:val="1"/>
      <w:numFmt w:val="lowerRoman"/>
      <w:lvlText w:val="%6."/>
      <w:lvlJc w:val="right"/>
      <w:pPr>
        <w:ind w:left="3330" w:hanging="420"/>
      </w:pPr>
    </w:lvl>
    <w:lvl w:ilvl="6">
      <w:start w:val="1"/>
      <w:numFmt w:val="decimal"/>
      <w:lvlText w:val="%7."/>
      <w:lvlJc w:val="left"/>
      <w:pPr>
        <w:ind w:left="3750" w:hanging="420"/>
      </w:pPr>
    </w:lvl>
    <w:lvl w:ilvl="7">
      <w:start w:val="1"/>
      <w:numFmt w:val="lowerLetter"/>
      <w:lvlText w:val="%8)"/>
      <w:lvlJc w:val="left"/>
      <w:pPr>
        <w:ind w:left="4170" w:hanging="420"/>
      </w:pPr>
    </w:lvl>
    <w:lvl w:ilvl="8">
      <w:start w:val="1"/>
      <w:numFmt w:val="lowerRoman"/>
      <w:lvlText w:val="%9."/>
      <w:lvlJc w:val="right"/>
      <w:pPr>
        <w:ind w:left="4590" w:hanging="420"/>
      </w:pPr>
    </w:lvl>
  </w:abstractNum>
  <w:abstractNum w:abstractNumId="2" w15:restartNumberingAfterBreak="0">
    <w:nsid w:val="47D45518"/>
    <w:multiLevelType w:val="multilevel"/>
    <w:tmpl w:val="47D45518"/>
    <w:lvl w:ilvl="0">
      <w:start w:val="5"/>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255EB7"/>
    <w:rsid w:val="0001178F"/>
    <w:rsid w:val="004D49B1"/>
    <w:rsid w:val="004F3044"/>
    <w:rsid w:val="00971C81"/>
    <w:rsid w:val="00FF0888"/>
    <w:rsid w:val="05C00102"/>
    <w:rsid w:val="10321FF6"/>
    <w:rsid w:val="27716922"/>
    <w:rsid w:val="30FC45CB"/>
    <w:rsid w:val="499B5FB0"/>
    <w:rsid w:val="65291A52"/>
    <w:rsid w:val="70255EB7"/>
    <w:rsid w:val="7D9D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812AD"/>
  <w15:docId w15:val="{BEDEB208-270B-4EA2-8BDD-9685ADDE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styleId="a4">
    <w:name w:val="List Paragraph"/>
    <w:basedOn w:val="a"/>
    <w:uiPriority w:val="34"/>
    <w:qFormat/>
    <w:pPr>
      <w:ind w:firstLineChars="200" w:firstLine="420"/>
    </w:pPr>
    <w:rPr>
      <w:rFonts w:ascii="Calibri" w:eastAsia="宋体" w:hAnsi="Calibri" w:cs="Times New Roman"/>
      <w:szCs w:val="22"/>
    </w:rPr>
  </w:style>
  <w:style w:type="paragraph" w:styleId="a5">
    <w:name w:val="header"/>
    <w:basedOn w:val="a"/>
    <w:link w:val="a6"/>
    <w:rsid w:val="00971C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71C81"/>
    <w:rPr>
      <w:rFonts w:cs="仿宋_GB2312"/>
      <w:kern w:val="2"/>
      <w:sz w:val="18"/>
      <w:szCs w:val="18"/>
    </w:rPr>
  </w:style>
  <w:style w:type="paragraph" w:styleId="a7">
    <w:name w:val="footer"/>
    <w:basedOn w:val="a"/>
    <w:link w:val="a8"/>
    <w:rsid w:val="00971C81"/>
    <w:pPr>
      <w:tabs>
        <w:tab w:val="center" w:pos="4153"/>
        <w:tab w:val="right" w:pos="8306"/>
      </w:tabs>
      <w:snapToGrid w:val="0"/>
      <w:jc w:val="left"/>
    </w:pPr>
    <w:rPr>
      <w:sz w:val="18"/>
      <w:szCs w:val="18"/>
    </w:rPr>
  </w:style>
  <w:style w:type="character" w:customStyle="1" w:styleId="a8">
    <w:name w:val="页脚 字符"/>
    <w:basedOn w:val="a0"/>
    <w:link w:val="a7"/>
    <w:rsid w:val="00971C81"/>
    <w:rPr>
      <w:rFonts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 晓琦</cp:lastModifiedBy>
  <cp:revision>4</cp:revision>
  <cp:lastPrinted>2021-03-26T03:12:00Z</cp:lastPrinted>
  <dcterms:created xsi:type="dcterms:W3CDTF">2021-03-31T06:39:00Z</dcterms:created>
  <dcterms:modified xsi:type="dcterms:W3CDTF">2021-03-31T06:43:00Z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