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广州市增城区水务局公平竞争审查表</w:t>
      </w:r>
    </w:p>
    <w:tbl>
      <w:tblPr>
        <w:tblStyle w:val="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2410"/>
        <w:gridCol w:w="2411"/>
        <w:gridCol w:w="198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政策措施名称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关于划定增城区河砂禁采区的公告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文件性质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□我局负责起草的地方性法规草案、区政府规章草案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□我局代拟并提请以区政府或区府办公厅名义出台的规范性文件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□我局代拟并提请以区政府或区府办公厅名义出台的其他政策措施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我局制定或牵头制定的规范性文件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□我局制定或牵头制定的其他政策措施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涉及市场主体经济活动情形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□市场准入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□招标投标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□资质标准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□产业发展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□政府采购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□招商引资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□经营行为规范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公平竞争影响评估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一、是否违反市场准入与退出标准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设置不合理和歧视性的准入和退出条件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未经公平竞争审查，授予经营者特许经营权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限定经营、购买、使用特定经营者提供的商品和服务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设置没有法律法规依据的审批或者事前备案程序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对市场准入负面清单以外的行业、领域、业务设置审批程序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二、是否限制</w:t>
            </w:r>
            <w:r>
              <w:rPr>
                <w:rFonts w:hint="eastAsia" w:ascii="仿宋_GB2312" w:hAnsi="楷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商品和要素自由流动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对外地和进口商品、服务实行歧视性价格和歧视性补贴政策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限制外地和进口商品、服务进入本地市场或者阻碍本地商品运出、服务输出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排斥或者限制外地经营者参加本地招标投标活动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排斥限制或者强制外地经营者在本地投资或者设立分支机构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对外地经营者在本地的投资或者设立的分支机构实行歧视性待遇，侵害其合法权益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1．违法给予特定经营者优惠政策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安排财政支出与企业缴纳的税收或非税收入挂钩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3. 违法免除特定经营者需要缴纳的社会保险费用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在法律之外要求经营者提供或者扣留经营者各类保证金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四、是否影响生产经营行为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强制经营者从事《中华人民共和国反垄断法》规定的垄断行为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违法披露或者要求经营者披露生产经营敏感信息，为经营者从事垄断行为提供便利条件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超越定价权限进行政府定价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违法干预实行市场调节价的商品和服务的价格水平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五、是否违反兜底条款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没有法律、法规依据减损市场主体合法权益或者增加其义务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违反《中华人民共和国反垄断法》，制定含有排除、限制竞争内容的政策措施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适用例外规定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 □  否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hAnsi="宋体" w:eastAsia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  <w:t>说明：属于下列情形的政策措施，如果具有排除和限制竞争的效果，应当说明相关依据及该政策措施对实现政策目的的不可或缺的理由：</w:t>
            </w: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</w:rPr>
              <w:t>1.维护国家经济安全、文化安全或者涉及国防建设的；2.为实现扶贫开发、救灾救助等社会保障目的的；3.为实现节约能源资源、保护生态环境等社会公共利益的；4.法律、行政法规规定的其他情形。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（选择“是”时，请具体填写相关依据及理由）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征求意见情况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□已听取利害关系人的意见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□已向社会公开征求意见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具体情况（时间、对象、意见反馈和采纳情况。可附相关报告）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起草科室（单位）审查意见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（是否存在违反相关标准的情形，提出审查结论）</w:t>
            </w: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 w:firstLine="4357" w:firstLineChars="15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经办人签字：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tabs>
                <w:tab w:val="left" w:pos="4395"/>
                <w:tab w:val="left" w:pos="4680"/>
              </w:tabs>
              <w:rPr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34D3"/>
    <w:rsid w:val="11615109"/>
    <w:rsid w:val="3F8637D0"/>
    <w:rsid w:val="56226E1F"/>
    <w:rsid w:val="7C173EB4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2020-12-18T01:40:00Z</dcterms:created>
  <dc:creator>Administrator</dc:creator>
  <cp:lastModifiedBy>Administrator</cp:lastModifiedBy>
  <dcterms:modified xsi:type="dcterms:W3CDTF">2020-12-18T01:53:42Z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