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Cs w:val="32"/>
        </w:rPr>
      </w:pPr>
      <w:r>
        <w:rPr>
          <w:rFonts w:hint="eastAsia" w:ascii="黑体" w:hAnsi="黑体" w:eastAsia="黑体" w:cs="黑体"/>
          <w:color w:val="auto"/>
          <w:szCs w:val="32"/>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hAnsiTheme="majorEastAsia" w:cstheme="majorEastAsia"/>
          <w:color w:val="auto"/>
          <w:sz w:val="44"/>
          <w:szCs w:val="44"/>
        </w:rPr>
      </w:pPr>
    </w:p>
    <w:p>
      <w:pPr>
        <w:spacing w:line="680" w:lineRule="exact"/>
        <w:jc w:val="center"/>
        <w:rPr>
          <w:rFonts w:hint="eastAsia" w:ascii="方正小标宋简体" w:eastAsia="方正小标宋简体" w:hAnsiTheme="majorEastAsia" w:cstheme="majorEastAsia"/>
          <w:color w:val="auto"/>
          <w:sz w:val="44"/>
          <w:szCs w:val="44"/>
        </w:rPr>
      </w:pPr>
      <w:r>
        <w:rPr>
          <w:rFonts w:hint="eastAsia" w:ascii="方正小标宋简体" w:eastAsia="方正小标宋简体" w:hAnsiTheme="majorEastAsia" w:cstheme="majorEastAsia"/>
          <w:color w:val="auto"/>
          <w:sz w:val="44"/>
          <w:szCs w:val="44"/>
        </w:rPr>
        <w:t>广州市增城区20</w:t>
      </w:r>
      <w:r>
        <w:rPr>
          <w:rFonts w:hint="eastAsia" w:ascii="方正小标宋简体" w:eastAsia="方正小标宋简体" w:hAnsiTheme="majorEastAsia" w:cstheme="majorEastAsia"/>
          <w:color w:val="auto"/>
          <w:sz w:val="44"/>
          <w:szCs w:val="44"/>
          <w:lang w:val="en-US" w:eastAsia="zh-CN"/>
        </w:rPr>
        <w:t>20</w:t>
      </w:r>
      <w:r>
        <w:rPr>
          <w:rFonts w:hint="eastAsia" w:ascii="方正小标宋简体" w:eastAsia="方正小标宋简体" w:hAnsiTheme="majorEastAsia" w:cstheme="majorEastAsia"/>
          <w:color w:val="auto"/>
          <w:sz w:val="44"/>
          <w:szCs w:val="44"/>
        </w:rPr>
        <w:t>年度知识产权专利</w:t>
      </w:r>
    </w:p>
    <w:p>
      <w:pPr>
        <w:spacing w:line="680" w:lineRule="exact"/>
        <w:jc w:val="center"/>
        <w:rPr>
          <w:rFonts w:hint="eastAsia" w:ascii="方正小标宋简体" w:hAnsi="仿宋_GB2312" w:eastAsia="方正小标宋简体" w:cs="仿宋_GB2312"/>
          <w:color w:val="auto"/>
          <w:sz w:val="44"/>
          <w:szCs w:val="44"/>
        </w:rPr>
      </w:pPr>
      <w:r>
        <w:rPr>
          <w:rFonts w:hint="eastAsia" w:ascii="方正小标宋简体" w:eastAsia="方正小标宋简体" w:hAnsiTheme="majorEastAsia" w:cstheme="majorEastAsia"/>
          <w:color w:val="auto"/>
          <w:sz w:val="44"/>
          <w:szCs w:val="44"/>
        </w:rPr>
        <w:t>发展资金申报指南</w:t>
      </w:r>
    </w:p>
    <w:p>
      <w:pPr>
        <w:overflowPunct w:val="0"/>
        <w:spacing w:line="560" w:lineRule="exact"/>
        <w:textAlignment w:val="baseline"/>
        <w:rPr>
          <w:rFonts w:hAnsi="仿宋_GB2312" w:cs="仿宋_GB2312"/>
          <w:color w:val="auto"/>
          <w:szCs w:val="32"/>
        </w:rPr>
      </w:pPr>
      <w:r>
        <w:rPr>
          <w:rFonts w:hint="eastAsia" w:hAnsi="仿宋_GB2312" w:cs="仿宋_GB2312"/>
          <w:color w:val="auto"/>
          <w:szCs w:val="32"/>
        </w:rPr>
        <w:t xml:space="preserve">    </w:t>
      </w:r>
    </w:p>
    <w:p>
      <w:pPr>
        <w:overflowPunct w:val="0"/>
        <w:spacing w:line="560" w:lineRule="exact"/>
        <w:textAlignment w:val="baseline"/>
        <w:rPr>
          <w:rFonts w:hAnsi="仿宋_GB2312" w:cs="仿宋_GB2312"/>
          <w:b/>
          <w:color w:val="auto"/>
          <w:szCs w:val="32"/>
        </w:rPr>
      </w:pPr>
      <w:r>
        <w:rPr>
          <w:rFonts w:hint="eastAsia" w:hAnsi="仿宋_GB2312" w:cs="仿宋_GB2312"/>
          <w:color w:val="auto"/>
          <w:szCs w:val="32"/>
        </w:rPr>
        <w:t xml:space="preserve">    根据《广州市增城区人民政府办公室关于印发增城区促进科技创新发展扶持办法的通知》（增府办规〔2019〕1号）的有关要求，特制定本指南，对</w:t>
      </w:r>
      <w:r>
        <w:rPr>
          <w:rFonts w:hint="eastAsia" w:hAnsi="仿宋_GB2312" w:cs="仿宋_GB2312"/>
          <w:color w:val="auto"/>
          <w:szCs w:val="32"/>
          <w:lang w:val="en-US" w:eastAsia="zh-CN"/>
        </w:rPr>
        <w:t>2020</w:t>
      </w:r>
      <w:r>
        <w:rPr>
          <w:rFonts w:hint="eastAsia" w:hAnsi="仿宋_GB2312" w:cs="仿宋_GB2312"/>
          <w:color w:val="auto"/>
          <w:szCs w:val="32"/>
        </w:rPr>
        <w:t>年度的知识产权专利发展资金申报事项说明如下：</w:t>
      </w:r>
    </w:p>
    <w:p>
      <w:pPr>
        <w:overflowPunct w:val="0"/>
        <w:spacing w:line="560" w:lineRule="exact"/>
        <w:textAlignment w:val="baseline"/>
        <w:rPr>
          <w:rFonts w:hAnsi="仿宋_GB2312" w:cs="仿宋_GB2312"/>
          <w:color w:val="auto"/>
          <w:szCs w:val="32"/>
        </w:rPr>
      </w:pPr>
      <w:r>
        <w:rPr>
          <w:rFonts w:hint="eastAsia" w:hAnsi="仿宋_GB2312" w:cs="仿宋_GB2312"/>
          <w:color w:val="auto"/>
          <w:szCs w:val="32"/>
        </w:rPr>
        <w:t xml:space="preserve"> </w:t>
      </w:r>
      <w:r>
        <w:rPr>
          <w:rFonts w:hint="eastAsia" w:ascii="黑体" w:hAnsi="黑体" w:eastAsia="黑体" w:cs="黑体"/>
          <w:color w:val="auto"/>
          <w:szCs w:val="32"/>
        </w:rPr>
        <w:t xml:space="preserve">   一、申报事项</w:t>
      </w:r>
    </w:p>
    <w:p>
      <w:pPr>
        <w:overflowPunct w:val="0"/>
        <w:spacing w:line="560" w:lineRule="exact"/>
        <w:ind w:firstLine="640" w:firstLineChars="200"/>
        <w:textAlignment w:val="baseline"/>
        <w:rPr>
          <w:rFonts w:hint="eastAsia" w:ascii="楷体_GB2312" w:hAnsi="仿宋_GB2312" w:eastAsia="楷体_GB2312" w:cs="仿宋_GB2312"/>
          <w:color w:val="auto"/>
          <w:szCs w:val="32"/>
        </w:rPr>
      </w:pPr>
      <w:r>
        <w:rPr>
          <w:rFonts w:hint="eastAsia" w:ascii="楷体_GB2312" w:hAnsi="仿宋_GB2312" w:eastAsia="楷体_GB2312" w:cs="仿宋_GB2312"/>
          <w:color w:val="auto"/>
          <w:szCs w:val="32"/>
        </w:rPr>
        <w:t>（一）关于对国内专利权人的资助或奖励</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1</w:t>
      </w:r>
      <w:r>
        <w:rPr>
          <w:rFonts w:hint="eastAsia" w:hAnsi="仿宋_GB2312" w:cs="仿宋_GB2312"/>
          <w:color w:val="auto"/>
          <w:szCs w:val="32"/>
        </w:rPr>
        <w:t>．适用范围</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授权公告日在</w:t>
      </w:r>
      <w:r>
        <w:rPr>
          <w:rFonts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年1月1日（含当日，下同）</w:t>
      </w:r>
      <w:r>
        <w:rPr>
          <w:rFonts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w:t>
      </w:r>
      <w:r>
        <w:rPr>
          <w:rFonts w:hAnsi="仿宋_GB2312" w:cs="仿宋_GB2312"/>
          <w:color w:val="auto"/>
          <w:szCs w:val="32"/>
        </w:rPr>
        <w:t>12</w:t>
      </w:r>
      <w:r>
        <w:rPr>
          <w:rFonts w:hint="eastAsia" w:hAnsi="仿宋_GB2312" w:cs="仿宋_GB2312"/>
          <w:color w:val="auto"/>
          <w:szCs w:val="32"/>
        </w:rPr>
        <w:t>月</w:t>
      </w:r>
      <w:r>
        <w:rPr>
          <w:rFonts w:hAnsi="仿宋_GB2312" w:cs="仿宋_GB2312"/>
          <w:color w:val="auto"/>
          <w:szCs w:val="32"/>
        </w:rPr>
        <w:t>31</w:t>
      </w:r>
      <w:r>
        <w:rPr>
          <w:rFonts w:hint="eastAsia" w:hAnsi="仿宋_GB2312" w:cs="仿宋_GB2312"/>
          <w:color w:val="auto"/>
          <w:szCs w:val="32"/>
        </w:rPr>
        <w:t>日的发明、实用新型或外观设计专利；对首次获得发明专利授权的企业进行特别奖励。</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2．资助或奖励标准</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发明专利获得授权的，</w:t>
      </w:r>
      <w:r>
        <w:rPr>
          <w:rFonts w:hint="eastAsia" w:hAnsi="仿宋_GB2312" w:cs="仿宋_GB2312"/>
          <w:color w:val="auto"/>
          <w:szCs w:val="32"/>
          <w:lang w:eastAsia="zh-CN"/>
        </w:rPr>
        <w:t>原则上不超过</w:t>
      </w:r>
      <w:r>
        <w:rPr>
          <w:rFonts w:hAnsi="仿宋_GB2312" w:cs="仿宋_GB2312"/>
          <w:color w:val="auto"/>
          <w:szCs w:val="32"/>
        </w:rPr>
        <w:t>4000</w:t>
      </w:r>
      <w:r>
        <w:rPr>
          <w:rFonts w:hint="eastAsia" w:hAnsi="仿宋_GB2312" w:cs="仿宋_GB2312"/>
          <w:color w:val="auto"/>
          <w:szCs w:val="32"/>
        </w:rPr>
        <w:t>元</w:t>
      </w:r>
      <w:r>
        <w:rPr>
          <w:rFonts w:hAnsi="仿宋_GB2312" w:cs="仿宋_GB2312"/>
          <w:color w:val="auto"/>
          <w:szCs w:val="32"/>
        </w:rPr>
        <w:t>/</w:t>
      </w:r>
      <w:r>
        <w:rPr>
          <w:rFonts w:hint="eastAsia" w:hAnsi="仿宋_GB2312" w:cs="仿宋_GB2312"/>
          <w:color w:val="auto"/>
          <w:szCs w:val="32"/>
        </w:rPr>
        <w:t>件</w:t>
      </w:r>
      <w:r>
        <w:rPr>
          <w:rFonts w:hint="eastAsia" w:hAnsi="仿宋_GB2312" w:cs="仿宋_GB2312"/>
          <w:color w:val="auto"/>
          <w:szCs w:val="32"/>
          <w:lang w:eastAsia="zh-CN"/>
        </w:rPr>
        <w:t>，市级加区级资助总额不超过授权专利的官方规定费用和实际发生专利代理服务费总额</w:t>
      </w:r>
      <w:r>
        <w:rPr>
          <w:rFonts w:hint="eastAsia" w:hAnsi="仿宋_GB2312" w:cs="仿宋_GB2312"/>
          <w:color w:val="auto"/>
          <w:szCs w:val="32"/>
        </w:rPr>
        <w:t>；海外留学归国工作申</w:t>
      </w:r>
      <w:bookmarkStart w:id="0" w:name="_GoBack"/>
      <w:bookmarkEnd w:id="0"/>
      <w:r>
        <w:rPr>
          <w:rFonts w:hint="eastAsia" w:hAnsi="仿宋_GB2312" w:cs="仿宋_GB2312"/>
          <w:color w:val="auto"/>
          <w:szCs w:val="32"/>
        </w:rPr>
        <w:t>请发明专利获得授权的个人，额外资助</w:t>
      </w:r>
      <w:r>
        <w:rPr>
          <w:rFonts w:hAnsi="仿宋_GB2312" w:cs="仿宋_GB2312"/>
          <w:color w:val="auto"/>
          <w:szCs w:val="32"/>
        </w:rPr>
        <w:t>2500</w:t>
      </w:r>
      <w:r>
        <w:rPr>
          <w:rFonts w:hint="eastAsia" w:hAnsi="仿宋_GB2312" w:cs="仿宋_GB2312"/>
          <w:color w:val="auto"/>
          <w:szCs w:val="32"/>
        </w:rPr>
        <w:t>元</w:t>
      </w:r>
      <w:r>
        <w:rPr>
          <w:rFonts w:hAnsi="仿宋_GB2312" w:cs="仿宋_GB2312"/>
          <w:color w:val="auto"/>
          <w:szCs w:val="32"/>
        </w:rPr>
        <w:t>/</w:t>
      </w:r>
      <w:r>
        <w:rPr>
          <w:rFonts w:hint="eastAsia" w:hAnsi="仿宋_GB2312" w:cs="仿宋_GB2312"/>
          <w:color w:val="auto"/>
          <w:szCs w:val="32"/>
        </w:rPr>
        <w:t>件；申请发明专利并首次授权成功的企事业单位，一次性额外资助</w:t>
      </w:r>
      <w:r>
        <w:rPr>
          <w:rFonts w:hAnsi="仿宋_GB2312" w:cs="仿宋_GB2312"/>
          <w:color w:val="auto"/>
          <w:szCs w:val="32"/>
        </w:rPr>
        <w:t>10000</w:t>
      </w:r>
      <w:r>
        <w:rPr>
          <w:rFonts w:hint="eastAsia" w:hAnsi="仿宋_GB2312" w:cs="仿宋_GB2312"/>
          <w:color w:val="auto"/>
          <w:szCs w:val="32"/>
        </w:rPr>
        <w:t>元；</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实用新型专利获得授权的，奖励</w:t>
      </w:r>
      <w:r>
        <w:rPr>
          <w:rFonts w:hAnsi="仿宋_GB2312" w:cs="仿宋_GB2312"/>
          <w:color w:val="auto"/>
          <w:szCs w:val="32"/>
        </w:rPr>
        <w:t>1000</w:t>
      </w:r>
      <w:r>
        <w:rPr>
          <w:rFonts w:hint="eastAsia" w:hAnsi="仿宋_GB2312" w:cs="仿宋_GB2312"/>
          <w:color w:val="auto"/>
          <w:szCs w:val="32"/>
        </w:rPr>
        <w:t>元</w:t>
      </w:r>
      <w:r>
        <w:rPr>
          <w:rFonts w:hAnsi="仿宋_GB2312" w:cs="仿宋_GB2312"/>
          <w:color w:val="auto"/>
          <w:szCs w:val="32"/>
        </w:rPr>
        <w:t>/</w:t>
      </w:r>
      <w:r>
        <w:rPr>
          <w:rFonts w:hint="eastAsia" w:hAnsi="仿宋_GB2312" w:cs="仿宋_GB2312"/>
          <w:color w:val="auto"/>
          <w:szCs w:val="32"/>
        </w:rPr>
        <w:t>件；</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外观设计专利获得授权的，奖励</w:t>
      </w:r>
      <w:r>
        <w:rPr>
          <w:rFonts w:hAnsi="仿宋_GB2312" w:cs="仿宋_GB2312"/>
          <w:color w:val="auto"/>
          <w:szCs w:val="32"/>
        </w:rPr>
        <w:t>500</w:t>
      </w:r>
      <w:r>
        <w:rPr>
          <w:rFonts w:hint="eastAsia" w:hAnsi="仿宋_GB2312" w:cs="仿宋_GB2312"/>
          <w:color w:val="auto"/>
          <w:szCs w:val="32"/>
        </w:rPr>
        <w:t>元</w:t>
      </w:r>
      <w:r>
        <w:rPr>
          <w:rFonts w:hAnsi="仿宋_GB2312" w:cs="仿宋_GB2312"/>
          <w:color w:val="auto"/>
          <w:szCs w:val="32"/>
        </w:rPr>
        <w:t>/</w:t>
      </w:r>
      <w:r>
        <w:rPr>
          <w:rFonts w:hint="eastAsia" w:hAnsi="仿宋_GB2312" w:cs="仿宋_GB2312"/>
          <w:color w:val="auto"/>
          <w:szCs w:val="32"/>
        </w:rPr>
        <w:t>件。</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3．</w:t>
      </w:r>
      <w:r>
        <w:rPr>
          <w:rFonts w:hint="eastAsia" w:hAnsi="仿宋_GB2312" w:cs="仿宋_GB2312"/>
          <w:bCs/>
          <w:color w:val="auto"/>
          <w:szCs w:val="32"/>
        </w:rPr>
        <w:t>申报表格</w:t>
      </w:r>
      <w:r>
        <w:rPr>
          <w:rFonts w:hint="eastAsia" w:hAnsi="仿宋_GB2312" w:cs="仿宋_GB2312"/>
          <w:color w:val="auto"/>
          <w:szCs w:val="32"/>
        </w:rPr>
        <w:t>（相关证明材料详见附表</w:t>
      </w:r>
      <w:r>
        <w:rPr>
          <w:rFonts w:hAnsi="仿宋_GB2312" w:cs="仿宋_GB2312"/>
          <w:color w:val="auto"/>
          <w:szCs w:val="32"/>
        </w:rPr>
        <w:t>1</w:t>
      </w:r>
      <w:r>
        <w:rPr>
          <w:rFonts w:hint="eastAsia" w:hAnsi="仿宋_GB2312" w:cs="仿宋_GB2312"/>
          <w:color w:val="auto"/>
          <w:szCs w:val="32"/>
        </w:rPr>
        <w:t>注意事项）</w:t>
      </w:r>
    </w:p>
    <w:p>
      <w:pPr>
        <w:pStyle w:val="30"/>
        <w:overflowPunct w:val="0"/>
        <w:spacing w:line="560" w:lineRule="exact"/>
        <w:ind w:firstLine="632"/>
        <w:textAlignment w:val="baseline"/>
        <w:rPr>
          <w:rFonts w:hAnsi="仿宋_GB2312" w:cs="仿宋_GB2312"/>
          <w:bCs/>
          <w:color w:val="auto"/>
          <w:szCs w:val="32"/>
        </w:rPr>
      </w:pPr>
      <w:r>
        <w:rPr>
          <w:rFonts w:hint="eastAsia" w:hAnsi="仿宋_GB2312" w:cs="仿宋_GB2312"/>
          <w:bCs/>
          <w:color w:val="auto"/>
          <w:szCs w:val="32"/>
        </w:rPr>
        <w:t>附表</w:t>
      </w:r>
      <w:r>
        <w:rPr>
          <w:rFonts w:hAnsi="仿宋_GB2312" w:cs="仿宋_GB2312"/>
          <w:bCs/>
          <w:color w:val="auto"/>
          <w:szCs w:val="32"/>
        </w:rPr>
        <w:t>1</w:t>
      </w:r>
      <w:r>
        <w:rPr>
          <w:rFonts w:hint="eastAsia" w:hAnsi="仿宋_GB2312" w:cs="仿宋_GB2312"/>
          <w:bCs/>
          <w:color w:val="auto"/>
          <w:szCs w:val="32"/>
        </w:rPr>
        <w:t>：增城区国内专利授权奖励申报表；</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w:t>
      </w:r>
      <w:r>
        <w:rPr>
          <w:rFonts w:hAnsi="仿宋_GB2312" w:cs="仿宋_GB2312"/>
          <w:bCs/>
          <w:color w:val="auto"/>
          <w:szCs w:val="32"/>
        </w:rPr>
        <w:t>2</w:t>
      </w:r>
      <w:r>
        <w:rPr>
          <w:rFonts w:hint="eastAsia" w:hAnsi="仿宋_GB2312" w:cs="仿宋_GB2312"/>
          <w:bCs/>
          <w:color w:val="auto"/>
          <w:szCs w:val="32"/>
        </w:rPr>
        <w:t>：申报国内奖励专利明细清单；</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bCs/>
          <w:color w:val="auto"/>
          <w:szCs w:val="32"/>
        </w:rPr>
        <w:t>附表</w:t>
      </w:r>
      <w:r>
        <w:rPr>
          <w:rFonts w:hAnsi="仿宋_GB2312" w:cs="仿宋_GB2312"/>
          <w:bCs/>
          <w:color w:val="auto"/>
          <w:szCs w:val="32"/>
        </w:rPr>
        <w:t>14</w:t>
      </w:r>
      <w:r>
        <w:rPr>
          <w:rFonts w:hint="eastAsia" w:hAnsi="仿宋_GB2312" w:cs="仿宋_GB2312"/>
          <w:bCs/>
          <w:color w:val="auto"/>
          <w:szCs w:val="32"/>
        </w:rPr>
        <w:t>：授权委托书（非本人办理的</w:t>
      </w:r>
      <w:r>
        <w:rPr>
          <w:rFonts w:hint="eastAsia" w:hAnsi="仿宋_GB2312" w:cs="仿宋_GB2312"/>
          <w:color w:val="auto"/>
          <w:szCs w:val="32"/>
        </w:rPr>
        <w:t>，下同</w:t>
      </w:r>
      <w:r>
        <w:rPr>
          <w:rFonts w:hint="eastAsia" w:hAnsi="仿宋_GB2312" w:cs="仿宋_GB2312"/>
          <w:bCs/>
          <w:color w:val="auto"/>
          <w:szCs w:val="32"/>
        </w:rPr>
        <w:t>）。</w:t>
      </w:r>
    </w:p>
    <w:p>
      <w:pPr>
        <w:overflowPunct w:val="0"/>
        <w:spacing w:line="560" w:lineRule="exact"/>
        <w:ind w:firstLine="640" w:firstLineChars="200"/>
        <w:textAlignment w:val="baseline"/>
        <w:rPr>
          <w:rFonts w:ascii="楷体_GB2312" w:hAnsi="仿宋_GB2312" w:eastAsia="楷体_GB2312" w:cs="仿宋_GB2312"/>
          <w:color w:val="auto"/>
          <w:szCs w:val="32"/>
        </w:rPr>
      </w:pPr>
      <w:r>
        <w:rPr>
          <w:rFonts w:hint="eastAsia" w:ascii="楷体_GB2312" w:hAnsi="仿宋_GB2312" w:eastAsia="楷体_GB2312" w:cs="仿宋_GB2312"/>
          <w:color w:val="auto"/>
          <w:szCs w:val="32"/>
        </w:rPr>
        <w:t>（二）关于对</w:t>
      </w:r>
      <w:r>
        <w:rPr>
          <w:rFonts w:ascii="楷体_GB2312" w:hAnsi="仿宋_GB2312" w:eastAsia="楷体_GB2312" w:cs="仿宋_GB2312"/>
          <w:color w:val="auto"/>
          <w:szCs w:val="32"/>
        </w:rPr>
        <w:t>PCT</w:t>
      </w:r>
      <w:r>
        <w:rPr>
          <w:rFonts w:hint="eastAsia" w:ascii="楷体_GB2312" w:hAnsi="仿宋_GB2312" w:eastAsia="楷体_GB2312" w:cs="仿宋_GB2312"/>
          <w:color w:val="auto"/>
          <w:szCs w:val="32"/>
        </w:rPr>
        <w:t>专利和国外发明授权专利的资助</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1</w:t>
      </w:r>
      <w:r>
        <w:rPr>
          <w:rFonts w:hint="eastAsia" w:hAnsi="仿宋_GB2312" w:cs="仿宋_GB2312"/>
          <w:color w:val="auto"/>
          <w:szCs w:val="32"/>
        </w:rPr>
        <w:t>．适用范围</w:t>
      </w:r>
    </w:p>
    <w:p>
      <w:pPr>
        <w:overflowPunct w:val="0"/>
        <w:spacing w:line="560" w:lineRule="exact"/>
        <w:ind w:firstLine="640" w:firstLineChars="200"/>
        <w:textAlignment w:val="baseline"/>
        <w:rPr>
          <w:color w:val="auto"/>
          <w:szCs w:val="32"/>
          <w:shd w:val="clear" w:color="auto" w:fill="FFFFFF"/>
        </w:rPr>
      </w:pPr>
      <w:r>
        <w:rPr>
          <w:rFonts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年1月1日</w:t>
      </w:r>
      <w:r>
        <w:rPr>
          <w:rFonts w:hAnsi="仿宋_GB2312" w:cs="仿宋_GB2312"/>
          <w:color w:val="auto"/>
          <w:szCs w:val="32"/>
        </w:rPr>
        <w:t>-- 201</w:t>
      </w:r>
      <w:r>
        <w:rPr>
          <w:rFonts w:hint="eastAsia" w:hAnsi="仿宋_GB2312" w:cs="仿宋_GB2312"/>
          <w:color w:val="auto"/>
          <w:szCs w:val="32"/>
          <w:lang w:val="en-US" w:eastAsia="zh-CN"/>
        </w:rPr>
        <w:t>9</w:t>
      </w:r>
      <w:r>
        <w:rPr>
          <w:rFonts w:hint="eastAsia" w:hAnsi="仿宋_GB2312" w:cs="仿宋_GB2312"/>
          <w:color w:val="auto"/>
          <w:szCs w:val="32"/>
        </w:rPr>
        <w:t>年</w:t>
      </w:r>
      <w:r>
        <w:rPr>
          <w:rFonts w:hAnsi="仿宋_GB2312" w:cs="仿宋_GB2312"/>
          <w:color w:val="auto"/>
          <w:szCs w:val="32"/>
        </w:rPr>
        <w:t>12</w:t>
      </w:r>
      <w:r>
        <w:rPr>
          <w:rFonts w:hint="eastAsia" w:hAnsi="仿宋_GB2312" w:cs="仿宋_GB2312"/>
          <w:color w:val="auto"/>
          <w:szCs w:val="32"/>
        </w:rPr>
        <w:t>月</w:t>
      </w:r>
      <w:r>
        <w:rPr>
          <w:rFonts w:hAnsi="仿宋_GB2312" w:cs="仿宋_GB2312"/>
          <w:color w:val="auto"/>
          <w:szCs w:val="32"/>
        </w:rPr>
        <w:t>31</w:t>
      </w:r>
      <w:r>
        <w:rPr>
          <w:rFonts w:hint="eastAsia" w:hAnsi="仿宋_GB2312" w:cs="仿宋_GB2312"/>
          <w:color w:val="auto"/>
          <w:szCs w:val="32"/>
        </w:rPr>
        <w:t>日</w:t>
      </w:r>
      <w:r>
        <w:rPr>
          <w:rFonts w:hint="eastAsia"/>
          <w:color w:val="auto"/>
          <w:szCs w:val="32"/>
          <w:shd w:val="clear" w:color="auto" w:fill="FFFFFF"/>
        </w:rPr>
        <w:t>通过PCT途径申请专利进入国家阶段（国外）后对专利权人的资助；</w:t>
      </w:r>
      <w:r>
        <w:rPr>
          <w:rFonts w:hint="eastAsia" w:hAnsi="仿宋_GB2312" w:cs="仿宋_GB2312"/>
          <w:color w:val="auto"/>
          <w:szCs w:val="32"/>
        </w:rPr>
        <w:t>授权公告日在</w:t>
      </w:r>
      <w:r>
        <w:rPr>
          <w:rFonts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年1月1日</w:t>
      </w:r>
      <w:r>
        <w:rPr>
          <w:rFonts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w:t>
      </w:r>
      <w:r>
        <w:rPr>
          <w:rFonts w:hAnsi="仿宋_GB2312" w:cs="仿宋_GB2312"/>
          <w:color w:val="auto"/>
          <w:szCs w:val="32"/>
        </w:rPr>
        <w:t>12</w:t>
      </w:r>
      <w:r>
        <w:rPr>
          <w:rFonts w:hint="eastAsia" w:hAnsi="仿宋_GB2312" w:cs="仿宋_GB2312"/>
          <w:color w:val="auto"/>
          <w:szCs w:val="32"/>
        </w:rPr>
        <w:t>月</w:t>
      </w:r>
      <w:r>
        <w:rPr>
          <w:rFonts w:hAnsi="仿宋_GB2312" w:cs="仿宋_GB2312"/>
          <w:color w:val="auto"/>
          <w:szCs w:val="32"/>
        </w:rPr>
        <w:t>31</w:t>
      </w:r>
      <w:r>
        <w:rPr>
          <w:rFonts w:hint="eastAsia" w:hAnsi="仿宋_GB2312" w:cs="仿宋_GB2312"/>
          <w:color w:val="auto"/>
          <w:szCs w:val="32"/>
        </w:rPr>
        <w:t>日的国外发明专利。</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2．资助标准</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PCT</w:t>
      </w:r>
      <w:r>
        <w:rPr>
          <w:rFonts w:hint="eastAsia" w:hAnsi="仿宋_GB2312" w:cs="仿宋_GB2312"/>
          <w:color w:val="auto"/>
          <w:szCs w:val="32"/>
        </w:rPr>
        <w:t>申请人为单位的，资助</w:t>
      </w:r>
      <w:r>
        <w:rPr>
          <w:rFonts w:hAnsi="仿宋_GB2312" w:cs="仿宋_GB2312"/>
          <w:color w:val="auto"/>
          <w:szCs w:val="32"/>
        </w:rPr>
        <w:t>5000</w:t>
      </w:r>
      <w:r>
        <w:rPr>
          <w:rFonts w:hint="eastAsia" w:hAnsi="仿宋_GB2312" w:cs="仿宋_GB2312"/>
          <w:color w:val="auto"/>
          <w:szCs w:val="32"/>
        </w:rPr>
        <w:t>元</w:t>
      </w:r>
      <w:r>
        <w:rPr>
          <w:rFonts w:hAnsi="仿宋_GB2312" w:cs="仿宋_GB2312"/>
          <w:color w:val="auto"/>
          <w:szCs w:val="32"/>
        </w:rPr>
        <w:t>/</w:t>
      </w:r>
      <w:r>
        <w:rPr>
          <w:rFonts w:hint="eastAsia" w:hAnsi="仿宋_GB2312" w:cs="仿宋_GB2312"/>
          <w:color w:val="auto"/>
          <w:szCs w:val="32"/>
        </w:rPr>
        <w:t>件；</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PCT</w:t>
      </w:r>
      <w:r>
        <w:rPr>
          <w:rFonts w:hint="eastAsia" w:hAnsi="仿宋_GB2312" w:cs="仿宋_GB2312"/>
          <w:color w:val="auto"/>
          <w:szCs w:val="32"/>
        </w:rPr>
        <w:t>申请人为个人的，资助</w:t>
      </w:r>
      <w:r>
        <w:rPr>
          <w:rFonts w:hAnsi="仿宋_GB2312" w:cs="仿宋_GB2312"/>
          <w:color w:val="auto"/>
          <w:szCs w:val="32"/>
        </w:rPr>
        <w:t>2500</w:t>
      </w:r>
      <w:r>
        <w:rPr>
          <w:rFonts w:hint="eastAsia" w:hAnsi="仿宋_GB2312" w:cs="仿宋_GB2312"/>
          <w:color w:val="auto"/>
          <w:szCs w:val="32"/>
        </w:rPr>
        <w:t>元</w:t>
      </w:r>
      <w:r>
        <w:rPr>
          <w:rFonts w:hAnsi="仿宋_GB2312" w:cs="仿宋_GB2312"/>
          <w:color w:val="auto"/>
          <w:szCs w:val="32"/>
        </w:rPr>
        <w:t>/</w:t>
      </w:r>
      <w:r>
        <w:rPr>
          <w:rFonts w:hint="eastAsia" w:hAnsi="仿宋_GB2312" w:cs="仿宋_GB2312"/>
          <w:color w:val="auto"/>
          <w:szCs w:val="32"/>
        </w:rPr>
        <w:t>件；</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申请美国、日本、欧盟发明专利获得授权后，职务发明专利资助2万元/件，非职务发明专利1万元/件;获得其他国家或地区专利授权的，职务发明专利资助1万元/件，非职务发明专利5000元/件。每件发明最多资助3个国家。</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3．</w:t>
      </w:r>
      <w:r>
        <w:rPr>
          <w:rFonts w:hint="eastAsia" w:hAnsi="仿宋_GB2312" w:cs="仿宋_GB2312"/>
          <w:bCs/>
          <w:color w:val="auto"/>
          <w:szCs w:val="32"/>
        </w:rPr>
        <w:t>申报表格</w:t>
      </w:r>
      <w:r>
        <w:rPr>
          <w:rFonts w:hint="eastAsia" w:hAnsi="仿宋_GB2312" w:cs="仿宋_GB2312"/>
          <w:color w:val="auto"/>
          <w:szCs w:val="32"/>
        </w:rPr>
        <w:t>（相关证明材料详见附表</w:t>
      </w:r>
      <w:r>
        <w:rPr>
          <w:rFonts w:hAnsi="仿宋_GB2312" w:cs="仿宋_GB2312"/>
          <w:color w:val="auto"/>
          <w:szCs w:val="32"/>
        </w:rPr>
        <w:t>3</w:t>
      </w:r>
      <w:r>
        <w:rPr>
          <w:rFonts w:hint="eastAsia" w:hAnsi="仿宋_GB2312" w:cs="仿宋_GB2312"/>
          <w:color w:val="auto"/>
          <w:szCs w:val="32"/>
        </w:rPr>
        <w:t>、附表4注意事项）</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w:t>
      </w:r>
      <w:r>
        <w:rPr>
          <w:rFonts w:hAnsi="仿宋_GB2312" w:cs="仿宋_GB2312"/>
          <w:bCs/>
          <w:color w:val="auto"/>
          <w:szCs w:val="32"/>
        </w:rPr>
        <w:t>3</w:t>
      </w:r>
      <w:r>
        <w:rPr>
          <w:rFonts w:hint="eastAsia" w:hAnsi="仿宋_GB2312" w:cs="仿宋_GB2312"/>
          <w:bCs/>
          <w:color w:val="auto"/>
          <w:szCs w:val="32"/>
        </w:rPr>
        <w:t>：增城区</w:t>
      </w:r>
      <w:r>
        <w:rPr>
          <w:rFonts w:hAnsi="仿宋_GB2312" w:cs="仿宋_GB2312"/>
          <w:bCs/>
          <w:color w:val="auto"/>
          <w:szCs w:val="32"/>
        </w:rPr>
        <w:t>PCT</w:t>
      </w:r>
      <w:r>
        <w:rPr>
          <w:rFonts w:hint="eastAsia" w:hAnsi="仿宋_GB2312" w:cs="仿宋_GB2312"/>
          <w:bCs/>
          <w:color w:val="auto"/>
          <w:szCs w:val="32"/>
        </w:rPr>
        <w:t>国际申请资助申报表；</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附表4：增城区国外专利授权奖励申报表；</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附表5：申报国外奖励专利明细清单；</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w:t>
      </w:r>
      <w:r>
        <w:rPr>
          <w:rFonts w:hAnsi="仿宋_GB2312" w:cs="仿宋_GB2312"/>
          <w:bCs/>
          <w:color w:val="auto"/>
          <w:szCs w:val="32"/>
        </w:rPr>
        <w:t>14</w:t>
      </w:r>
      <w:r>
        <w:rPr>
          <w:rFonts w:hint="eastAsia" w:hAnsi="仿宋_GB2312" w:cs="仿宋_GB2312"/>
          <w:bCs/>
          <w:color w:val="auto"/>
          <w:szCs w:val="32"/>
        </w:rPr>
        <w:t>：授权委托书。</w:t>
      </w:r>
    </w:p>
    <w:p>
      <w:pPr>
        <w:overflowPunct w:val="0"/>
        <w:spacing w:line="560" w:lineRule="exact"/>
        <w:ind w:firstLine="640" w:firstLineChars="200"/>
        <w:textAlignment w:val="baseline"/>
        <w:rPr>
          <w:rFonts w:hint="eastAsia" w:ascii="楷体_GB2312" w:hAnsi="仿宋_GB2312" w:eastAsia="楷体_GB2312" w:cs="仿宋_GB2312"/>
          <w:bCs/>
          <w:color w:val="auto"/>
          <w:szCs w:val="32"/>
        </w:rPr>
      </w:pPr>
      <w:r>
        <w:rPr>
          <w:rFonts w:hint="eastAsia" w:ascii="楷体_GB2312" w:hAnsi="仿宋_GB2312" w:eastAsia="楷体_GB2312" w:cs="仿宋_GB2312"/>
          <w:bCs/>
          <w:color w:val="auto"/>
          <w:szCs w:val="32"/>
        </w:rPr>
        <w:t>（三）关于对发明专利产业化的奖励</w:t>
      </w:r>
    </w:p>
    <w:p>
      <w:pPr>
        <w:overflowPunct w:val="0"/>
        <w:spacing w:line="560" w:lineRule="exact"/>
        <w:ind w:firstLine="640" w:firstLineChars="200"/>
        <w:textAlignment w:val="baseline"/>
        <w:rPr>
          <w:rFonts w:hAnsi="仿宋_GB2312" w:cs="仿宋_GB2312"/>
          <w:bCs/>
          <w:color w:val="auto"/>
          <w:szCs w:val="32"/>
        </w:rPr>
      </w:pPr>
      <w:r>
        <w:rPr>
          <w:rFonts w:hAnsi="仿宋_GB2312" w:cs="仿宋_GB2312"/>
          <w:bCs/>
          <w:color w:val="auto"/>
          <w:szCs w:val="32"/>
        </w:rPr>
        <w:t>1</w:t>
      </w:r>
      <w:r>
        <w:rPr>
          <w:rFonts w:hint="eastAsia" w:hAnsi="仿宋_GB2312" w:cs="仿宋_GB2312"/>
          <w:bCs/>
          <w:color w:val="auto"/>
          <w:szCs w:val="32"/>
        </w:rPr>
        <w:t>．适用范围</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color w:val="auto"/>
          <w:szCs w:val="32"/>
        </w:rPr>
        <w:t>获得国家授权发明专利并生产该专利产品（高新技术产品），</w:t>
      </w:r>
      <w:r>
        <w:rPr>
          <w:rFonts w:hint="eastAsia" w:hAnsi="仿宋_GB2312" w:cs="仿宋_GB2312"/>
          <w:color w:val="auto"/>
          <w:szCs w:val="32"/>
          <w:lang w:eastAsia="zh-CN"/>
        </w:rPr>
        <w:t>发明专利实施期不少于</w:t>
      </w:r>
      <w:r>
        <w:rPr>
          <w:rFonts w:hint="eastAsia" w:hAnsi="仿宋_GB2312" w:cs="仿宋_GB2312"/>
          <w:color w:val="auto"/>
          <w:szCs w:val="32"/>
          <w:lang w:val="en-US" w:eastAsia="zh-CN"/>
        </w:rPr>
        <w:t>1年，</w:t>
      </w:r>
      <w:r>
        <w:rPr>
          <w:rFonts w:hint="eastAsia"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年该专利产品的年应税销售额达到500万元以上的企业。</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2．奖励标准</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按该专利产品年应税销售额的2%给予奖励，每个专利产品最高奖励200万元，每家企业每年最高奖励400万元。同一产品只能享受一次专利资助，同一专利只能享受一次产品资助。</w:t>
      </w:r>
      <w:r>
        <w:rPr>
          <w:rFonts w:hint="eastAsia" w:hAnsi="仿宋_GB2312" w:cs="仿宋_GB2312"/>
          <w:color w:val="auto"/>
          <w:szCs w:val="32"/>
          <w:lang w:eastAsia="zh-CN"/>
        </w:rPr>
        <w:t>已经申报过</w:t>
      </w:r>
      <w:r>
        <w:rPr>
          <w:rFonts w:hint="eastAsia" w:hAnsi="仿宋_GB2312" w:cs="仿宋_GB2312"/>
          <w:color w:val="auto"/>
          <w:szCs w:val="32"/>
          <w:lang w:val="en-US" w:eastAsia="zh-CN"/>
        </w:rPr>
        <w:t>2018年增城区发明专利产业化项目的</w:t>
      </w:r>
      <w:r>
        <w:rPr>
          <w:rFonts w:hint="eastAsia" w:hAnsi="仿宋_GB2312" w:cs="仿宋_GB2312"/>
          <w:color w:val="auto"/>
          <w:szCs w:val="32"/>
          <w:lang w:eastAsia="zh-CN"/>
        </w:rPr>
        <w:t>发明专利不再重复受理，奖励金额原则上不超过</w:t>
      </w:r>
      <w:r>
        <w:rPr>
          <w:rFonts w:hint="eastAsia" w:hAnsi="仿宋_GB2312" w:cs="仿宋_GB2312"/>
          <w:color w:val="auto"/>
          <w:szCs w:val="32"/>
          <w:lang w:val="en-US" w:eastAsia="zh-CN"/>
        </w:rPr>
        <w:t>2019年地方经济贡献</w:t>
      </w:r>
      <w:r>
        <w:rPr>
          <w:rFonts w:hint="eastAsia" w:hAnsi="仿宋_GB2312" w:cs="仿宋_GB2312"/>
          <w:color w:val="auto"/>
          <w:szCs w:val="32"/>
          <w:lang w:eastAsia="zh-CN"/>
        </w:rPr>
        <w:t>。</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3．申报表格</w:t>
      </w:r>
      <w:r>
        <w:rPr>
          <w:rFonts w:hint="eastAsia" w:hAnsi="仿宋_GB2312" w:cs="仿宋_GB2312"/>
          <w:color w:val="auto"/>
          <w:szCs w:val="32"/>
        </w:rPr>
        <w:t>（相关证明材料详见附表6注意事项）</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附表6</w:t>
      </w:r>
      <w:r>
        <w:rPr>
          <w:rFonts w:hAnsi="仿宋_GB2312" w:cs="仿宋_GB2312"/>
          <w:bCs/>
          <w:color w:val="auto"/>
          <w:szCs w:val="32"/>
        </w:rPr>
        <w:t>:</w:t>
      </w:r>
      <w:r>
        <w:rPr>
          <w:rFonts w:hint="eastAsia" w:hAnsi="仿宋_GB2312" w:cs="仿宋_GB2312"/>
          <w:bCs/>
          <w:color w:val="auto"/>
          <w:szCs w:val="32"/>
        </w:rPr>
        <w:t>增城区发明专利产业化申报表；</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w:t>
      </w:r>
      <w:r>
        <w:rPr>
          <w:rFonts w:hAnsi="仿宋_GB2312" w:cs="仿宋_GB2312"/>
          <w:bCs/>
          <w:color w:val="auto"/>
          <w:szCs w:val="32"/>
        </w:rPr>
        <w:t>14</w:t>
      </w:r>
      <w:r>
        <w:rPr>
          <w:rFonts w:hint="eastAsia" w:hAnsi="仿宋_GB2312" w:cs="仿宋_GB2312"/>
          <w:bCs/>
          <w:color w:val="auto"/>
          <w:szCs w:val="32"/>
        </w:rPr>
        <w:t>：授权委托书。</w:t>
      </w:r>
    </w:p>
    <w:p>
      <w:pPr>
        <w:overflowPunct w:val="0"/>
        <w:spacing w:line="560" w:lineRule="exact"/>
        <w:ind w:firstLine="640" w:firstLineChars="200"/>
        <w:textAlignment w:val="baseline"/>
        <w:rPr>
          <w:rFonts w:hint="eastAsia" w:ascii="楷体_GB2312" w:hAnsi="仿宋_GB2312" w:eastAsia="楷体_GB2312" w:cs="仿宋_GB2312"/>
          <w:bCs/>
          <w:color w:val="auto"/>
          <w:szCs w:val="32"/>
        </w:rPr>
      </w:pPr>
      <w:r>
        <w:rPr>
          <w:rFonts w:hint="eastAsia" w:ascii="楷体_GB2312" w:hAnsi="仿宋_GB2312" w:eastAsia="楷体_GB2312" w:cs="仿宋_GB2312"/>
          <w:bCs/>
          <w:color w:val="auto"/>
          <w:szCs w:val="32"/>
        </w:rPr>
        <w:t>（四）关于对</w:t>
      </w:r>
      <w:r>
        <w:rPr>
          <w:rFonts w:hint="eastAsia" w:ascii="楷体_GB2312" w:hAnsi="仿宋_GB2312" w:eastAsia="楷体_GB2312" w:cs="仿宋_GB2312"/>
          <w:bCs/>
          <w:color w:val="auto"/>
          <w:szCs w:val="32"/>
          <w:lang w:eastAsia="zh-CN"/>
        </w:rPr>
        <w:t>区</w:t>
      </w:r>
      <w:r>
        <w:rPr>
          <w:rFonts w:hint="eastAsia" w:ascii="楷体_GB2312" w:hAnsi="仿宋_GB2312" w:eastAsia="楷体_GB2312" w:cs="仿宋_GB2312"/>
          <w:bCs/>
          <w:color w:val="auto"/>
          <w:szCs w:val="32"/>
        </w:rPr>
        <w:t>知识产权示范企业的奖励</w:t>
      </w:r>
    </w:p>
    <w:p>
      <w:pPr>
        <w:overflowPunct w:val="0"/>
        <w:spacing w:line="560" w:lineRule="exact"/>
        <w:ind w:firstLine="640" w:firstLineChars="200"/>
        <w:textAlignment w:val="baseline"/>
        <w:rPr>
          <w:rFonts w:hAnsi="仿宋_GB2312" w:cs="仿宋_GB2312"/>
          <w:bCs/>
          <w:color w:val="auto"/>
          <w:szCs w:val="32"/>
        </w:rPr>
      </w:pPr>
      <w:r>
        <w:rPr>
          <w:rFonts w:hAnsi="仿宋_GB2312" w:cs="仿宋_GB2312"/>
          <w:bCs/>
          <w:color w:val="auto"/>
          <w:szCs w:val="32"/>
        </w:rPr>
        <w:t>1</w:t>
      </w:r>
      <w:r>
        <w:rPr>
          <w:rFonts w:hint="eastAsia" w:hAnsi="仿宋_GB2312" w:cs="仿宋_GB2312"/>
          <w:bCs/>
          <w:color w:val="auto"/>
          <w:szCs w:val="32"/>
        </w:rPr>
        <w:t>．适用范围</w:t>
      </w:r>
    </w:p>
    <w:p>
      <w:pPr>
        <w:overflowPunct w:val="0"/>
        <w:spacing w:line="560" w:lineRule="exact"/>
        <w:ind w:firstLine="640" w:firstLineChars="200"/>
        <w:textAlignment w:val="baseline"/>
        <w:rPr>
          <w:rFonts w:hint="eastAsia" w:hAnsi="仿宋_GB2312" w:cs="仿宋_GB2312"/>
          <w:color w:val="auto"/>
          <w:szCs w:val="32"/>
        </w:rPr>
      </w:pPr>
      <w:r>
        <w:rPr>
          <w:rFonts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w:t>
      </w:r>
      <w:r>
        <w:rPr>
          <w:rFonts w:hint="eastAsia" w:hAnsi="仿宋_GB2312" w:cs="仿宋_GB2312"/>
          <w:color w:val="auto"/>
          <w:szCs w:val="32"/>
          <w:lang w:val="en-US" w:eastAsia="zh-CN"/>
        </w:rPr>
        <w:t>8</w:t>
      </w:r>
      <w:r>
        <w:rPr>
          <w:rFonts w:hint="eastAsia" w:hAnsi="仿宋_GB2312" w:cs="仿宋_GB2312"/>
          <w:color w:val="auto"/>
          <w:szCs w:val="32"/>
        </w:rPr>
        <w:t>月</w:t>
      </w:r>
      <w:r>
        <w:rPr>
          <w:rFonts w:hint="eastAsia" w:hAnsi="仿宋_GB2312" w:cs="仿宋_GB2312"/>
          <w:color w:val="auto"/>
          <w:szCs w:val="32"/>
          <w:lang w:val="en-US" w:eastAsia="zh-CN"/>
        </w:rPr>
        <w:t>30</w:t>
      </w:r>
      <w:r>
        <w:rPr>
          <w:rFonts w:hint="eastAsia" w:hAnsi="仿宋_GB2312" w:cs="仿宋_GB2312"/>
          <w:color w:val="auto"/>
          <w:szCs w:val="32"/>
        </w:rPr>
        <w:t>日</w:t>
      </w:r>
      <w:r>
        <w:rPr>
          <w:rFonts w:hint="eastAsia" w:hAnsi="仿宋_GB2312" w:cs="仿宋_GB2312"/>
          <w:color w:val="auto"/>
          <w:szCs w:val="32"/>
          <w:lang w:eastAsia="zh-CN"/>
        </w:rPr>
        <w:t>前已申报</w:t>
      </w:r>
      <w:r>
        <w:rPr>
          <w:rFonts w:hint="eastAsia" w:hAnsi="仿宋_GB2312" w:cs="仿宋_GB2312"/>
          <w:color w:val="auto"/>
          <w:szCs w:val="32"/>
        </w:rPr>
        <w:t>增城区2019年知识产权示范企业</w:t>
      </w:r>
      <w:r>
        <w:rPr>
          <w:rFonts w:hint="eastAsia" w:hAnsi="仿宋_GB2312" w:cs="仿宋_GB2312"/>
          <w:color w:val="auto"/>
          <w:szCs w:val="32"/>
          <w:lang w:eastAsia="zh-CN"/>
        </w:rPr>
        <w:t>，并于</w:t>
      </w:r>
      <w:r>
        <w:rPr>
          <w:rFonts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w:t>
      </w:r>
      <w:r>
        <w:rPr>
          <w:rFonts w:hint="eastAsia" w:hAnsi="仿宋_GB2312" w:cs="仿宋_GB2312"/>
          <w:color w:val="auto"/>
          <w:szCs w:val="32"/>
          <w:lang w:val="en-US" w:eastAsia="zh-CN"/>
        </w:rPr>
        <w:t>9</w:t>
      </w:r>
      <w:r>
        <w:rPr>
          <w:rFonts w:hint="eastAsia" w:hAnsi="仿宋_GB2312" w:cs="仿宋_GB2312"/>
          <w:color w:val="auto"/>
          <w:szCs w:val="32"/>
        </w:rPr>
        <w:t>月1日</w:t>
      </w:r>
      <w:r>
        <w:rPr>
          <w:rFonts w:hAnsi="仿宋_GB2312" w:cs="仿宋_GB2312"/>
          <w:color w:val="auto"/>
          <w:szCs w:val="32"/>
        </w:rPr>
        <w:t>-- 20</w:t>
      </w:r>
      <w:r>
        <w:rPr>
          <w:rFonts w:hint="eastAsia" w:hAnsi="仿宋_GB2312" w:cs="仿宋_GB2312"/>
          <w:color w:val="auto"/>
          <w:szCs w:val="32"/>
          <w:lang w:val="en-US" w:eastAsia="zh-CN"/>
        </w:rPr>
        <w:t>20</w:t>
      </w:r>
      <w:r>
        <w:rPr>
          <w:rFonts w:hint="eastAsia" w:hAnsi="仿宋_GB2312" w:cs="仿宋_GB2312"/>
          <w:color w:val="auto"/>
          <w:szCs w:val="32"/>
        </w:rPr>
        <w:t>年</w:t>
      </w:r>
      <w:r>
        <w:rPr>
          <w:rFonts w:hint="eastAsia" w:hAnsi="仿宋_GB2312" w:cs="仿宋_GB2312"/>
          <w:color w:val="auto"/>
          <w:szCs w:val="32"/>
          <w:lang w:val="en-US" w:eastAsia="zh-CN"/>
        </w:rPr>
        <w:t>3</w:t>
      </w:r>
      <w:r>
        <w:rPr>
          <w:rFonts w:hint="eastAsia" w:hAnsi="仿宋_GB2312" w:cs="仿宋_GB2312"/>
          <w:color w:val="auto"/>
          <w:szCs w:val="32"/>
        </w:rPr>
        <w:t>月</w:t>
      </w:r>
      <w:r>
        <w:rPr>
          <w:rFonts w:hAnsi="仿宋_GB2312" w:cs="仿宋_GB2312"/>
          <w:color w:val="auto"/>
          <w:szCs w:val="32"/>
        </w:rPr>
        <w:t>31</w:t>
      </w:r>
      <w:r>
        <w:rPr>
          <w:rFonts w:hint="eastAsia" w:hAnsi="仿宋_GB2312" w:cs="仿宋_GB2312"/>
          <w:color w:val="auto"/>
          <w:szCs w:val="32"/>
        </w:rPr>
        <w:t>日</w:t>
      </w:r>
      <w:r>
        <w:rPr>
          <w:rFonts w:hint="eastAsia" w:hAnsi="仿宋_GB2312" w:cs="仿宋_GB2312"/>
          <w:color w:val="auto"/>
          <w:szCs w:val="32"/>
          <w:lang w:eastAsia="zh-CN"/>
        </w:rPr>
        <w:t>完成项目指标要求的企业。</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2．奖励标准</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给予区知识产权示范企业一次性奖励</w:t>
      </w:r>
      <w:r>
        <w:rPr>
          <w:rFonts w:hAnsi="仿宋_GB2312" w:cs="仿宋_GB2312"/>
          <w:color w:val="auto"/>
          <w:szCs w:val="32"/>
        </w:rPr>
        <w:t>10</w:t>
      </w:r>
      <w:r>
        <w:rPr>
          <w:rFonts w:hint="eastAsia" w:hAnsi="仿宋_GB2312" w:cs="仿宋_GB2312"/>
          <w:color w:val="auto"/>
          <w:szCs w:val="32"/>
        </w:rPr>
        <w:t>万元，</w:t>
      </w:r>
      <w:r>
        <w:rPr>
          <w:rFonts w:hint="eastAsia" w:hAnsi="仿宋_GB2312" w:cs="仿宋_GB2312"/>
          <w:color w:val="auto"/>
          <w:szCs w:val="32"/>
          <w:lang w:eastAsia="zh-CN"/>
        </w:rPr>
        <w:t>原则上不超过</w:t>
      </w:r>
      <w:r>
        <w:rPr>
          <w:rFonts w:hint="eastAsia" w:hAnsi="仿宋_GB2312" w:cs="仿宋_GB2312"/>
          <w:color w:val="auto"/>
          <w:szCs w:val="32"/>
          <w:lang w:val="en-US" w:eastAsia="zh-CN"/>
        </w:rPr>
        <w:t>10家企业</w:t>
      </w:r>
      <w:r>
        <w:rPr>
          <w:rFonts w:hint="eastAsia" w:hAnsi="仿宋_GB2312" w:cs="仿宋_GB2312"/>
          <w:color w:val="auto"/>
          <w:szCs w:val="32"/>
        </w:rPr>
        <w:t>。</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3．申报表格（相关证明材料详见附表7注意事项）</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附表7：增城区</w:t>
      </w:r>
      <w:r>
        <w:rPr>
          <w:rFonts w:hint="eastAsia" w:hAnsi="仿宋_GB2312" w:cs="仿宋_GB2312"/>
          <w:color w:val="auto"/>
          <w:szCs w:val="32"/>
        </w:rPr>
        <w:t>知识产权示范企业</w:t>
      </w:r>
      <w:r>
        <w:rPr>
          <w:rFonts w:hint="eastAsia" w:hAnsi="仿宋_GB2312" w:cs="仿宋_GB2312"/>
          <w:bCs/>
          <w:color w:val="auto"/>
          <w:szCs w:val="32"/>
        </w:rPr>
        <w:t>奖励申报表；</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附表8：区</w:t>
      </w:r>
      <w:r>
        <w:rPr>
          <w:rFonts w:hint="eastAsia" w:hAnsi="仿宋_GB2312" w:cs="仿宋_GB2312"/>
          <w:color w:val="auto"/>
          <w:szCs w:val="32"/>
        </w:rPr>
        <w:t>知识产权</w:t>
      </w:r>
      <w:r>
        <w:rPr>
          <w:rFonts w:hint="eastAsia" w:hAnsi="仿宋_GB2312" w:cs="仿宋_GB2312"/>
          <w:bCs/>
          <w:color w:val="auto"/>
          <w:szCs w:val="32"/>
          <w:lang w:eastAsia="zh-CN"/>
        </w:rPr>
        <w:t>示范</w:t>
      </w:r>
      <w:r>
        <w:rPr>
          <w:rFonts w:hint="eastAsia" w:hAnsi="仿宋_GB2312" w:cs="仿宋_GB2312"/>
          <w:bCs/>
          <w:color w:val="auto"/>
          <w:szCs w:val="32"/>
        </w:rPr>
        <w:t>企业</w:t>
      </w:r>
      <w:r>
        <w:rPr>
          <w:rFonts w:hint="eastAsia" w:hAnsi="仿宋_GB2312" w:cs="仿宋_GB2312"/>
          <w:bCs/>
          <w:color w:val="auto"/>
          <w:szCs w:val="32"/>
          <w:lang w:eastAsia="zh-CN"/>
        </w:rPr>
        <w:t>申请授权</w:t>
      </w:r>
      <w:r>
        <w:rPr>
          <w:rFonts w:hint="eastAsia" w:hAnsi="仿宋_GB2312" w:cs="仿宋_GB2312"/>
          <w:bCs/>
          <w:color w:val="auto"/>
          <w:szCs w:val="32"/>
        </w:rPr>
        <w:t>专利明细清单；</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w:t>
      </w:r>
      <w:r>
        <w:rPr>
          <w:rFonts w:hAnsi="仿宋_GB2312" w:cs="仿宋_GB2312"/>
          <w:bCs/>
          <w:color w:val="auto"/>
          <w:szCs w:val="32"/>
        </w:rPr>
        <w:t>14</w:t>
      </w:r>
      <w:r>
        <w:rPr>
          <w:rFonts w:hint="eastAsia" w:hAnsi="仿宋_GB2312" w:cs="仿宋_GB2312"/>
          <w:bCs/>
          <w:color w:val="auto"/>
          <w:szCs w:val="32"/>
        </w:rPr>
        <w:t>：授权委托书。</w:t>
      </w:r>
    </w:p>
    <w:p>
      <w:pPr>
        <w:overflowPunct w:val="0"/>
        <w:spacing w:line="560" w:lineRule="exact"/>
        <w:ind w:firstLine="640" w:firstLineChars="200"/>
        <w:textAlignment w:val="baseline"/>
        <w:rPr>
          <w:rFonts w:hint="eastAsia" w:ascii="楷体_GB2312" w:hAnsi="仿宋_GB2312" w:eastAsia="楷体_GB2312" w:cs="仿宋_GB2312"/>
          <w:color w:val="auto"/>
          <w:szCs w:val="32"/>
        </w:rPr>
      </w:pPr>
      <w:r>
        <w:rPr>
          <w:rFonts w:hint="eastAsia" w:ascii="楷体_GB2312" w:hAnsi="仿宋_GB2312" w:eastAsia="楷体_GB2312" w:cs="仿宋_GB2312"/>
          <w:color w:val="auto"/>
          <w:szCs w:val="32"/>
        </w:rPr>
        <w:t>（五）关于对知识产权项目的配套奖励</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1</w:t>
      </w:r>
      <w:r>
        <w:rPr>
          <w:rFonts w:hint="eastAsia" w:hAnsi="仿宋_GB2312" w:cs="仿宋_GB2312"/>
          <w:color w:val="auto"/>
          <w:szCs w:val="32"/>
        </w:rPr>
        <w:t>．适用范围</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年1月1日</w:t>
      </w:r>
      <w:r>
        <w:rPr>
          <w:rFonts w:hAnsi="仿宋_GB2312" w:cs="仿宋_GB2312"/>
          <w:color w:val="auto"/>
          <w:szCs w:val="32"/>
        </w:rPr>
        <w:t>-- 201</w:t>
      </w:r>
      <w:r>
        <w:rPr>
          <w:rFonts w:hint="eastAsia" w:hAnsi="仿宋_GB2312" w:cs="仿宋_GB2312"/>
          <w:color w:val="auto"/>
          <w:szCs w:val="32"/>
          <w:lang w:val="en-US" w:eastAsia="zh-CN"/>
        </w:rPr>
        <w:t>9</w:t>
      </w:r>
      <w:r>
        <w:rPr>
          <w:rFonts w:hint="eastAsia" w:hAnsi="仿宋_GB2312" w:cs="仿宋_GB2312"/>
          <w:color w:val="auto"/>
          <w:szCs w:val="32"/>
        </w:rPr>
        <w:t>年</w:t>
      </w:r>
      <w:r>
        <w:rPr>
          <w:rFonts w:hAnsi="仿宋_GB2312" w:cs="仿宋_GB2312"/>
          <w:color w:val="auto"/>
          <w:szCs w:val="32"/>
        </w:rPr>
        <w:t>12</w:t>
      </w:r>
      <w:r>
        <w:rPr>
          <w:rFonts w:hint="eastAsia" w:hAnsi="仿宋_GB2312" w:cs="仿宋_GB2312"/>
          <w:color w:val="auto"/>
          <w:szCs w:val="32"/>
        </w:rPr>
        <w:t>月</w:t>
      </w:r>
      <w:r>
        <w:rPr>
          <w:rFonts w:hAnsi="仿宋_GB2312" w:cs="仿宋_GB2312"/>
          <w:color w:val="auto"/>
          <w:szCs w:val="32"/>
        </w:rPr>
        <w:t>31</w:t>
      </w:r>
      <w:r>
        <w:rPr>
          <w:rFonts w:hint="eastAsia" w:hAnsi="仿宋_GB2312" w:cs="仿宋_GB2312"/>
          <w:color w:val="auto"/>
          <w:szCs w:val="32"/>
        </w:rPr>
        <w:t>日被列为国家、省或市级知识产权项目的企业。</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2．奖励标准</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对国家级知识产权项目，给予100%的资金配套，最高500万元；</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对省级知识产权项目，给予70%的资金配套，最高300万元；</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对市级知识产权项目，给予50%的资金配套，最高100万元。</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同一专利项目在上一年度获得不同级别的专利奖奖励或认定，只对最高级别奖励或认定给予配套扶持；同一单位在不同年度取得同一类知识产权认定由低等次向高等次升级的，若低等次知识产权认定已给予配套扶持，再次申报本条规定的配套扶持资金，仅对扶持差额部分给予配套扶持。</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3．申报表格（相关证明材料详见附表9注意事项）</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bCs/>
          <w:color w:val="auto"/>
          <w:szCs w:val="32"/>
        </w:rPr>
        <w:t>附表9：增城区知识产权项目配套奖励申报表；</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w:t>
      </w:r>
      <w:r>
        <w:rPr>
          <w:rFonts w:hAnsi="仿宋_GB2312" w:cs="仿宋_GB2312"/>
          <w:bCs/>
          <w:color w:val="auto"/>
          <w:szCs w:val="32"/>
        </w:rPr>
        <w:t>14</w:t>
      </w:r>
      <w:r>
        <w:rPr>
          <w:rFonts w:hint="eastAsia" w:hAnsi="仿宋_GB2312" w:cs="仿宋_GB2312"/>
          <w:bCs/>
          <w:color w:val="auto"/>
          <w:szCs w:val="32"/>
        </w:rPr>
        <w:t>：授权委托书。</w:t>
      </w:r>
    </w:p>
    <w:p>
      <w:pPr>
        <w:overflowPunct w:val="0"/>
        <w:spacing w:line="560" w:lineRule="exact"/>
        <w:ind w:firstLine="640" w:firstLineChars="200"/>
        <w:textAlignment w:val="baseline"/>
        <w:rPr>
          <w:rFonts w:hint="eastAsia" w:ascii="楷体_GB2312" w:hAnsi="仿宋_GB2312" w:eastAsia="楷体_GB2312" w:cs="仿宋_GB2312"/>
          <w:color w:val="auto"/>
          <w:szCs w:val="32"/>
        </w:rPr>
      </w:pPr>
      <w:r>
        <w:rPr>
          <w:rFonts w:hint="eastAsia" w:ascii="楷体_GB2312" w:hAnsi="仿宋_GB2312" w:eastAsia="楷体_GB2312" w:cs="仿宋_GB2312"/>
          <w:color w:val="auto"/>
          <w:szCs w:val="32"/>
        </w:rPr>
        <w:t>（六）关于对专利代理机构的奖励</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1</w:t>
      </w:r>
      <w:r>
        <w:rPr>
          <w:rFonts w:hint="eastAsia" w:hAnsi="仿宋_GB2312" w:cs="仿宋_GB2312"/>
          <w:color w:val="auto"/>
          <w:szCs w:val="32"/>
        </w:rPr>
        <w:t>．适用范围</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授权公告日在</w:t>
      </w:r>
      <w:r>
        <w:rPr>
          <w:rFonts w:hAnsi="仿宋_GB2312" w:cs="仿宋_GB2312"/>
          <w:color w:val="auto"/>
          <w:szCs w:val="32"/>
        </w:rPr>
        <w:t>201</w:t>
      </w:r>
      <w:r>
        <w:rPr>
          <w:rFonts w:hint="eastAsia" w:hAnsi="仿宋_GB2312" w:cs="仿宋_GB2312"/>
          <w:color w:val="auto"/>
          <w:szCs w:val="32"/>
          <w:lang w:val="en-US" w:eastAsia="zh-CN"/>
        </w:rPr>
        <w:t>9</w:t>
      </w:r>
      <w:r>
        <w:rPr>
          <w:rFonts w:hint="eastAsia" w:hAnsi="仿宋_GB2312" w:cs="仿宋_GB2312"/>
          <w:color w:val="auto"/>
          <w:szCs w:val="32"/>
        </w:rPr>
        <w:t>年1月1日</w:t>
      </w:r>
      <w:r>
        <w:rPr>
          <w:rFonts w:hAnsi="仿宋_GB2312" w:cs="仿宋_GB2312"/>
          <w:color w:val="auto"/>
          <w:szCs w:val="32"/>
        </w:rPr>
        <w:t>-- 201</w:t>
      </w:r>
      <w:r>
        <w:rPr>
          <w:rFonts w:hint="eastAsia" w:hAnsi="仿宋_GB2312" w:cs="仿宋_GB2312"/>
          <w:color w:val="auto"/>
          <w:szCs w:val="32"/>
          <w:lang w:val="en-US" w:eastAsia="zh-CN"/>
        </w:rPr>
        <w:t>9</w:t>
      </w:r>
      <w:r>
        <w:rPr>
          <w:rFonts w:hint="eastAsia" w:hAnsi="仿宋_GB2312" w:cs="仿宋_GB2312"/>
          <w:color w:val="auto"/>
          <w:szCs w:val="32"/>
        </w:rPr>
        <w:t>年</w:t>
      </w:r>
      <w:r>
        <w:rPr>
          <w:rFonts w:hAnsi="仿宋_GB2312" w:cs="仿宋_GB2312"/>
          <w:color w:val="auto"/>
          <w:szCs w:val="32"/>
        </w:rPr>
        <w:t>12</w:t>
      </w:r>
      <w:r>
        <w:rPr>
          <w:rFonts w:hint="eastAsia" w:hAnsi="仿宋_GB2312" w:cs="仿宋_GB2312"/>
          <w:color w:val="auto"/>
          <w:szCs w:val="32"/>
        </w:rPr>
        <w:t>月</w:t>
      </w:r>
      <w:r>
        <w:rPr>
          <w:rFonts w:hAnsi="仿宋_GB2312" w:cs="仿宋_GB2312"/>
          <w:color w:val="auto"/>
          <w:szCs w:val="32"/>
        </w:rPr>
        <w:t>31</w:t>
      </w:r>
      <w:r>
        <w:rPr>
          <w:rFonts w:hint="eastAsia" w:hAnsi="仿宋_GB2312" w:cs="仿宋_GB2312"/>
          <w:color w:val="auto"/>
          <w:szCs w:val="32"/>
        </w:rPr>
        <w:t>日的发明、实用新型或外观设计专利。</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2</w:t>
      </w:r>
      <w:r>
        <w:rPr>
          <w:rFonts w:hint="eastAsia" w:hAnsi="仿宋_GB2312" w:cs="仿宋_GB2312"/>
          <w:color w:val="auto"/>
          <w:szCs w:val="32"/>
        </w:rPr>
        <w:t>．奖励标准</w:t>
      </w:r>
    </w:p>
    <w:p>
      <w:pPr>
        <w:overflowPunct w:val="0"/>
        <w:spacing w:line="560" w:lineRule="exact"/>
        <w:ind w:firstLine="640" w:firstLineChars="200"/>
        <w:textAlignment w:val="baseline"/>
        <w:rPr>
          <w:rFonts w:hAnsi="仿宋_GB2312" w:cs="仿宋_GB2312"/>
          <w:color w:val="auto"/>
          <w:szCs w:val="32"/>
        </w:rPr>
      </w:pPr>
      <w:r>
        <w:rPr>
          <w:rFonts w:hint="eastAsia" w:cs="仿宋_GB2312"/>
          <w:color w:val="auto"/>
          <w:szCs w:val="32"/>
          <w:lang w:eastAsia="zh-CN"/>
        </w:rPr>
        <w:t>（</w:t>
      </w:r>
      <w:r>
        <w:rPr>
          <w:rFonts w:hint="eastAsia" w:cs="仿宋_GB2312"/>
          <w:color w:val="auto"/>
          <w:szCs w:val="32"/>
          <w:lang w:val="en-US" w:eastAsia="zh-CN"/>
        </w:rPr>
        <w:t>1</w:t>
      </w:r>
      <w:r>
        <w:rPr>
          <w:rFonts w:hint="eastAsia" w:cs="仿宋_GB2312"/>
          <w:color w:val="auto"/>
          <w:szCs w:val="32"/>
          <w:lang w:eastAsia="zh-CN"/>
        </w:rPr>
        <w:t>）</w:t>
      </w:r>
      <w:r>
        <w:rPr>
          <w:rFonts w:hint="eastAsia" w:hAnsi="仿宋_GB2312" w:cs="仿宋_GB2312"/>
          <w:color w:val="auto"/>
          <w:szCs w:val="32"/>
        </w:rPr>
        <w:t>协助我区专利权人获得上述专利授权，且在本区设立注册的专利代理机构以及代理机构在本区设立的分支机构或办事处。</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代理发明专利授权的，</w:t>
      </w:r>
      <w:r>
        <w:rPr>
          <w:rFonts w:hAnsi="仿宋_GB2312" w:cs="仿宋_GB2312"/>
          <w:color w:val="auto"/>
          <w:szCs w:val="32"/>
        </w:rPr>
        <w:t>1000</w:t>
      </w:r>
      <w:r>
        <w:rPr>
          <w:rFonts w:hint="eastAsia" w:hAnsi="仿宋_GB2312" w:cs="仿宋_GB2312"/>
          <w:color w:val="auto"/>
          <w:szCs w:val="32"/>
        </w:rPr>
        <w:t>元</w:t>
      </w:r>
      <w:r>
        <w:rPr>
          <w:rFonts w:hAnsi="仿宋_GB2312" w:cs="仿宋_GB2312"/>
          <w:color w:val="auto"/>
          <w:szCs w:val="32"/>
        </w:rPr>
        <w:t>/</w:t>
      </w:r>
      <w:r>
        <w:rPr>
          <w:rFonts w:hint="eastAsia" w:hAnsi="仿宋_GB2312" w:cs="仿宋_GB2312"/>
          <w:color w:val="auto"/>
          <w:szCs w:val="32"/>
        </w:rPr>
        <w:t>件；</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代理实用新型专利授权的，500元/件；</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代理外观设计专利授权的，300元/件；</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每家知识产权专利代理机构每年奖励不超过10万元（不含一次性奖励）</w:t>
      </w:r>
      <w:r>
        <w:rPr>
          <w:rFonts w:hint="eastAsia" w:hAnsi="仿宋_GB2312" w:cs="仿宋_GB2312"/>
          <w:color w:val="auto"/>
          <w:szCs w:val="32"/>
          <w:lang w:eastAsia="zh-CN"/>
        </w:rPr>
        <w:t>。</w:t>
      </w:r>
    </w:p>
    <w:p>
      <w:pPr>
        <w:overflowPunct w:val="0"/>
        <w:spacing w:line="560" w:lineRule="exact"/>
        <w:ind w:firstLine="640" w:firstLineChars="200"/>
        <w:textAlignment w:val="baseline"/>
        <w:rPr>
          <w:rFonts w:hAnsi="仿宋_GB2312" w:cs="仿宋_GB2312"/>
          <w:color w:val="auto"/>
          <w:szCs w:val="32"/>
        </w:rPr>
      </w:pPr>
      <w:r>
        <w:rPr>
          <w:rFonts w:hint="eastAsia" w:cs="仿宋_GB2312"/>
          <w:color w:val="auto"/>
          <w:szCs w:val="32"/>
          <w:lang w:eastAsia="zh-CN"/>
        </w:rPr>
        <w:t>（</w:t>
      </w:r>
      <w:r>
        <w:rPr>
          <w:rFonts w:hint="eastAsia" w:cs="仿宋_GB2312"/>
          <w:color w:val="auto"/>
          <w:szCs w:val="32"/>
          <w:lang w:val="en-US" w:eastAsia="zh-CN"/>
        </w:rPr>
        <w:t>2</w:t>
      </w:r>
      <w:r>
        <w:rPr>
          <w:rFonts w:hint="eastAsia" w:cs="仿宋_GB2312"/>
          <w:color w:val="auto"/>
          <w:szCs w:val="32"/>
          <w:lang w:eastAsia="zh-CN"/>
        </w:rPr>
        <w:t>）</w:t>
      </w:r>
      <w:r>
        <w:rPr>
          <w:rFonts w:hint="eastAsia" w:hAnsi="仿宋_GB2312" w:cs="仿宋_GB2312"/>
          <w:color w:val="auto"/>
          <w:szCs w:val="32"/>
        </w:rPr>
        <w:t>对落户增城区的知识产权专利代理机构（在我区内依法注册和纳税，具有独立的法人资格），运作满一年且首次单年度代理本区专利申请并获得授权数量达到</w:t>
      </w:r>
      <w:r>
        <w:rPr>
          <w:rFonts w:hAnsi="仿宋_GB2312" w:cs="仿宋_GB2312"/>
          <w:color w:val="auto"/>
          <w:szCs w:val="32"/>
        </w:rPr>
        <w:t>50</w:t>
      </w:r>
      <w:r>
        <w:rPr>
          <w:rFonts w:hint="eastAsia" w:hAnsi="仿宋_GB2312" w:cs="仿宋_GB2312"/>
          <w:color w:val="auto"/>
          <w:szCs w:val="32"/>
        </w:rPr>
        <w:t>件以上（含</w:t>
      </w:r>
      <w:r>
        <w:rPr>
          <w:rFonts w:hAnsi="仿宋_GB2312" w:cs="仿宋_GB2312"/>
          <w:color w:val="auto"/>
          <w:szCs w:val="32"/>
        </w:rPr>
        <w:t>50</w:t>
      </w:r>
      <w:r>
        <w:rPr>
          <w:rFonts w:hint="eastAsia" w:hAnsi="仿宋_GB2312" w:cs="仿宋_GB2312"/>
          <w:color w:val="auto"/>
          <w:szCs w:val="32"/>
        </w:rPr>
        <w:t>件）的，一次性奖励</w:t>
      </w:r>
      <w:r>
        <w:rPr>
          <w:rFonts w:hAnsi="仿宋_GB2312" w:cs="仿宋_GB2312"/>
          <w:color w:val="auto"/>
          <w:szCs w:val="32"/>
        </w:rPr>
        <w:t>10</w:t>
      </w:r>
      <w:r>
        <w:rPr>
          <w:rFonts w:hint="eastAsia" w:hAnsi="仿宋_GB2312" w:cs="仿宋_GB2312"/>
          <w:color w:val="auto"/>
          <w:szCs w:val="32"/>
        </w:rPr>
        <w:t>万元。</w:t>
      </w:r>
    </w:p>
    <w:p>
      <w:pPr>
        <w:overflowPunct w:val="0"/>
        <w:spacing w:line="560" w:lineRule="exact"/>
        <w:ind w:firstLine="640" w:firstLineChars="200"/>
        <w:textAlignment w:val="baseline"/>
        <w:rPr>
          <w:rFonts w:hAnsi="仿宋_GB2312" w:cs="仿宋_GB2312"/>
          <w:color w:val="auto"/>
          <w:szCs w:val="32"/>
        </w:rPr>
      </w:pPr>
      <w:r>
        <w:rPr>
          <w:rFonts w:hint="eastAsia" w:cs="仿宋_GB2312"/>
          <w:color w:val="auto"/>
          <w:szCs w:val="32"/>
          <w:lang w:eastAsia="zh-CN"/>
        </w:rPr>
        <w:t>（</w:t>
      </w:r>
      <w:r>
        <w:rPr>
          <w:rFonts w:hint="eastAsia" w:cs="仿宋_GB2312"/>
          <w:color w:val="auto"/>
          <w:szCs w:val="32"/>
          <w:lang w:val="en-US" w:eastAsia="zh-CN"/>
        </w:rPr>
        <w:t>3</w:t>
      </w:r>
      <w:r>
        <w:rPr>
          <w:rFonts w:hint="eastAsia" w:cs="仿宋_GB2312"/>
          <w:color w:val="auto"/>
          <w:szCs w:val="32"/>
          <w:lang w:eastAsia="zh-CN"/>
        </w:rPr>
        <w:t>）</w:t>
      </w:r>
      <w:r>
        <w:rPr>
          <w:rFonts w:hint="eastAsia" w:hAnsi="仿宋_GB2312" w:cs="仿宋_GB2312"/>
          <w:color w:val="auto"/>
          <w:szCs w:val="32"/>
        </w:rPr>
        <w:t>在国家知识产权局审批，广州市行政辖区内注册的代理机构（且具备独立法人资格），年度协助我区企事业单位20家以上，且代理我区专利申请并获得授权50件以上，其中发明专利授权量占30%，一次性奖励5万元。</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3．申报表格（相关证明材料详见附表10注意事项）</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附表10：增城区专利代理机构奖励申报表；</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附表11：代理增城区专利授权清单；</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bCs/>
          <w:color w:val="auto"/>
          <w:szCs w:val="32"/>
        </w:rPr>
        <w:t>附表</w:t>
      </w:r>
      <w:r>
        <w:rPr>
          <w:rFonts w:hAnsi="仿宋_GB2312" w:cs="仿宋_GB2312"/>
          <w:bCs/>
          <w:color w:val="auto"/>
          <w:szCs w:val="32"/>
        </w:rPr>
        <w:t>14</w:t>
      </w:r>
      <w:r>
        <w:rPr>
          <w:rFonts w:hint="eastAsia" w:hAnsi="仿宋_GB2312" w:cs="仿宋_GB2312"/>
          <w:bCs/>
          <w:color w:val="auto"/>
          <w:szCs w:val="32"/>
        </w:rPr>
        <w:t>：授权委托书。</w:t>
      </w:r>
    </w:p>
    <w:p>
      <w:pPr>
        <w:overflowPunct w:val="0"/>
        <w:spacing w:line="560" w:lineRule="exact"/>
        <w:ind w:firstLine="640" w:firstLineChars="200"/>
        <w:textAlignment w:val="baseline"/>
        <w:rPr>
          <w:rFonts w:hint="eastAsia" w:ascii="楷体_GB2312" w:hAnsi="仿宋_GB2312" w:eastAsia="楷体_GB2312" w:cs="仿宋_GB2312"/>
          <w:color w:val="auto"/>
          <w:szCs w:val="32"/>
        </w:rPr>
      </w:pPr>
      <w:r>
        <w:rPr>
          <w:rFonts w:hint="eastAsia" w:ascii="楷体_GB2312" w:hAnsi="仿宋_GB2312" w:eastAsia="楷体_GB2312" w:cs="仿宋_GB2312"/>
          <w:color w:val="auto"/>
          <w:szCs w:val="32"/>
        </w:rPr>
        <w:t>（七）关于对专利质押融资的贴息资助</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1</w:t>
      </w:r>
      <w:r>
        <w:rPr>
          <w:rFonts w:hint="eastAsia" w:hAnsi="仿宋_GB2312" w:cs="仿宋_GB2312"/>
          <w:color w:val="auto"/>
          <w:szCs w:val="32"/>
        </w:rPr>
        <w:t>．适用范围</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201</w:t>
      </w:r>
      <w:r>
        <w:rPr>
          <w:rFonts w:hint="eastAsia" w:hAnsi="仿宋_GB2312" w:cs="仿宋_GB2312"/>
          <w:color w:val="auto"/>
          <w:szCs w:val="32"/>
          <w:lang w:val="en-US" w:eastAsia="zh-CN"/>
        </w:rPr>
        <w:t>8</w:t>
      </w:r>
      <w:r>
        <w:rPr>
          <w:rFonts w:hint="eastAsia" w:hAnsi="仿宋_GB2312" w:cs="仿宋_GB2312"/>
          <w:color w:val="auto"/>
          <w:szCs w:val="32"/>
        </w:rPr>
        <w:t>年1月1日起将其依法拥有的发明、实用新型和外观设计专利的专利权作质押，从银行金融机构或市内知识产权交易平台取得信贷资金，并于201</w:t>
      </w:r>
      <w:r>
        <w:rPr>
          <w:rFonts w:hint="eastAsia" w:hAnsi="仿宋_GB2312" w:cs="仿宋_GB2312"/>
          <w:color w:val="auto"/>
          <w:szCs w:val="32"/>
          <w:lang w:val="en-US" w:eastAsia="zh-CN"/>
        </w:rPr>
        <w:t>9</w:t>
      </w:r>
      <w:r>
        <w:rPr>
          <w:rFonts w:hint="eastAsia" w:hAnsi="仿宋_GB2312" w:cs="仿宋_GB2312"/>
          <w:color w:val="auto"/>
          <w:szCs w:val="32"/>
        </w:rPr>
        <w:t>年1月1日后还清贷款的（还款期不超过一年）。</w:t>
      </w:r>
    </w:p>
    <w:p>
      <w:pPr>
        <w:overflowPunct w:val="0"/>
        <w:spacing w:line="560" w:lineRule="exact"/>
        <w:ind w:firstLine="640" w:firstLineChars="200"/>
        <w:textAlignment w:val="baseline"/>
        <w:rPr>
          <w:rFonts w:hAnsi="仿宋_GB2312" w:cs="仿宋_GB2312"/>
          <w:color w:val="auto"/>
          <w:szCs w:val="32"/>
        </w:rPr>
      </w:pPr>
      <w:r>
        <w:rPr>
          <w:rFonts w:hAnsi="仿宋_GB2312" w:cs="仿宋_GB2312"/>
          <w:color w:val="auto"/>
          <w:szCs w:val="32"/>
        </w:rPr>
        <w:t>2</w:t>
      </w:r>
      <w:r>
        <w:rPr>
          <w:rFonts w:hint="eastAsia" w:hAnsi="仿宋_GB2312" w:cs="仿宋_GB2312"/>
          <w:color w:val="auto"/>
          <w:szCs w:val="32"/>
        </w:rPr>
        <w:t>．资助标准</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按实际获得贷款额</w:t>
      </w:r>
      <w:r>
        <w:rPr>
          <w:rFonts w:hAnsi="仿宋_GB2312" w:cs="仿宋_GB2312"/>
          <w:color w:val="auto"/>
          <w:szCs w:val="32"/>
        </w:rPr>
        <w:t>3%</w:t>
      </w:r>
      <w:r>
        <w:rPr>
          <w:rFonts w:hint="eastAsia" w:hAnsi="仿宋_GB2312" w:cs="仿宋_GB2312"/>
          <w:color w:val="auto"/>
          <w:szCs w:val="32"/>
        </w:rPr>
        <w:t>给予贷款贴息资助；每家中小企业每年可申请</w:t>
      </w:r>
      <w:r>
        <w:rPr>
          <w:rFonts w:hAnsi="仿宋_GB2312" w:cs="仿宋_GB2312"/>
          <w:color w:val="auto"/>
          <w:szCs w:val="32"/>
        </w:rPr>
        <w:t>1</w:t>
      </w:r>
      <w:r>
        <w:rPr>
          <w:rFonts w:hint="eastAsia" w:hAnsi="仿宋_GB2312" w:cs="仿宋_GB2312"/>
          <w:color w:val="auto"/>
          <w:szCs w:val="32"/>
        </w:rPr>
        <w:t>笔贴息补助，贴息额不超过</w:t>
      </w:r>
      <w:r>
        <w:rPr>
          <w:rFonts w:hAnsi="仿宋_GB2312" w:cs="仿宋_GB2312"/>
          <w:color w:val="auto"/>
          <w:szCs w:val="32"/>
        </w:rPr>
        <w:t>50</w:t>
      </w:r>
      <w:r>
        <w:rPr>
          <w:rFonts w:hint="eastAsia" w:hAnsi="仿宋_GB2312" w:cs="仿宋_GB2312"/>
          <w:color w:val="auto"/>
          <w:szCs w:val="32"/>
        </w:rPr>
        <w:t>万元。</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3．申报表格（相关证明材料详见附表</w:t>
      </w:r>
      <w:r>
        <w:rPr>
          <w:rFonts w:hAnsi="仿宋_GB2312" w:cs="仿宋_GB2312"/>
          <w:color w:val="auto"/>
          <w:szCs w:val="32"/>
        </w:rPr>
        <w:t>12</w:t>
      </w:r>
      <w:r>
        <w:rPr>
          <w:rFonts w:hint="eastAsia" w:hAnsi="仿宋_GB2312" w:cs="仿宋_GB2312"/>
          <w:color w:val="auto"/>
          <w:szCs w:val="32"/>
        </w:rPr>
        <w:t>注意事项）</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w:t>
      </w:r>
      <w:r>
        <w:rPr>
          <w:rFonts w:hAnsi="仿宋_GB2312" w:cs="仿宋_GB2312"/>
          <w:bCs/>
          <w:color w:val="auto"/>
          <w:szCs w:val="32"/>
        </w:rPr>
        <w:t>12</w:t>
      </w:r>
      <w:r>
        <w:rPr>
          <w:rFonts w:hint="eastAsia" w:hAnsi="仿宋_GB2312" w:cs="仿宋_GB2312"/>
          <w:bCs/>
          <w:color w:val="auto"/>
          <w:szCs w:val="32"/>
        </w:rPr>
        <w:t>：增城区专利质押融资贴息资助申报表；</w:t>
      </w:r>
    </w:p>
    <w:p>
      <w:pPr>
        <w:overflowPunct w:val="0"/>
        <w:spacing w:line="560" w:lineRule="exact"/>
        <w:ind w:firstLine="640" w:firstLineChars="200"/>
        <w:textAlignment w:val="baseline"/>
        <w:rPr>
          <w:rFonts w:hAnsi="仿宋_GB2312" w:cs="仿宋_GB2312"/>
          <w:bCs/>
          <w:color w:val="auto"/>
          <w:szCs w:val="32"/>
        </w:rPr>
      </w:pPr>
      <w:r>
        <w:rPr>
          <w:rFonts w:hint="eastAsia" w:hAnsi="仿宋_GB2312" w:cs="仿宋_GB2312"/>
          <w:bCs/>
          <w:color w:val="auto"/>
          <w:szCs w:val="32"/>
        </w:rPr>
        <w:t>附表</w:t>
      </w:r>
      <w:r>
        <w:rPr>
          <w:rFonts w:hAnsi="仿宋_GB2312" w:cs="仿宋_GB2312"/>
          <w:bCs/>
          <w:color w:val="auto"/>
          <w:szCs w:val="32"/>
        </w:rPr>
        <w:t>13</w:t>
      </w:r>
      <w:r>
        <w:rPr>
          <w:rFonts w:hint="eastAsia" w:hAnsi="仿宋_GB2312" w:cs="仿宋_GB2312"/>
          <w:bCs/>
          <w:color w:val="auto"/>
          <w:szCs w:val="32"/>
        </w:rPr>
        <w:t>：专利权质押清单；</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bCs/>
          <w:color w:val="auto"/>
          <w:szCs w:val="32"/>
        </w:rPr>
        <w:t>附表</w:t>
      </w:r>
      <w:r>
        <w:rPr>
          <w:rFonts w:hAnsi="仿宋_GB2312" w:cs="仿宋_GB2312"/>
          <w:bCs/>
          <w:color w:val="auto"/>
          <w:szCs w:val="32"/>
        </w:rPr>
        <w:t>14</w:t>
      </w:r>
      <w:r>
        <w:rPr>
          <w:rFonts w:hint="eastAsia" w:hAnsi="仿宋_GB2312" w:cs="仿宋_GB2312"/>
          <w:bCs/>
          <w:color w:val="auto"/>
          <w:szCs w:val="32"/>
        </w:rPr>
        <w:t>：授权委托书。</w:t>
      </w:r>
    </w:p>
    <w:p>
      <w:pPr>
        <w:overflowPunct w:val="0"/>
        <w:spacing w:line="560" w:lineRule="exact"/>
        <w:ind w:firstLine="640" w:firstLineChars="200"/>
        <w:textAlignment w:val="baseline"/>
        <w:rPr>
          <w:rFonts w:ascii="黑体" w:hAnsi="黑体" w:eastAsia="黑体" w:cs="黑体"/>
          <w:bCs/>
          <w:color w:val="auto"/>
          <w:szCs w:val="32"/>
        </w:rPr>
      </w:pPr>
      <w:r>
        <w:rPr>
          <w:rFonts w:hint="eastAsia" w:ascii="黑体" w:hAnsi="黑体" w:eastAsia="黑体" w:cs="黑体"/>
          <w:bCs/>
          <w:color w:val="auto"/>
          <w:szCs w:val="32"/>
        </w:rPr>
        <w:t>二、有关问题说明</w:t>
      </w:r>
    </w:p>
    <w:p>
      <w:pPr>
        <w:overflowPunct w:val="0"/>
        <w:spacing w:line="560" w:lineRule="exact"/>
        <w:ind w:firstLine="640" w:firstLineChars="200"/>
        <w:textAlignment w:val="baseline"/>
        <w:rPr>
          <w:rFonts w:hAnsi="仿宋_GB2312" w:cs="仿宋_GB2312"/>
          <w:color w:val="auto"/>
          <w:szCs w:val="32"/>
        </w:rPr>
      </w:pPr>
      <w:r>
        <w:rPr>
          <w:rFonts w:hint="eastAsia" w:hAnsi="宋体" w:cs="仿宋_GB2312"/>
          <w:color w:val="auto"/>
          <w:szCs w:val="32"/>
        </w:rPr>
        <w:t>（一）</w:t>
      </w:r>
      <w:r>
        <w:rPr>
          <w:rFonts w:hint="eastAsia" w:hAnsi="仿宋_GB2312" w:cs="仿宋_GB2312"/>
          <w:color w:val="auto"/>
          <w:szCs w:val="32"/>
        </w:rPr>
        <w:t>本办法所称职务发明，是指以单位名义提交的专利申请；非职务发明，是指以自然人名义提交的专利申请。</w:t>
      </w:r>
    </w:p>
    <w:p>
      <w:pPr>
        <w:overflowPunct w:val="0"/>
        <w:spacing w:line="560" w:lineRule="exact"/>
        <w:ind w:firstLine="640" w:firstLineChars="200"/>
        <w:textAlignment w:val="baseline"/>
        <w:rPr>
          <w:rFonts w:hAnsi="仿宋_GB2312" w:cs="仿宋_GB2312"/>
          <w:color w:val="auto"/>
          <w:szCs w:val="32"/>
        </w:rPr>
      </w:pPr>
      <w:r>
        <w:rPr>
          <w:rFonts w:hint="eastAsia" w:hAnsi="宋体" w:cs="仿宋_GB2312"/>
          <w:color w:val="auto"/>
          <w:szCs w:val="32"/>
        </w:rPr>
        <w:t>（二）</w:t>
      </w:r>
      <w:r>
        <w:rPr>
          <w:rFonts w:hint="eastAsia" w:hAnsi="仿宋_GB2312" w:cs="仿宋_GB2312"/>
          <w:color w:val="auto"/>
          <w:szCs w:val="32"/>
        </w:rPr>
        <w:t>对于共同申请专利的，以第一权利人为申报人。</w:t>
      </w:r>
    </w:p>
    <w:p>
      <w:pPr>
        <w:overflowPunct w:val="0"/>
        <w:spacing w:line="560" w:lineRule="exact"/>
        <w:ind w:firstLine="640" w:firstLineChars="200"/>
        <w:textAlignment w:val="baseline"/>
        <w:rPr>
          <w:rFonts w:hAnsi="仿宋_GB2312" w:cs="仿宋_GB2312"/>
          <w:color w:val="auto"/>
          <w:szCs w:val="32"/>
        </w:rPr>
      </w:pPr>
      <w:r>
        <w:rPr>
          <w:rFonts w:hint="eastAsia" w:hAnsi="仿宋_GB2312" w:cs="仿宋_GB2312"/>
          <w:color w:val="auto"/>
          <w:szCs w:val="32"/>
        </w:rPr>
        <w:t>（三）本指南解释权归广州市增城区市场监督管理局所有。</w:t>
      </w:r>
    </w:p>
    <w:p>
      <w:pPr>
        <w:keepNext w:val="0"/>
        <w:keepLines w:val="0"/>
        <w:pageBreakBefore w:val="0"/>
        <w:widowControl w:val="0"/>
        <w:kinsoku/>
        <w:wordWrap w:val="0"/>
        <w:overflowPunct w:val="0"/>
        <w:topLinePunct w:val="0"/>
        <w:autoSpaceDE/>
        <w:autoSpaceDN/>
        <w:bidi w:val="0"/>
        <w:adjustRightInd/>
        <w:snapToGrid/>
        <w:spacing w:line="540" w:lineRule="exact"/>
        <w:jc w:val="left"/>
        <w:textAlignment w:val="baseline"/>
        <w:rPr>
          <w:rFonts w:cs="仿宋_GB2312"/>
          <w:szCs w:val="32"/>
        </w:rPr>
      </w:pPr>
    </w:p>
    <w:p>
      <w:pPr>
        <w:spacing w:line="620" w:lineRule="exact"/>
        <w:textAlignment w:val="baseline"/>
        <w:rPr>
          <w:rFonts w:hint="default" w:cs="仿宋_GB2312"/>
          <w:szCs w:val="32"/>
        </w:rPr>
      </w:pPr>
    </w:p>
    <w:sectPr>
      <w:footerReference r:id="rId6" w:type="first"/>
      <w:headerReference r:id="rId3" w:type="default"/>
      <w:footerReference r:id="rId4" w:type="default"/>
      <w:footerReference r:id="rId5" w:type="even"/>
      <w:pgSz w:w="11906" w:h="16838"/>
      <w:pgMar w:top="2098" w:right="1474" w:bottom="1984" w:left="1587" w:header="851" w:footer="1417" w:gutter="0"/>
      <w:cols w:space="0" w:num="1"/>
      <w:titlePg/>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32"/>
      </w:rPr>
      <w:pict>
        <v:shape id="_x0000_s3085" o:spid="_x0000_s3085"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_x0000_s3086" o:spid="_x0000_s3086"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jc w:val="right"/>
    </w:pPr>
    <w:r>
      <w:rPr>
        <w:sz w:val="32"/>
      </w:rPr>
      <w:pict>
        <v:shape id="_x0000_s3087" o:spid="_x0000_s3087"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r>
      <w:rPr>
        <w:sz w:val="32"/>
      </w:rPr>
      <w:pict>
        <v:shape id="_x0000_s3084" o:spid="_x0000_s3084" o:spt="202" type="#_x0000_t202" style="position:absolute;left:0pt;margin-top:0pt;height:144pt;width:144pt;mso-position-horizontal:outside;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仿宋_GB2312"/>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018E"/>
    <w:rsid w:val="000176BC"/>
    <w:rsid w:val="00023904"/>
    <w:rsid w:val="00041547"/>
    <w:rsid w:val="000440F0"/>
    <w:rsid w:val="0005047F"/>
    <w:rsid w:val="000528AA"/>
    <w:rsid w:val="00056F3B"/>
    <w:rsid w:val="00074F50"/>
    <w:rsid w:val="00094D8A"/>
    <w:rsid w:val="00096280"/>
    <w:rsid w:val="000C49D9"/>
    <w:rsid w:val="000D2B43"/>
    <w:rsid w:val="000E2DE9"/>
    <w:rsid w:val="000E3E4C"/>
    <w:rsid w:val="000F2E8F"/>
    <w:rsid w:val="00102A5E"/>
    <w:rsid w:val="001317DB"/>
    <w:rsid w:val="001465A1"/>
    <w:rsid w:val="001C2BEC"/>
    <w:rsid w:val="001E3222"/>
    <w:rsid w:val="001E355F"/>
    <w:rsid w:val="00205A99"/>
    <w:rsid w:val="002329E9"/>
    <w:rsid w:val="00233C2C"/>
    <w:rsid w:val="00270148"/>
    <w:rsid w:val="002A5D40"/>
    <w:rsid w:val="002A73A5"/>
    <w:rsid w:val="002B1F5B"/>
    <w:rsid w:val="002B398A"/>
    <w:rsid w:val="002C615A"/>
    <w:rsid w:val="002D172B"/>
    <w:rsid w:val="002D2464"/>
    <w:rsid w:val="002E08A8"/>
    <w:rsid w:val="002E1BD2"/>
    <w:rsid w:val="002E3510"/>
    <w:rsid w:val="002E6C76"/>
    <w:rsid w:val="002F19F1"/>
    <w:rsid w:val="002F5381"/>
    <w:rsid w:val="003018FE"/>
    <w:rsid w:val="00305739"/>
    <w:rsid w:val="003A0CFA"/>
    <w:rsid w:val="003A435E"/>
    <w:rsid w:val="003C5FC4"/>
    <w:rsid w:val="0042585C"/>
    <w:rsid w:val="00430FF6"/>
    <w:rsid w:val="004526A5"/>
    <w:rsid w:val="00465DF5"/>
    <w:rsid w:val="00477BD5"/>
    <w:rsid w:val="00483981"/>
    <w:rsid w:val="004848A1"/>
    <w:rsid w:val="004868A4"/>
    <w:rsid w:val="00496AA2"/>
    <w:rsid w:val="004E0CAC"/>
    <w:rsid w:val="004E2573"/>
    <w:rsid w:val="004F2729"/>
    <w:rsid w:val="004F7339"/>
    <w:rsid w:val="005216C8"/>
    <w:rsid w:val="005306FB"/>
    <w:rsid w:val="005411A6"/>
    <w:rsid w:val="00543F6A"/>
    <w:rsid w:val="00552BF9"/>
    <w:rsid w:val="005534BC"/>
    <w:rsid w:val="0055421E"/>
    <w:rsid w:val="005569A5"/>
    <w:rsid w:val="00560D80"/>
    <w:rsid w:val="005A4DF7"/>
    <w:rsid w:val="005E3B44"/>
    <w:rsid w:val="0060022D"/>
    <w:rsid w:val="006339A4"/>
    <w:rsid w:val="00653A27"/>
    <w:rsid w:val="006772BC"/>
    <w:rsid w:val="006806E3"/>
    <w:rsid w:val="006972BC"/>
    <w:rsid w:val="006A7FF3"/>
    <w:rsid w:val="006D4792"/>
    <w:rsid w:val="006E3F51"/>
    <w:rsid w:val="0077038B"/>
    <w:rsid w:val="00771275"/>
    <w:rsid w:val="00774EC7"/>
    <w:rsid w:val="00782B93"/>
    <w:rsid w:val="00791136"/>
    <w:rsid w:val="00796850"/>
    <w:rsid w:val="007A0365"/>
    <w:rsid w:val="0080444D"/>
    <w:rsid w:val="00837A3A"/>
    <w:rsid w:val="00853BED"/>
    <w:rsid w:val="0090018E"/>
    <w:rsid w:val="009170DD"/>
    <w:rsid w:val="009223E9"/>
    <w:rsid w:val="009538D2"/>
    <w:rsid w:val="009562B2"/>
    <w:rsid w:val="009575B8"/>
    <w:rsid w:val="00991A0A"/>
    <w:rsid w:val="009A5EFA"/>
    <w:rsid w:val="009B3719"/>
    <w:rsid w:val="009C4DFD"/>
    <w:rsid w:val="009D46D3"/>
    <w:rsid w:val="009D60AB"/>
    <w:rsid w:val="009F1B61"/>
    <w:rsid w:val="009F608E"/>
    <w:rsid w:val="00A013A6"/>
    <w:rsid w:val="00A03D19"/>
    <w:rsid w:val="00A779BD"/>
    <w:rsid w:val="00AA470A"/>
    <w:rsid w:val="00AC006F"/>
    <w:rsid w:val="00AE7559"/>
    <w:rsid w:val="00B0140C"/>
    <w:rsid w:val="00B15AF8"/>
    <w:rsid w:val="00B47EB6"/>
    <w:rsid w:val="00B52D3B"/>
    <w:rsid w:val="00B76BFA"/>
    <w:rsid w:val="00B86B4A"/>
    <w:rsid w:val="00BA1A04"/>
    <w:rsid w:val="00BA6FEF"/>
    <w:rsid w:val="00BB3D59"/>
    <w:rsid w:val="00BD21B4"/>
    <w:rsid w:val="00BD4377"/>
    <w:rsid w:val="00BE5F85"/>
    <w:rsid w:val="00BF25E7"/>
    <w:rsid w:val="00C0175F"/>
    <w:rsid w:val="00C03EB6"/>
    <w:rsid w:val="00C1512D"/>
    <w:rsid w:val="00C15C6A"/>
    <w:rsid w:val="00C21F06"/>
    <w:rsid w:val="00C24FCF"/>
    <w:rsid w:val="00C44C19"/>
    <w:rsid w:val="00CA6A64"/>
    <w:rsid w:val="00CC00C9"/>
    <w:rsid w:val="00CC6AC7"/>
    <w:rsid w:val="00CE6B40"/>
    <w:rsid w:val="00CF6AFF"/>
    <w:rsid w:val="00D56170"/>
    <w:rsid w:val="00D576B0"/>
    <w:rsid w:val="00DC1F8F"/>
    <w:rsid w:val="00DD0FCB"/>
    <w:rsid w:val="00DD5F94"/>
    <w:rsid w:val="00DE731D"/>
    <w:rsid w:val="00DE7706"/>
    <w:rsid w:val="00E31B79"/>
    <w:rsid w:val="00E44BF8"/>
    <w:rsid w:val="00E56CA9"/>
    <w:rsid w:val="00E72C6F"/>
    <w:rsid w:val="00E97C33"/>
    <w:rsid w:val="00EC2DC4"/>
    <w:rsid w:val="00ED479E"/>
    <w:rsid w:val="00EE0DCA"/>
    <w:rsid w:val="00EE7D4B"/>
    <w:rsid w:val="00EF7518"/>
    <w:rsid w:val="00F00F3E"/>
    <w:rsid w:val="00F05B63"/>
    <w:rsid w:val="00F262FA"/>
    <w:rsid w:val="00F84008"/>
    <w:rsid w:val="00FB0792"/>
    <w:rsid w:val="00FD6E11"/>
    <w:rsid w:val="01406959"/>
    <w:rsid w:val="0154399F"/>
    <w:rsid w:val="0174736A"/>
    <w:rsid w:val="01CA3CEF"/>
    <w:rsid w:val="01D43262"/>
    <w:rsid w:val="037F24CA"/>
    <w:rsid w:val="03B7381E"/>
    <w:rsid w:val="08846061"/>
    <w:rsid w:val="08B61885"/>
    <w:rsid w:val="0946131F"/>
    <w:rsid w:val="0A0437D7"/>
    <w:rsid w:val="0A2D3C19"/>
    <w:rsid w:val="0AB53A84"/>
    <w:rsid w:val="0AE87579"/>
    <w:rsid w:val="0DCF6288"/>
    <w:rsid w:val="0E3A4C0B"/>
    <w:rsid w:val="0F0A4E49"/>
    <w:rsid w:val="0FD86065"/>
    <w:rsid w:val="10232327"/>
    <w:rsid w:val="10494DD7"/>
    <w:rsid w:val="105D5064"/>
    <w:rsid w:val="11414192"/>
    <w:rsid w:val="118302DF"/>
    <w:rsid w:val="11AC57E5"/>
    <w:rsid w:val="11C34C24"/>
    <w:rsid w:val="11C512F8"/>
    <w:rsid w:val="11F332E6"/>
    <w:rsid w:val="120176A0"/>
    <w:rsid w:val="14E36C16"/>
    <w:rsid w:val="157D6CD0"/>
    <w:rsid w:val="16A75B2D"/>
    <w:rsid w:val="17FD605E"/>
    <w:rsid w:val="189A0D5E"/>
    <w:rsid w:val="18B557B3"/>
    <w:rsid w:val="18BE6F67"/>
    <w:rsid w:val="18C91CF4"/>
    <w:rsid w:val="1A091940"/>
    <w:rsid w:val="1AF16926"/>
    <w:rsid w:val="1B5077F1"/>
    <w:rsid w:val="1B96349B"/>
    <w:rsid w:val="1D586155"/>
    <w:rsid w:val="1D845740"/>
    <w:rsid w:val="1F840F04"/>
    <w:rsid w:val="1F882E8C"/>
    <w:rsid w:val="20341427"/>
    <w:rsid w:val="203A7FA2"/>
    <w:rsid w:val="239D0F70"/>
    <w:rsid w:val="24A933C8"/>
    <w:rsid w:val="25C6345A"/>
    <w:rsid w:val="27463DC8"/>
    <w:rsid w:val="28080EF4"/>
    <w:rsid w:val="28374194"/>
    <w:rsid w:val="29051C5B"/>
    <w:rsid w:val="29A26F94"/>
    <w:rsid w:val="2B490C88"/>
    <w:rsid w:val="2BDB7EF3"/>
    <w:rsid w:val="2C145CEF"/>
    <w:rsid w:val="2CD13842"/>
    <w:rsid w:val="2E6D7EAC"/>
    <w:rsid w:val="2F3E4B93"/>
    <w:rsid w:val="318823A0"/>
    <w:rsid w:val="31C936BD"/>
    <w:rsid w:val="31CB44BB"/>
    <w:rsid w:val="32200849"/>
    <w:rsid w:val="33C65F9B"/>
    <w:rsid w:val="346B2C75"/>
    <w:rsid w:val="34A63064"/>
    <w:rsid w:val="35C726E0"/>
    <w:rsid w:val="36826847"/>
    <w:rsid w:val="37A64639"/>
    <w:rsid w:val="38DF2BF6"/>
    <w:rsid w:val="393C0ADE"/>
    <w:rsid w:val="397C23D9"/>
    <w:rsid w:val="39B437B3"/>
    <w:rsid w:val="3A5746D2"/>
    <w:rsid w:val="3A747367"/>
    <w:rsid w:val="3BA10625"/>
    <w:rsid w:val="3D475947"/>
    <w:rsid w:val="3D7A7CA9"/>
    <w:rsid w:val="3E32548B"/>
    <w:rsid w:val="3E530756"/>
    <w:rsid w:val="3E9C17C0"/>
    <w:rsid w:val="3F416ABD"/>
    <w:rsid w:val="3F7E4A72"/>
    <w:rsid w:val="3FBC5E54"/>
    <w:rsid w:val="41812000"/>
    <w:rsid w:val="41E30A2D"/>
    <w:rsid w:val="42D47BA6"/>
    <w:rsid w:val="42F952C9"/>
    <w:rsid w:val="45891D81"/>
    <w:rsid w:val="45C26AE5"/>
    <w:rsid w:val="46124B73"/>
    <w:rsid w:val="46EB3511"/>
    <w:rsid w:val="479A71FE"/>
    <w:rsid w:val="49316A53"/>
    <w:rsid w:val="496C44EC"/>
    <w:rsid w:val="49A11B52"/>
    <w:rsid w:val="49E15289"/>
    <w:rsid w:val="4B9659F2"/>
    <w:rsid w:val="4C2C6B2F"/>
    <w:rsid w:val="4C8B2B22"/>
    <w:rsid w:val="4DF659A4"/>
    <w:rsid w:val="4EEC1A64"/>
    <w:rsid w:val="4F8E638A"/>
    <w:rsid w:val="4FC46F07"/>
    <w:rsid w:val="4FFB7978"/>
    <w:rsid w:val="502113D0"/>
    <w:rsid w:val="504900AA"/>
    <w:rsid w:val="50B96768"/>
    <w:rsid w:val="54695CBD"/>
    <w:rsid w:val="54AF0F4F"/>
    <w:rsid w:val="587C267D"/>
    <w:rsid w:val="58D460B7"/>
    <w:rsid w:val="5A0D3A19"/>
    <w:rsid w:val="5A3A3A69"/>
    <w:rsid w:val="5B7B0DE6"/>
    <w:rsid w:val="5BA9396F"/>
    <w:rsid w:val="5C41066B"/>
    <w:rsid w:val="5C6B6D35"/>
    <w:rsid w:val="5E2D5376"/>
    <w:rsid w:val="5E60698E"/>
    <w:rsid w:val="5F38680F"/>
    <w:rsid w:val="605D065D"/>
    <w:rsid w:val="60814BEA"/>
    <w:rsid w:val="60ED1270"/>
    <w:rsid w:val="62341A70"/>
    <w:rsid w:val="64761820"/>
    <w:rsid w:val="647E786B"/>
    <w:rsid w:val="64AE0E43"/>
    <w:rsid w:val="65987795"/>
    <w:rsid w:val="65B05F91"/>
    <w:rsid w:val="65FD18A4"/>
    <w:rsid w:val="663A63A9"/>
    <w:rsid w:val="67E55FD4"/>
    <w:rsid w:val="6A3F07C9"/>
    <w:rsid w:val="6AC26627"/>
    <w:rsid w:val="6C683C7C"/>
    <w:rsid w:val="6CEA76F2"/>
    <w:rsid w:val="6E5E1DEB"/>
    <w:rsid w:val="6EBF7005"/>
    <w:rsid w:val="6F31437C"/>
    <w:rsid w:val="709E47E3"/>
    <w:rsid w:val="70B728E1"/>
    <w:rsid w:val="70C924E7"/>
    <w:rsid w:val="712F6507"/>
    <w:rsid w:val="72217ED6"/>
    <w:rsid w:val="727F12E9"/>
    <w:rsid w:val="746135E9"/>
    <w:rsid w:val="74A509D4"/>
    <w:rsid w:val="74AB0A3A"/>
    <w:rsid w:val="74D66577"/>
    <w:rsid w:val="750F75AB"/>
    <w:rsid w:val="75F70D25"/>
    <w:rsid w:val="77B507CE"/>
    <w:rsid w:val="79B7395D"/>
    <w:rsid w:val="79F4362A"/>
    <w:rsid w:val="7AE753DF"/>
    <w:rsid w:val="7AF337F5"/>
    <w:rsid w:val="7B59264F"/>
    <w:rsid w:val="7D47414A"/>
    <w:rsid w:val="7F04476B"/>
    <w:rsid w:val="7F384FEF"/>
    <w:rsid w:val="7F43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_GB2312" w:hAnsi="仿宋_GB2312" w:eastAsia="仿宋_GB2312" w:cs="Times New Roman"/>
      <w:sz w:val="3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qFormat/>
    <w:uiPriority w:val="0"/>
    <w:pPr>
      <w:ind w:firstLine="540" w:firstLineChars="257"/>
    </w:pPr>
  </w:style>
  <w:style w:type="paragraph" w:styleId="4">
    <w:name w:val="Date"/>
    <w:basedOn w:val="1"/>
    <w:next w:val="1"/>
    <w:link w:val="17"/>
    <w:qFormat/>
    <w:uiPriority w:val="0"/>
    <w:pPr>
      <w:ind w:left="100" w:leftChars="2500"/>
    </w:pPr>
  </w:style>
  <w:style w:type="paragraph" w:styleId="5">
    <w:name w:val="footer"/>
    <w:basedOn w:val="1"/>
    <w:link w:val="15"/>
    <w:qFormat/>
    <w:uiPriority w:val="99"/>
    <w:pPr>
      <w:tabs>
        <w:tab w:val="center" w:pos="4153"/>
        <w:tab w:val="right" w:pos="8306"/>
      </w:tabs>
      <w:snapToGrid w:val="0"/>
      <w:jc w:val="left"/>
    </w:pPr>
    <w:rPr>
      <w:rFonts w:hint="default"/>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rPr>
  </w:style>
  <w:style w:type="paragraph" w:styleId="7">
    <w:name w:val="Normal (Web)"/>
    <w:basedOn w:val="1"/>
    <w:qFormat/>
    <w:uiPriority w:val="0"/>
    <w:pPr>
      <w:widowControl/>
      <w:spacing w:before="100" w:beforeAutospacing="1" w:after="100" w:afterAutospacing="1"/>
      <w:jc w:val="left"/>
    </w:pPr>
    <w:rPr>
      <w:rFonts w:hint="default" w:ascii="宋体" w:hAnsi="宋体" w:eastAsia="宋体" w:cs="宋体"/>
      <w:sz w:val="24"/>
    </w:rPr>
  </w:style>
  <w:style w:type="character" w:styleId="9">
    <w:name w:val="Strong"/>
    <w:basedOn w:val="8"/>
    <w:qFormat/>
    <w:uiPriority w:val="0"/>
    <w:rPr>
      <w:b/>
      <w:bCs/>
    </w:rPr>
  </w:style>
  <w:style w:type="character" w:styleId="10">
    <w:name w:val="page number"/>
    <w:basedOn w:val="8"/>
    <w:qFormat/>
    <w:uiPriority w:val="99"/>
    <w:rPr>
      <w:rFonts w:cs="Times New Roman"/>
    </w:rPr>
  </w:style>
  <w:style w:type="character" w:styleId="11">
    <w:name w:val="Hyperlink"/>
    <w:basedOn w:val="8"/>
    <w:qFormat/>
    <w:uiPriority w:val="0"/>
    <w:rPr>
      <w:color w:val="0000FF"/>
      <w:u w:val="single"/>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4">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8"/>
    <w:link w:val="5"/>
    <w:qFormat/>
    <w:uiPriority w:val="99"/>
    <w:rPr>
      <w:rFonts w:eastAsia="宋体"/>
      <w:sz w:val="18"/>
      <w:lang w:bidi="ar-SA"/>
    </w:rPr>
  </w:style>
  <w:style w:type="character" w:customStyle="1" w:styleId="16">
    <w:name w:val="页眉 Char"/>
    <w:basedOn w:val="8"/>
    <w:link w:val="6"/>
    <w:qFormat/>
    <w:uiPriority w:val="99"/>
    <w:rPr>
      <w:rFonts w:eastAsia="宋体"/>
      <w:sz w:val="18"/>
      <w:lang w:bidi="ar-SA"/>
    </w:rPr>
  </w:style>
  <w:style w:type="character" w:customStyle="1" w:styleId="17">
    <w:name w:val="日期 Char"/>
    <w:basedOn w:val="8"/>
    <w:link w:val="4"/>
    <w:qFormat/>
    <w:uiPriority w:val="0"/>
    <w:rPr>
      <w:sz w:val="18"/>
    </w:rPr>
  </w:style>
  <w:style w:type="paragraph" w:customStyle="1" w:styleId="18">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p18"/>
    <w:basedOn w:val="1"/>
    <w:qFormat/>
    <w:uiPriority w:val="0"/>
    <w:pPr>
      <w:widowControl/>
    </w:pPr>
    <w:rPr>
      <w:rFonts w:hint="default" w:ascii="Times New Roman" w:hAnsi="Times New Roman" w:eastAsia="宋体"/>
      <w:sz w:val="21"/>
      <w:szCs w:val="21"/>
    </w:rPr>
  </w:style>
  <w:style w:type="paragraph" w:customStyle="1" w:styleId="20">
    <w:name w:val="p19"/>
    <w:basedOn w:val="1"/>
    <w:qFormat/>
    <w:uiPriority w:val="0"/>
    <w:pPr>
      <w:widowControl/>
    </w:pPr>
    <w:rPr>
      <w:rFonts w:hint="default" w:ascii="宋体" w:hAnsi="宋体" w:eastAsia="宋体" w:cs="宋体"/>
      <w:sz w:val="21"/>
      <w:szCs w:val="21"/>
    </w:rPr>
  </w:style>
  <w:style w:type="paragraph" w:customStyle="1" w:styleId="21">
    <w:name w:val="p16"/>
    <w:basedOn w:val="1"/>
    <w:qFormat/>
    <w:uiPriority w:val="0"/>
    <w:pPr>
      <w:widowControl/>
    </w:pPr>
    <w:rPr>
      <w:rFonts w:hint="default" w:ascii="Times New Roman" w:hAnsi="Times New Roman" w:eastAsia="宋体"/>
      <w:sz w:val="21"/>
      <w:szCs w:val="21"/>
    </w:rPr>
  </w:style>
  <w:style w:type="paragraph" w:customStyle="1" w:styleId="22">
    <w:name w:val="p17"/>
    <w:basedOn w:val="1"/>
    <w:qFormat/>
    <w:uiPriority w:val="0"/>
    <w:pPr>
      <w:widowControl/>
    </w:pPr>
    <w:rPr>
      <w:rFonts w:hint="default" w:ascii="宋体" w:hAnsi="宋体" w:eastAsia="宋体" w:cs="宋体"/>
      <w:sz w:val="21"/>
      <w:szCs w:val="21"/>
    </w:rPr>
  </w:style>
  <w:style w:type="paragraph" w:customStyle="1" w:styleId="23">
    <w:name w:val="普通(网站)1"/>
    <w:basedOn w:val="1"/>
    <w:qFormat/>
    <w:uiPriority w:val="0"/>
    <w:pPr>
      <w:widowControl/>
      <w:spacing w:before="100" w:beforeAutospacing="1" w:after="100" w:afterAutospacing="1"/>
      <w:jc w:val="left"/>
    </w:pPr>
    <w:rPr>
      <w:rFonts w:hint="default" w:ascii="宋体" w:hAnsi="宋体" w:eastAsia="宋体" w:cs="宋体"/>
      <w:sz w:val="24"/>
      <w:szCs w:val="24"/>
    </w:rPr>
  </w:style>
  <w:style w:type="paragraph" w:customStyle="1" w:styleId="24">
    <w:name w:val="p0"/>
    <w:basedOn w:val="1"/>
    <w:qFormat/>
    <w:uiPriority w:val="0"/>
    <w:pPr>
      <w:widowControl/>
    </w:pPr>
    <w:rPr>
      <w:rFonts w:hint="default" w:hAnsi="Times New Roman"/>
      <w:szCs w:val="32"/>
    </w:rPr>
  </w:style>
  <w:style w:type="paragraph" w:customStyle="1" w:styleId="25">
    <w:name w:val="正文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6">
    <w:name w:val="正文 New New"/>
    <w:qFormat/>
    <w:uiPriority w:val="0"/>
    <w:pPr>
      <w:jc w:val="both"/>
    </w:pPr>
    <w:rPr>
      <w:rFonts w:ascii="仿宋_GB2312" w:hAnsi="仿宋_GB2312" w:eastAsia="仿宋_GB2312" w:cs="Times New Roman"/>
      <w:kern w:val="2"/>
      <w:sz w:val="32"/>
      <w:lang w:val="en-US" w:eastAsia="zh-CN" w:bidi="ar-SA"/>
    </w:rPr>
  </w:style>
  <w:style w:type="paragraph" w:customStyle="1" w:styleId="27">
    <w:name w:val="Char1"/>
    <w:basedOn w:val="1"/>
    <w:qFormat/>
    <w:uiPriority w:val="0"/>
    <w:pPr>
      <w:widowControl/>
      <w:spacing w:after="160" w:line="240" w:lineRule="exact"/>
      <w:jc w:val="left"/>
    </w:pPr>
    <w:rPr>
      <w:rFonts w:hint="default" w:ascii="Verdana" w:hAnsi="Verdana"/>
      <w:sz w:val="24"/>
      <w:lang w:eastAsia="en-US"/>
    </w:rPr>
  </w:style>
  <w:style w:type="paragraph" w:customStyle="1" w:styleId="28">
    <w:name w:val="p15"/>
    <w:basedOn w:val="1"/>
    <w:qFormat/>
    <w:uiPriority w:val="0"/>
    <w:pPr>
      <w:widowControl/>
    </w:pPr>
    <w:rPr>
      <w:rFonts w:hint="default" w:ascii="宋体" w:hAnsi="宋体" w:eastAsia="宋体" w:cs="宋体"/>
      <w:sz w:val="21"/>
      <w:szCs w:val="21"/>
    </w:rPr>
  </w:style>
  <w:style w:type="paragraph" w:customStyle="1" w:styleId="29">
    <w:name w:val="小正文"/>
    <w:basedOn w:val="1"/>
    <w:qFormat/>
    <w:uiPriority w:val="0"/>
    <w:pPr>
      <w:spacing w:line="560" w:lineRule="exact"/>
      <w:ind w:firstLine="200" w:firstLineChars="200"/>
    </w:pPr>
    <w:rPr>
      <w:rFonts w:hint="default" w:ascii="Times New Roman" w:hAnsi="Times New Roman"/>
      <w:kern w:val="2"/>
    </w:rPr>
  </w:style>
  <w:style w:type="paragraph" w:customStyle="1" w:styleId="30">
    <w:name w:val="List Paragraph1"/>
    <w:basedOn w:val="1"/>
    <w:qFormat/>
    <w:uiPriority w:val="0"/>
    <w:pPr>
      <w:ind w:firstLine="420" w:firstLineChars="200"/>
    </w:p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5" textRotate="1"/>
    <customShpInfo spid="_x0000_s3086" textRotate="1"/>
    <customShpInfo spid="_x0000_s3087" textRotate="1"/>
    <customShpInfo spid="_x0000_s308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197</Words>
  <Characters>1128</Characters>
  <Lines>9</Lines>
  <Paragraphs>2</Paragraphs>
  <ScaleCrop>false</ScaleCrop>
  <LinksUpToDate>false</LinksUpToDate>
  <CharactersWithSpaces>1323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2019-07-01T01:51:00Z</dcterms:created>
  <dc:creator>陈晓毅</dc:creator>
  <cp:lastModifiedBy>袁亚菲</cp:lastModifiedBy>
  <cp:lastPrinted>2020-04-16T07:25:00Z</cp:lastPrinted>
  <dcterms:modified xsi:type="dcterms:W3CDTF">2020-04-17T03:11:29Z</dcterms:modified>
  <dc:title>2015年高考期间食品安全保障工作方案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