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hint="eastAsia" w:ascii="黑体" w:hAnsi="黑体" w:eastAsia="黑体"/>
          <w:sz w:val="28"/>
          <w:szCs w:val="28"/>
        </w:rPr>
      </w:pPr>
      <w:r>
        <w:rPr>
          <w:rFonts w:hint="eastAsia" w:ascii="黑体" w:hAnsi="黑体" w:eastAsia="黑体"/>
          <w:sz w:val="28"/>
          <w:szCs w:val="28"/>
        </w:rPr>
        <w:t>附件3</w:t>
      </w:r>
    </w:p>
    <w:p>
      <w:pPr>
        <w:spacing w:line="560" w:lineRule="exact"/>
        <w:jc w:val="center"/>
        <w:rPr>
          <w:rFonts w:hint="eastAsia" w:ascii="仿宋_GB2312" w:hAnsi="仿宋"/>
        </w:rPr>
      </w:pPr>
    </w:p>
    <w:p>
      <w:pPr>
        <w:spacing w:line="560" w:lineRule="exact"/>
        <w:jc w:val="center"/>
        <w:rPr>
          <w:rFonts w:hint="eastAsia" w:ascii="方正小标宋简体" w:hAnsi="仿宋" w:eastAsia="方正小标宋简体"/>
          <w:sz w:val="44"/>
          <w:szCs w:val="44"/>
        </w:rPr>
      </w:pPr>
      <w:bookmarkStart w:id="0" w:name="_GoBack"/>
      <w:r>
        <w:rPr>
          <w:rFonts w:hint="eastAsia" w:ascii="方正小标宋简体" w:hAnsi="仿宋" w:eastAsia="方正小标宋简体"/>
          <w:sz w:val="44"/>
          <w:szCs w:val="44"/>
        </w:rPr>
        <w:t>广州市增城区整治非法住改仓情况统计表</w:t>
      </w:r>
    </w:p>
    <w:bookmarkEnd w:id="0"/>
    <w:p>
      <w:pPr>
        <w:spacing w:line="560" w:lineRule="exact"/>
        <w:rPr>
          <w:rFonts w:hint="eastAsia" w:ascii="仿宋_GB2312" w:hAnsi="仿宋"/>
        </w:rPr>
      </w:pPr>
    </w:p>
    <w:p>
      <w:pPr>
        <w:spacing w:line="560" w:lineRule="exact"/>
        <w:rPr>
          <w:rFonts w:hint="eastAsia" w:ascii="仿宋_GB2312" w:hAnsi="仿宋" w:eastAsia="仿宋_GB2312"/>
          <w:b/>
          <w:sz w:val="24"/>
        </w:rPr>
      </w:pPr>
      <w:r>
        <w:rPr>
          <w:rFonts w:hint="eastAsia" w:ascii="仿宋_GB2312" w:hAnsi="仿宋" w:eastAsia="仿宋_GB2312"/>
          <w:b/>
          <w:sz w:val="24"/>
        </w:rPr>
        <w:t>填表单位：                           填表时间：</w:t>
      </w:r>
    </w:p>
    <w:tbl>
      <w:tblPr>
        <w:tblStyle w:val="3"/>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68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60" w:type="dxa"/>
            <w:tcBorders>
              <w:top w:val="single" w:color="auto" w:sz="4" w:space="0"/>
              <w:left w:val="single" w:color="auto" w:sz="4" w:space="0"/>
              <w:bottom w:val="single" w:color="auto" w:sz="4" w:space="0"/>
              <w:right w:val="single" w:color="auto" w:sz="4" w:space="0"/>
            </w:tcBorders>
            <w:vAlign w:val="center"/>
          </w:tcPr>
          <w:p>
            <w:pPr>
              <w:tabs>
                <w:tab w:val="left" w:pos="477"/>
              </w:tabs>
              <w:spacing w:line="560" w:lineRule="exact"/>
              <w:jc w:val="center"/>
              <w:rPr>
                <w:rFonts w:hint="eastAsia" w:ascii="仿宋_GB2312" w:hAnsi="仿宋" w:eastAsia="仿宋_GB2312"/>
                <w:sz w:val="24"/>
              </w:rPr>
            </w:pPr>
            <w:r>
              <w:rPr>
                <w:rFonts w:hint="eastAsia" w:ascii="仿宋_GB2312" w:hAnsi="仿宋" w:eastAsia="仿宋_GB2312"/>
                <w:sz w:val="24"/>
              </w:rPr>
              <w:t>工作单位</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60" w:lineRule="exact"/>
              <w:ind w:firstLine="480" w:firstLineChars="200"/>
              <w:jc w:val="center"/>
              <w:rPr>
                <w:rFonts w:hint="eastAsia" w:ascii="仿宋_GB2312" w:hAnsi="仿宋" w:eastAsia="仿宋_GB2312"/>
                <w:sz w:val="24"/>
              </w:rPr>
            </w:pPr>
            <w:r>
              <w:rPr>
                <w:rFonts w:hint="eastAsia" w:ascii="仿宋_GB2312" w:hAnsi="仿宋" w:eastAsia="仿宋_GB2312"/>
                <w:sz w:val="24"/>
              </w:rPr>
              <w:t>具体内容</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 w:eastAsia="仿宋_GB2312"/>
                <w:sz w:val="24"/>
              </w:rPr>
            </w:pPr>
            <w:r>
              <w:rPr>
                <w:rFonts w:hint="eastAsia" w:ascii="仿宋_GB2312" w:hAnsi="仿宋" w:eastAsia="仿宋_GB2312"/>
                <w:sz w:val="24"/>
              </w:rPr>
              <w:t>数量(份/套)</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 w:eastAsia="仿宋_GB2312"/>
                <w:sz w:val="24"/>
              </w:rPr>
            </w:pPr>
            <w:r>
              <w:rPr>
                <w:rFonts w:hint="eastAsia" w:ascii="仿宋_GB2312" w:hAnsi="仿宋"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60" w:type="dxa"/>
            <w:vMerge w:val="restart"/>
            <w:tcBorders>
              <w:top w:val="single" w:color="auto" w:sz="4" w:space="0"/>
              <w:left w:val="single" w:color="auto" w:sz="4" w:space="0"/>
              <w:right w:val="single" w:color="auto" w:sz="4" w:space="0"/>
            </w:tcBorders>
            <w:vAlign w:val="center"/>
          </w:tcPr>
          <w:p>
            <w:pPr>
              <w:tabs>
                <w:tab w:val="left" w:pos="1797"/>
              </w:tabs>
              <w:spacing w:line="500" w:lineRule="exact"/>
              <w:ind w:firstLine="240" w:firstLineChars="100"/>
              <w:jc w:val="center"/>
              <w:rPr>
                <w:rFonts w:hint="eastAsia" w:ascii="仿宋_GB2312" w:hAnsi="仿宋" w:eastAsia="仿宋_GB2312"/>
                <w:sz w:val="24"/>
              </w:rPr>
            </w:pPr>
            <w:r>
              <w:rPr>
                <w:rFonts w:hint="eastAsia" w:ascii="仿宋_GB2312" w:hAnsi="仿宋" w:eastAsia="仿宋_GB2312"/>
                <w:sz w:val="24"/>
              </w:rPr>
              <w:t>街（镇）</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发放宣传材料</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260" w:type="dxa"/>
            <w:vMerge w:val="continue"/>
            <w:tcBorders>
              <w:left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检查、巡查房屋套数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60"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发现疑似非法“住改仓”套数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公安部门</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1.查处“房屋出租给无身份证件的人居住，或者不按规定登记承租人姓名、身份证件种类和号码，以及明知承租人利用出租房屋进行犯罪活动，不向公安机关报告”的非法“住改仓”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40" w:firstLineChars="100"/>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2.查处“知道或者应当知道生产销售假冒伪劣商品而为其提供场地”的非法“住改仓”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3.查处“储存爆炸性、毒害性、放射性、腐蚀性物质或者传染病病原体等危险物质，尚未构成犯罪”的非法“住改仓”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国土</w:t>
            </w:r>
          </w:p>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房管</w:t>
            </w:r>
          </w:p>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部门</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4.查处属于“危险房屋”的非法“住改仓”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5.查处“已办理施工许可的没有设计方案擅自施工或者擅自变动房屋建筑主体和承重结构的装修工程”的非法“住改仓”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6.查处“没有办理房屋租赁合同登记备案”的非法“住改仓”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城管部门</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360" w:lineRule="exact"/>
              <w:rPr>
                <w:rFonts w:hint="eastAsia" w:ascii="仿宋_GB2312" w:hAnsi="仿宋" w:eastAsia="仿宋_GB2312"/>
                <w:sz w:val="24"/>
              </w:rPr>
            </w:pPr>
            <w:r>
              <w:rPr>
                <w:rFonts w:hint="eastAsia" w:ascii="仿宋_GB2312" w:hAnsi="仿宋" w:eastAsia="仿宋_GB2312"/>
                <w:sz w:val="24"/>
              </w:rPr>
              <w:t>7.查处“改变使用性质和擅自开（堵）外墙门窗、封闭阳台、搭建棚盖或者在天台上建设建（构）筑物”的非法“住改仓”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 w:eastAsia="仿宋_GB2312"/>
                <w:sz w:val="24"/>
              </w:rPr>
            </w:pPr>
            <w:r>
              <w:rPr>
                <w:rFonts w:hint="eastAsia" w:ascii="仿宋_GB2312" w:hAnsi="仿宋" w:eastAsia="仿宋_GB2312"/>
                <w:sz w:val="24"/>
              </w:rPr>
              <w:t>8.查处涉及房屋出租的违法建设的非法“住改仓”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工商部门</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360" w:lineRule="exact"/>
              <w:rPr>
                <w:rFonts w:hint="eastAsia" w:ascii="仿宋_GB2312" w:hAnsi="仿宋" w:eastAsia="仿宋_GB2312"/>
                <w:sz w:val="24"/>
              </w:rPr>
            </w:pPr>
            <w:r>
              <w:rPr>
                <w:rFonts w:hint="eastAsia" w:ascii="仿宋_GB2312" w:hAnsi="仿宋" w:eastAsia="仿宋_GB2312"/>
                <w:sz w:val="24"/>
              </w:rPr>
              <w:t>9.查处在非法“住改仓”内从事一般经营事项的</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80"/>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460" w:lineRule="exact"/>
              <w:rPr>
                <w:rFonts w:hint="eastAsia" w:ascii="仿宋_GB2312" w:hAnsi="仿宋" w:eastAsia="仿宋_GB2312"/>
                <w:sz w:val="24"/>
              </w:rPr>
            </w:pPr>
            <w:r>
              <w:rPr>
                <w:rFonts w:hint="eastAsia" w:ascii="仿宋_GB2312" w:hAnsi="仿宋" w:eastAsia="仿宋_GB2312"/>
                <w:sz w:val="24"/>
              </w:rPr>
              <w:t>10查处“为无证照经营者提供经营场所、保管、仓储等条件”的非法“住改仓”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460" w:lineRule="exact"/>
              <w:rPr>
                <w:rFonts w:hint="eastAsia" w:ascii="仿宋_GB2312" w:hAnsi="仿宋" w:eastAsia="仿宋_GB2312"/>
                <w:sz w:val="24"/>
              </w:rPr>
            </w:pPr>
            <w:r>
              <w:rPr>
                <w:rFonts w:hint="eastAsia" w:ascii="仿宋_GB2312" w:hAnsi="仿宋" w:eastAsia="仿宋_GB2312"/>
                <w:sz w:val="24"/>
              </w:rPr>
              <w:t>11.查处“为传销行为提供保管、仓储等条件”的非法“住改仓”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消防部门</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500" w:lineRule="exact"/>
              <w:rPr>
                <w:rFonts w:hint="eastAsia" w:ascii="仿宋_GB2312" w:hAnsi="仿宋" w:eastAsia="仿宋_GB2312"/>
                <w:sz w:val="24"/>
              </w:rPr>
            </w:pPr>
            <w:r>
              <w:rPr>
                <w:rFonts w:hint="eastAsia" w:ascii="仿宋_GB2312" w:hAnsi="仿宋" w:eastAsia="仿宋_GB2312"/>
                <w:sz w:val="24"/>
              </w:rPr>
              <w:t>12.查处“住改仓”场所中的消防违法行为</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440" w:lineRule="exact"/>
              <w:rPr>
                <w:rFonts w:hint="eastAsia" w:ascii="仿宋_GB2312" w:hAnsi="仿宋" w:eastAsia="仿宋_GB2312"/>
                <w:sz w:val="24"/>
              </w:rPr>
            </w:pPr>
            <w:r>
              <w:rPr>
                <w:rFonts w:hint="eastAsia" w:ascii="仿宋_GB2312" w:hAnsi="仿宋" w:eastAsia="仿宋_GB2312"/>
                <w:sz w:val="24"/>
              </w:rPr>
              <w:t>13.查处“储存、经营易燃易爆危险品的场所与居住场所设置在同一建筑物内，或者未与居住场所保持安全距离，以及储存、经营其他物品的场所与居住场所设置在同一建筑物内，不符合消防技术标准”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460" w:lineRule="exact"/>
              <w:rPr>
                <w:rFonts w:hint="eastAsia" w:ascii="仿宋_GB2312" w:hAnsi="仿宋" w:eastAsia="仿宋_GB2312"/>
                <w:sz w:val="24"/>
              </w:rPr>
            </w:pPr>
            <w:r>
              <w:rPr>
                <w:rFonts w:hint="eastAsia" w:ascii="仿宋_GB2312" w:hAnsi="仿宋" w:eastAsia="仿宋_GB2312"/>
                <w:sz w:val="24"/>
              </w:rPr>
              <w:t>14.查处“依法应当进行消防验收的建设工程未经消防验收或者消防验收不合格，擅自投入使用，或者其他建设工程投入使用后经公安机关消防机构依法抽查不合格又不停止使用”的非法“住改仓”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ascii="仿宋_GB2312" w:hAnsi="仿宋" w:eastAsia="仿宋_GB2312"/>
                <w:sz w:val="24"/>
              </w:rPr>
            </w:pP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440" w:lineRule="exact"/>
              <w:rPr>
                <w:rFonts w:hint="eastAsia" w:ascii="仿宋_GB2312" w:hAnsi="仿宋" w:eastAsia="仿宋_GB2312"/>
                <w:sz w:val="24"/>
              </w:rPr>
            </w:pPr>
            <w:r>
              <w:rPr>
                <w:rFonts w:hint="eastAsia" w:ascii="仿宋_GB2312" w:hAnsi="仿宋" w:eastAsia="仿宋_GB2312"/>
                <w:sz w:val="24"/>
              </w:rPr>
              <w:t>15.查处“不及时消除火灾隐患可能严重威胁公共安全”的非法“住改仓”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60" w:type="dxa"/>
            <w:tcBorders>
              <w:top w:val="single" w:color="auto" w:sz="4" w:space="0"/>
              <w:left w:val="single" w:color="auto" w:sz="4" w:space="0"/>
              <w:bottom w:val="single" w:color="auto" w:sz="4" w:space="0"/>
              <w:right w:val="single" w:color="auto" w:sz="4" w:space="0"/>
            </w:tcBorders>
            <w:vAlign w:val="center"/>
          </w:tcPr>
          <w:p>
            <w:pPr>
              <w:tabs>
                <w:tab w:val="left" w:pos="477"/>
              </w:tabs>
              <w:spacing w:line="500" w:lineRule="exact"/>
              <w:jc w:val="center"/>
              <w:rPr>
                <w:rFonts w:hint="eastAsia" w:ascii="仿宋_GB2312" w:hAnsi="仿宋" w:eastAsia="仿宋_GB2312"/>
                <w:sz w:val="24"/>
              </w:rPr>
            </w:pPr>
            <w:r>
              <w:rPr>
                <w:rFonts w:hint="eastAsia" w:ascii="仿宋_GB2312" w:hAnsi="仿宋" w:eastAsia="仿宋_GB2312"/>
                <w:sz w:val="24"/>
              </w:rPr>
              <w:t>其他单位</w:t>
            </w:r>
          </w:p>
        </w:tc>
        <w:tc>
          <w:tcPr>
            <w:tcW w:w="4680" w:type="dxa"/>
            <w:tcBorders>
              <w:top w:val="single" w:color="auto" w:sz="4" w:space="0"/>
              <w:left w:val="single" w:color="auto" w:sz="4" w:space="0"/>
              <w:bottom w:val="single" w:color="auto" w:sz="4" w:space="0"/>
              <w:right w:val="single" w:color="auto" w:sz="4" w:space="0"/>
            </w:tcBorders>
            <w:vAlign w:val="center"/>
          </w:tcPr>
          <w:p>
            <w:pPr>
              <w:tabs>
                <w:tab w:val="left" w:pos="1797"/>
              </w:tabs>
              <w:spacing w:line="440" w:lineRule="exact"/>
              <w:rPr>
                <w:rFonts w:hint="eastAsia" w:ascii="仿宋_GB2312" w:hAnsi="仿宋" w:eastAsia="仿宋_GB2312"/>
                <w:sz w:val="24"/>
              </w:rPr>
            </w:pPr>
            <w:r>
              <w:rPr>
                <w:rFonts w:hint="eastAsia" w:ascii="仿宋_GB2312" w:hAnsi="仿宋" w:eastAsia="仿宋_GB2312"/>
                <w:sz w:val="24"/>
              </w:rPr>
              <w:t>16.查处“其他类型”的非法“住改仓”</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 w:eastAsia="仿宋_GB2312"/>
                <w:sz w:val="24"/>
              </w:rPr>
            </w:pPr>
          </w:p>
        </w:tc>
      </w:tr>
    </w:tbl>
    <w:p>
      <w:pPr>
        <w:spacing w:line="500" w:lineRule="exact"/>
        <w:rPr>
          <w:rFonts w:hint="eastAsia" w:ascii="仿宋_GB2312" w:hAnsi="仿宋" w:eastAsia="仿宋_GB2312"/>
          <w:sz w:val="24"/>
        </w:rPr>
      </w:pPr>
      <w:r>
        <w:rPr>
          <w:rFonts w:hint="eastAsia" w:ascii="仿宋_GB2312" w:hAnsi="仿宋" w:eastAsia="仿宋_GB2312"/>
          <w:sz w:val="24"/>
        </w:rPr>
        <w:t>填表人：                                  联系电话：</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0"/>
    <w:family w:val="decorative"/>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微软雅黑">
    <w:altName w:val="黑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cript"/>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73024"/>
    <w:rsid w:val="67E730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2016-01-11T07:32:00Z</dcterms:created>
  <dc:creator>Administrator</dc:creator>
  <cp:lastModifiedBy>Administrator</cp:lastModifiedBy>
  <dcterms:modified xsi:type="dcterms:W3CDTF">2016-01-11T07:32:43Z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