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附件</w:t>
      </w:r>
      <w:bookmarkStart w:id="0" w:name="_GoBack"/>
      <w:bookmarkEnd w:id="0"/>
    </w:p>
    <w:p>
      <w:pPr>
        <w:keepNext w:val="0"/>
        <w:keepLines w:val="0"/>
        <w:pageBreakBefore w:val="0"/>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新塘镇“共建共治、文明出行”交通执法大整治工作任务清单</w:t>
      </w:r>
    </w:p>
    <w:p>
      <w:pPr>
        <w:keepNext w:val="0"/>
        <w:keepLines w:val="0"/>
        <w:pageBreakBefore w:val="0"/>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sz w:val="21"/>
          <w:szCs w:val="21"/>
        </w:rPr>
      </w:pPr>
    </w:p>
    <w:tbl>
      <w:tblPr>
        <w:tblStyle w:val="6"/>
        <w:tblW w:w="14915" w:type="dxa"/>
        <w:jc w:val="center"/>
        <w:tblInd w:w="-33" w:type="dxa"/>
        <w:tblLayout w:type="fixed"/>
        <w:tblCellMar>
          <w:top w:w="0" w:type="dxa"/>
          <w:left w:w="108" w:type="dxa"/>
          <w:bottom w:w="0" w:type="dxa"/>
          <w:right w:w="108" w:type="dxa"/>
        </w:tblCellMar>
      </w:tblPr>
      <w:tblGrid>
        <w:gridCol w:w="746"/>
        <w:gridCol w:w="1569"/>
        <w:gridCol w:w="4657"/>
        <w:gridCol w:w="1538"/>
        <w:gridCol w:w="1575"/>
        <w:gridCol w:w="1402"/>
        <w:gridCol w:w="2168"/>
        <w:gridCol w:w="1260"/>
      </w:tblGrid>
      <w:tr>
        <w:tblPrEx>
          <w:tblLayout w:type="fixed"/>
          <w:tblCellMar>
            <w:top w:w="0" w:type="dxa"/>
            <w:left w:w="108" w:type="dxa"/>
            <w:bottom w:w="0" w:type="dxa"/>
            <w:right w:w="108" w:type="dxa"/>
          </w:tblCellMar>
        </w:tblPrEx>
        <w:trPr>
          <w:trHeight w:val="403"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整治措施</w:t>
            </w:r>
          </w:p>
        </w:tc>
        <w:tc>
          <w:tcPr>
            <w:tcW w:w="4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具体工作内容和要求</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牵头单位</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配合单位</w:t>
            </w:r>
          </w:p>
        </w:tc>
        <w:tc>
          <w:tcPr>
            <w:tcW w:w="1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完成时限</w:t>
            </w:r>
          </w:p>
        </w:tc>
        <w:tc>
          <w:tcPr>
            <w:tcW w:w="21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预期目标</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备注</w:t>
            </w:r>
          </w:p>
        </w:tc>
      </w:tr>
      <w:tr>
        <w:tblPrEx>
          <w:tblLayout w:type="fixed"/>
          <w:tblCellMar>
            <w:top w:w="0" w:type="dxa"/>
            <w:left w:w="108" w:type="dxa"/>
            <w:bottom w:w="0" w:type="dxa"/>
            <w:right w:w="108" w:type="dxa"/>
          </w:tblCellMar>
        </w:tblPrEx>
        <w:trPr>
          <w:trHeight w:val="451"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一、全面深入排查</w:t>
            </w:r>
          </w:p>
        </w:tc>
      </w:tr>
      <w:tr>
        <w:tblPrEx>
          <w:tblLayout w:type="fixed"/>
          <w:tblCellMar>
            <w:top w:w="0" w:type="dxa"/>
            <w:left w:w="108" w:type="dxa"/>
            <w:bottom w:w="0" w:type="dxa"/>
            <w:right w:w="108" w:type="dxa"/>
          </w:tblCellMar>
        </w:tblPrEx>
        <w:trPr>
          <w:trHeight w:val="139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交通秩序乱点、拥堵黑点大排查</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结合日常执勤执法工作，对区内交通区域性黑点，如占道施工沿线、早晚或法定节假日高峰期、重点区域周边等进行全面排查，建立完整台帐。</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      市政所</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w:t>
            </w:r>
          </w:p>
        </w:tc>
      </w:tr>
      <w:tr>
        <w:tblPrEx>
          <w:tblLayout w:type="fixed"/>
          <w:tblCellMar>
            <w:top w:w="0" w:type="dxa"/>
            <w:left w:w="108" w:type="dxa"/>
            <w:bottom w:w="0" w:type="dxa"/>
            <w:right w:w="108" w:type="dxa"/>
          </w:tblCellMar>
        </w:tblPrEx>
        <w:trPr>
          <w:trHeight w:val="107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对全镇国、省道，尤其是与村道、工厂企业出入口连接路段的交通秩序乱象、拥堵黑点进行全面排查，建立完整台帐。</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05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对辖区内市政道路、微循环道路、内街内巷交通黑点全面排查，掌握底数，建立完整台账。</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789"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对辖区内道路占道经营、占道摆卖全面排查，建立台帐。</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城管中队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49"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交通事故隐患黑点大</w:t>
            </w:r>
          </w:p>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排查</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进一步细化分析2014年-2017年我镇涉及人员死亡、重伤或重大财产损失的道路交通事故发生的路段、时间、车型等基础信息，并建立台帐。</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08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按照自身职责对历年来交通事故发生的路段的道路设计、基础设施进行全面排查，制定整改方案，明确完成时间节点。</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      路政所</w:t>
            </w:r>
          </w:p>
        </w:tc>
        <w:tc>
          <w:tcPr>
            <w:tcW w:w="1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3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道路施工管理大排查</w:t>
            </w:r>
          </w:p>
        </w:tc>
        <w:tc>
          <w:tcPr>
            <w:tcW w:w="4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按照各自职责分别对当前全镇市政道路、公路占道施工的情况进行全面排查，掌握存在未经审批擅自占道施工、超时施工、不按规定施工以及造成扬尘污染的各种情况。</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  城管中队    路政所</w:t>
            </w:r>
          </w:p>
        </w:tc>
        <w:tc>
          <w:tcPr>
            <w:tcW w:w="1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10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结合排查情况，对存在问题的施工单位分门别类建立档案，对重点违法单位列入黑名单，研究监管办法。</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城管中队    路政所  </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48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生产销售维修改装环节大排查</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集中排查全镇车辆生产销售企业和商户存在的生产销售不具备上路安全条件、不符合国家标准的车辆的情况，特别是生产和销售不符合国家标准的电动自行车企业和商户情况。</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整规办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工商所</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94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集中排查机动车维修改装领域非法维修改装活动的企业商户情况。</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整规办      工商所    </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03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集中排查非法维修改装残疾车、电动自行车、摩托车、三轮车、拼改装报废车的小作坊、小商档情况，纳入重点清查对象。</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整规办      工商所      各村（居）    </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15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重点企业、车辆和人员大排查</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对公交车、出租车、网约车、物流车、客货运车、旅游大巴、教练车、黄标车、危化品车、泥头车、校车、共享单车等企业进行全面排查</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      科教文体办</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4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对重点人员和重点车辆全面梳理我镇逾期未年审、达到报废和注销情形、多次以上违法未处理的重点车辆和人员情况，建立明细档案</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安监办      出管中心</w:t>
            </w:r>
          </w:p>
        </w:tc>
        <w:tc>
          <w:tcPr>
            <w:tcW w:w="1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7月底前</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615"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二、集中开展清理</w:t>
            </w:r>
          </w:p>
        </w:tc>
      </w:tr>
      <w:tr>
        <w:tblPrEx>
          <w:tblLayout w:type="fixed"/>
          <w:tblCellMar>
            <w:top w:w="0" w:type="dxa"/>
            <w:left w:w="108" w:type="dxa"/>
            <w:bottom w:w="0" w:type="dxa"/>
            <w:right w:w="108" w:type="dxa"/>
          </w:tblCellMar>
        </w:tblPrEx>
        <w:trPr>
          <w:trHeight w:val="1399"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56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集中整治交通秩序和拥堵黑点</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每月至少一次联合整治，组织派出所、城管、交通、村居治保联防力量，以零容忍态度集中整治黑点各类交通违法行为。</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spacing w:val="-20"/>
                <w:kern w:val="0"/>
                <w:sz w:val="21"/>
                <w:szCs w:val="21"/>
              </w:rPr>
            </w:pPr>
            <w:r>
              <w:rPr>
                <w:rFonts w:hint="eastAsia" w:ascii="宋体" w:hAnsi="宋体" w:eastAsia="宋体" w:cs="宋体"/>
                <w:spacing w:val="-20"/>
                <w:kern w:val="0"/>
                <w:sz w:val="21"/>
                <w:szCs w:val="21"/>
              </w:rPr>
              <w:t xml:space="preserve">辖区各派出所    </w:t>
            </w:r>
          </w:p>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城管中队    交管所      各村（居）</w:t>
            </w:r>
          </w:p>
        </w:tc>
        <w:tc>
          <w:tcPr>
            <w:tcW w:w="1402"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 9月底前初步见成效</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919"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加强联勤联动，每月集中整治一次各类道路运输非法营运行为、清理违法网约专车。</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 xml:space="preserve">新塘警务中心 </w:t>
            </w:r>
            <w:r>
              <w:rPr>
                <w:rFonts w:hint="eastAsia" w:ascii="宋体" w:hAnsi="宋体" w:eastAsia="宋体" w:cs="宋体"/>
                <w:kern w:val="0"/>
                <w:sz w:val="21"/>
                <w:szCs w:val="21"/>
              </w:rPr>
              <w:t xml:space="preserve"> 交警三中队 </w:t>
            </w:r>
          </w:p>
        </w:tc>
        <w:tc>
          <w:tcPr>
            <w:tcW w:w="140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278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结合我镇缓堵工作开展，由区新塘警务中心负责，强化主次干道秩序和拥堵黑点的排堵保畅，充分发挥民警和交通辅警定点疏导的作用，优化信号控制，加快轻微交通事故、故障车处理；加大对107国道、新塘城区的路网规划，将过境车流引离中心城区道路；加快东江大道南、东进北路等道路建设，全面加快排堵保畅。</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40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2054"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责令和监管各大批发市场、医院、学校、客运站、商场、公园、旅游景点、公共休闲场所、综合办证中心有关责任方，当本单位周边发生交通拥堵时，按照“自扫门前雪”的原则，组织协管力量疏导交通，并听从公安部门的指令和调度。</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 xml:space="preserve">新塘警务中心    </w:t>
            </w:r>
            <w:r>
              <w:rPr>
                <w:rFonts w:hint="eastAsia" w:ascii="宋体" w:hAnsi="宋体" w:eastAsia="宋体" w:cs="宋体"/>
                <w:kern w:val="0"/>
                <w:sz w:val="21"/>
                <w:szCs w:val="21"/>
              </w:rPr>
              <w:t xml:space="preserve">    经济办      计生办      科教文体办    交管所      市政所</w:t>
            </w:r>
          </w:p>
        </w:tc>
        <w:tc>
          <w:tcPr>
            <w:tcW w:w="140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008"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优化秩序和拥堵黑点交通组织，实施设施改造，渠化交通。</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    路政所</w:t>
            </w:r>
          </w:p>
        </w:tc>
        <w:tc>
          <w:tcPr>
            <w:tcW w:w="140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201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集中整治交通事故隐患黑点</w:t>
            </w:r>
          </w:p>
        </w:tc>
        <w:tc>
          <w:tcPr>
            <w:tcW w:w="4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对交警三中队排查分析的事故黑点路段，按照各自在大排查环节制定的整改方案，分步对黑点路段标志标线、安全隔离设施、绿化遮挡、常发积水等隐患设施进行改造。</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  交管所      路政所</w:t>
            </w: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 9月底前初步见成效</w:t>
            </w:r>
          </w:p>
        </w:tc>
        <w:tc>
          <w:tcPr>
            <w:tcW w:w="21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28"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完善勤务运作、强化巡逻管控、加强现场和非现场执法，保持对黑点路段违法行为的高压整治。</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2338"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56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集中整治道路施工乱象</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建立健全内部监管制度，加强行业监管，严格督促各自行业的建设单位和施工单位遵规施工，对各自行业的建设单位和施工单位进行通报、考核、管理和惩处，清理黑名单施工单位。</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城管中队     路政所    </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 9月底前初步见成效</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21"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完善占道施工，会商机制和联合审查程序，严格监督施工单位遵规守矩施工。</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  城管中队    路政所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5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5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对在日常工作发现的违法占道施工情况，12小时内派员到场处理，严肃追究有关单位责任。</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城管中队  </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341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集中整治生产销售拼改装行为</w:t>
            </w:r>
          </w:p>
        </w:tc>
        <w:tc>
          <w:tcPr>
            <w:tcW w:w="4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严格落实广东省四部门联合下发的《印发关于加强在用超标电动自行车过渡期管理工作的指导意见的通知》（粤公通字〔2013〕4号）精神，集中整治非法生产销售“超标”电动自行车行为，责令企业自行清理已生产未流入市场的“超标”电动自行车，召回流入市场车辆，责令实体店商户集中下架，对拒不执行企业和商户依法处理。</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整规办      </w:t>
            </w:r>
          </w:p>
        </w:tc>
        <w:tc>
          <w:tcPr>
            <w:tcW w:w="1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辖区派出所辖区工商所    </w:t>
            </w: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常态开展，9月底前初步见成效</w:t>
            </w:r>
          </w:p>
        </w:tc>
        <w:tc>
          <w:tcPr>
            <w:tcW w:w="21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36"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集中整治机动车维修改装领域各类违法行为。</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整规办      </w:t>
            </w:r>
            <w:r>
              <w:rPr>
                <w:rFonts w:hint="eastAsia" w:ascii="宋体" w:hAnsi="宋体" w:eastAsia="宋体" w:cs="宋体"/>
                <w:spacing w:val="-20"/>
                <w:kern w:val="0"/>
                <w:sz w:val="21"/>
                <w:szCs w:val="21"/>
              </w:rPr>
              <w:t xml:space="preserve">辖区各工商所  </w:t>
            </w:r>
            <w:r>
              <w:rPr>
                <w:rFonts w:hint="eastAsia" w:ascii="宋体" w:hAnsi="宋体" w:eastAsia="宋体" w:cs="宋体"/>
                <w:kern w:val="0"/>
                <w:sz w:val="21"/>
                <w:szCs w:val="21"/>
              </w:rPr>
              <w:t xml:space="preserve">  </w:t>
            </w:r>
            <w:r>
              <w:rPr>
                <w:rFonts w:hint="eastAsia" w:ascii="宋体" w:hAnsi="宋体" w:eastAsia="宋体" w:cs="宋体"/>
                <w:spacing w:val="-20"/>
                <w:kern w:val="0"/>
                <w:sz w:val="21"/>
                <w:szCs w:val="21"/>
              </w:rPr>
              <w:t>辖区各派出所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38"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集中清理非法维修改装残疾车、电动自行车、摩托车、三轮车、拼改装报废车的小作坊、小商档。</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整规办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交管所      </w:t>
            </w:r>
            <w:r>
              <w:rPr>
                <w:rFonts w:hint="eastAsia" w:ascii="宋体" w:hAnsi="宋体" w:eastAsia="宋体" w:cs="宋体"/>
                <w:spacing w:val="-20"/>
                <w:kern w:val="0"/>
                <w:sz w:val="21"/>
                <w:szCs w:val="21"/>
              </w:rPr>
              <w:t>辖区各工商所    辖区各派出所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4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严格管理重点企业、车辆和人员</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对存在问题的重点企业，督促整改，实施内部处罚，列入观察对象或黑名单，并建立考核办法，考核结果与有关行政服务管理进行挂钩，达到惩罚警示作用。</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安监办</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   出管中心</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常态开展，9月底前初步见成效</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44"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对我镇逾期未年审、达到报废和注销情形、多次以上违法未处理的重点车辆和人员，情形严重的，落地查人查车，严格监管和处罚。</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安监办</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新塘警务中心</w:t>
            </w:r>
            <w:r>
              <w:rPr>
                <w:rFonts w:hint="eastAsia" w:ascii="宋体" w:hAnsi="宋体" w:eastAsia="宋体" w:cs="宋体"/>
                <w:kern w:val="0"/>
                <w:sz w:val="21"/>
                <w:szCs w:val="21"/>
              </w:rPr>
              <w:t xml:space="preserve">   交警三中队  出管中心</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612"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三、强化宣传教育</w:t>
            </w:r>
          </w:p>
        </w:tc>
      </w:tr>
      <w:tr>
        <w:tblPrEx>
          <w:tblLayout w:type="fixed"/>
          <w:tblCellMar>
            <w:top w:w="0" w:type="dxa"/>
            <w:left w:w="108" w:type="dxa"/>
            <w:bottom w:w="0" w:type="dxa"/>
            <w:right w:w="108" w:type="dxa"/>
          </w:tblCellMar>
        </w:tblPrEx>
        <w:trPr>
          <w:trHeight w:val="3268"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舆论造势全覆盖</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组织电视、报刊、广播等传统媒体和微信、微博等互联网新媒体，持续、广泛刊播整治工作新闻。</w:t>
            </w:r>
          </w:p>
        </w:tc>
        <w:tc>
          <w:tcPr>
            <w:tcW w:w="15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宣传办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 xml:space="preserve">新塘警务中心  </w:t>
            </w:r>
            <w:r>
              <w:rPr>
                <w:rFonts w:hint="eastAsia" w:ascii="宋体" w:hAnsi="宋体" w:eastAsia="宋体" w:cs="宋体"/>
                <w:kern w:val="0"/>
                <w:sz w:val="21"/>
                <w:szCs w:val="21"/>
              </w:rPr>
              <w:t>市政所      交警三中队  交管所      城管中队    整规办      安监办</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3252"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持续曝光各类道路交通违法现象、典型案例，大力宣传“好交警、好司机、好市民”等正面典型。</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新塘警务中心</w:t>
            </w:r>
            <w:r>
              <w:rPr>
                <w:rFonts w:hint="eastAsia" w:ascii="宋体" w:hAnsi="宋体" w:eastAsia="宋体" w:cs="宋体"/>
                <w:kern w:val="0"/>
                <w:sz w:val="21"/>
                <w:szCs w:val="21"/>
              </w:rPr>
              <w:t xml:space="preserve">  市政所      交警三中队  交管所      城管中队    整规办       安监办</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8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在电视频道每日黄金时段、广播节目准点时段高频次播放飞屏字幕或公益广告。</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3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社会动员全覆盖</w:t>
            </w:r>
          </w:p>
        </w:tc>
        <w:tc>
          <w:tcPr>
            <w:tcW w:w="4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在党政机关、企事业单位、居民社区、商圈楼宇、公共交通车厢等区域，利用各类电子显示屏等渠道滚动播放宣传提示和公益广告。</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宣传办  </w:t>
            </w:r>
          </w:p>
        </w:tc>
        <w:tc>
          <w:tcPr>
            <w:tcW w:w="1575"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市政所      科教文体办    综治办      城管中队    安监办      整规办      团委        残联        </w:t>
            </w:r>
            <w:r>
              <w:rPr>
                <w:rFonts w:hint="eastAsia" w:ascii="宋体" w:hAnsi="宋体" w:eastAsia="宋体" w:cs="宋体"/>
                <w:spacing w:val="-20"/>
                <w:kern w:val="0"/>
                <w:sz w:val="21"/>
                <w:szCs w:val="21"/>
              </w:rPr>
              <w:t>辖区各派出所  辖区各工商所</w:t>
            </w:r>
            <w:r>
              <w:rPr>
                <w:rFonts w:hint="eastAsia" w:ascii="宋体" w:hAnsi="宋体" w:eastAsia="宋体" w:cs="宋体"/>
                <w:kern w:val="0"/>
                <w:sz w:val="21"/>
                <w:szCs w:val="21"/>
              </w:rPr>
              <w:t xml:space="preserve">    各村（居）</w:t>
            </w: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15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组织、指导全镇居民小区制定遵守交通法规公约、上门宣传告知、张贴宣传海报、悬挂宣传横幅、典型违法案例教育等活动。</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15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组织教育、司法行政部门在所有高校、中小学校、幼儿园开展道路交通法制教育主题活动，引导广大师生、家长支持参与交通大整治。</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689"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推进道路交通安全宣传“进农村、进社区、进单位、进学校、进家庭”工作。</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768"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单位行业发动全覆盖</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督促、指导各类社会单位履行对本单位人员开展道路交通安全宣传教育的法定义务</w:t>
            </w:r>
          </w:p>
        </w:tc>
        <w:tc>
          <w:tcPr>
            <w:tcW w:w="15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宣传办</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32"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在道路运输行业发布全行业守法、文明、安全行车倡议，签订交通安全责任书、承诺书，督促运输企业提高客货运车辆交通守法率，落实单位对驾驶人的教育管理制度。</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78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反面警示教育全覆盖</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对交通违法行为高发、交通事故隐患突出的公交车、出租车、物流车、网约车、客货运车、教练车、黄标车、泥头车、校车、危化品车企业定期向社会曝光，警示相关企业加强内部监管和安全教育。</w:t>
            </w:r>
          </w:p>
        </w:tc>
        <w:tc>
          <w:tcPr>
            <w:tcW w:w="15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宣传办</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新塘警务中心</w:t>
            </w:r>
            <w:r>
              <w:rPr>
                <w:rFonts w:hint="eastAsia" w:ascii="宋体" w:hAnsi="宋体" w:eastAsia="宋体" w:cs="宋体"/>
                <w:kern w:val="0"/>
                <w:sz w:val="21"/>
                <w:szCs w:val="21"/>
              </w:rPr>
              <w:t xml:space="preserve">  交警三中队  </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924"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分类分批向社会曝光各类交通违法行为的重点车辆和人员，触动广大市民自觉遵守交通安全法规。</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 xml:space="preserve">新塘警务中心  </w:t>
            </w:r>
            <w:r>
              <w:rPr>
                <w:rFonts w:hint="eastAsia" w:ascii="宋体" w:hAnsi="宋体" w:eastAsia="宋体" w:cs="宋体"/>
                <w:kern w:val="0"/>
                <w:sz w:val="21"/>
                <w:szCs w:val="21"/>
              </w:rPr>
              <w:t xml:space="preserve">交警三中队  </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457"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四、实现联勤联动</w:t>
            </w:r>
          </w:p>
        </w:tc>
      </w:tr>
      <w:tr>
        <w:tblPrEx>
          <w:tblLayout w:type="fixed"/>
          <w:tblCellMar>
            <w:top w:w="0" w:type="dxa"/>
            <w:left w:w="108" w:type="dxa"/>
            <w:bottom w:w="0" w:type="dxa"/>
            <w:right w:w="108" w:type="dxa"/>
          </w:tblCellMar>
        </w:tblPrEx>
        <w:trPr>
          <w:trHeight w:val="1849"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执法整治和综合治理大联动</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各部门要加强路面秩序、道路施工、车辆生产、销售、维修、改装等各个领域的执法整治大联动，加强重点企业和车辆人员内部监管的大联动，加强完善公交体系、“最后一公里”接驳体系、物流配送管理、批发市场综合管理等源头治理工作的大联动。</w:t>
            </w:r>
          </w:p>
        </w:tc>
        <w:tc>
          <w:tcPr>
            <w:tcW w:w="15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市政所      交警三中队        交管所      整规办      </w:t>
            </w:r>
            <w:r>
              <w:rPr>
                <w:rFonts w:hint="eastAsia" w:ascii="宋体" w:hAnsi="宋体" w:eastAsia="宋体" w:cs="宋体"/>
                <w:spacing w:val="-20"/>
                <w:kern w:val="0"/>
                <w:sz w:val="21"/>
                <w:szCs w:val="21"/>
              </w:rPr>
              <w:t>辖区各派出所</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62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镇指导各部门开展各领域范围的执法整治和综合治理，突出重点、有针对性的对重点区域交通难点问题加强政策扶持、资源倾斜</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市政所      交警三中队  交管所      整规办      </w:t>
            </w:r>
            <w:r>
              <w:rPr>
                <w:rFonts w:hint="eastAsia" w:ascii="宋体" w:hAnsi="宋体" w:eastAsia="宋体" w:cs="宋体"/>
                <w:spacing w:val="-20"/>
                <w:kern w:val="0"/>
                <w:sz w:val="21"/>
                <w:szCs w:val="21"/>
              </w:rPr>
              <w:t>辖区各派出所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612"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镇街与各村（居）之间的横向联动。针对行政管辖交接区域的交通难点问题，共同研究办法和对策，实现共赢。</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市政所      交警三中队  交管所      整规办      </w:t>
            </w:r>
            <w:r>
              <w:rPr>
                <w:rFonts w:hint="eastAsia" w:ascii="宋体" w:hAnsi="宋体" w:eastAsia="宋体" w:cs="宋体"/>
                <w:spacing w:val="-20"/>
                <w:kern w:val="0"/>
                <w:sz w:val="21"/>
                <w:szCs w:val="21"/>
              </w:rPr>
              <w:t>辖区各派出所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86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社会静态交通资源共享大联动</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结合“城市社区网格化服务管理”工作，摸查梳理本区的医院、学校、行政综合办证中心等公共服务机构自有停车资源信息和周边住宅、商业等其它各类停车资源信息，掌握本区停车资源数据，汇总形成全镇停车资源大数据库。</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      交管所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7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将公共服务机构和周边停车资源进行区域统筹考虑，推动公共服务机构逐步向公众放开，实现公共服务机构及周边停车资源的综合利用，缓解公共服务区域停车难问题。</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交管所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      市政所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780"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五、严格督办考核</w:t>
            </w:r>
          </w:p>
        </w:tc>
      </w:tr>
      <w:tr>
        <w:tblPrEx>
          <w:tblLayout w:type="fixed"/>
          <w:tblCellMar>
            <w:top w:w="0" w:type="dxa"/>
            <w:left w:w="108" w:type="dxa"/>
            <w:bottom w:w="0" w:type="dxa"/>
            <w:right w:w="108" w:type="dxa"/>
          </w:tblCellMar>
        </w:tblPrEx>
        <w:trPr>
          <w:trHeight w:val="85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严格督办</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对各部门履责情况进行督查督办，每月向镇领导反馈情况，并实行全镇通报。</w:t>
            </w:r>
          </w:p>
        </w:tc>
        <w:tc>
          <w:tcPr>
            <w:tcW w:w="15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市政所</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97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1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细化考核</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根据市交通整治办制定考核办法，细化我镇考核指标，对各部门整治情况实行年考核。</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570"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六、引导全民参与</w:t>
            </w:r>
          </w:p>
        </w:tc>
      </w:tr>
      <w:tr>
        <w:tblPrEx>
          <w:tblLayout w:type="fixed"/>
          <w:tblCellMar>
            <w:top w:w="0" w:type="dxa"/>
            <w:left w:w="108" w:type="dxa"/>
            <w:bottom w:w="0" w:type="dxa"/>
            <w:right w:w="108" w:type="dxa"/>
          </w:tblCellMar>
        </w:tblPrEx>
        <w:trPr>
          <w:trHeight w:val="211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1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交通排堵责任大参与</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市公安局的部署，积极推行交叉路口依次通行规则。根据《道路交通安全法》第四十五条规定，借鉴香港做法，推行拥堵交叉路口车辆依次通行规则，通过典型案例和宣传引导，规范拥堵交叉路口通行规则，提高路口通行效率。</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交警三中队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宣传办      市政所</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74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1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交通志愿活动大参与</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组织机关企事业单位、街道、公司、学校等社会志愿者参与交通劝导、交通宣传，重点路段开展“礼让斑马线”、“文明过马路”宣传劝导活动，按照“志愿为先，适度激励”的方针，鼓励更多的市民投身到志愿者活动行列。</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团委        宣传办      市政所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0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1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交通违法举报大参与</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根据市公安局的部署，推进我镇交通违法视频举报平台建立工作，接收由车载行车记录仪等设备记录的机动车交通违法证据，对行为人进行处罚，形成全民监督交通违法行为的氛围。</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团委        宣传办      市政所</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705"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七、加大科技投入</w:t>
            </w:r>
          </w:p>
        </w:tc>
      </w:tr>
      <w:tr>
        <w:tblPrEx>
          <w:tblLayout w:type="fixed"/>
          <w:tblCellMar>
            <w:top w:w="0" w:type="dxa"/>
            <w:left w:w="108" w:type="dxa"/>
            <w:bottom w:w="0" w:type="dxa"/>
            <w:right w:w="108" w:type="dxa"/>
          </w:tblCellMar>
        </w:tblPrEx>
        <w:trPr>
          <w:trHeight w:val="1301"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推动视频监控全覆盖</w:t>
            </w:r>
          </w:p>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共享</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全面加大交通视频监控的建设规模和升级改造力度，镇财政部门要将大整治专项经费列入镇各级相关部门年度预算统筹。</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综治办</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 xml:space="preserve">新塘警务中心 </w:t>
            </w:r>
            <w:r>
              <w:rPr>
                <w:rFonts w:hint="eastAsia" w:ascii="宋体" w:hAnsi="宋体" w:eastAsia="宋体" w:cs="宋体"/>
                <w:kern w:val="0"/>
                <w:sz w:val="21"/>
                <w:szCs w:val="21"/>
              </w:rPr>
              <w:t xml:space="preserve">  交警三中队</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43"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推动我镇管辖的各类视频监控与市层面有关职能部门管辖的各类视频监控的互联互通，实现对主次干道、支路、内街内巷道路交通状况的全覆盖监控。</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综治办</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spacing w:val="-20"/>
                <w:kern w:val="0"/>
                <w:sz w:val="21"/>
                <w:szCs w:val="21"/>
              </w:rPr>
              <w:t>新塘警务中心</w:t>
            </w:r>
            <w:r>
              <w:rPr>
                <w:rFonts w:hint="eastAsia" w:ascii="宋体" w:hAnsi="宋体" w:eastAsia="宋体" w:cs="宋体"/>
                <w:kern w:val="0"/>
                <w:sz w:val="21"/>
                <w:szCs w:val="21"/>
              </w:rPr>
              <w:t xml:space="preserve">   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54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推动“电子眼”全覆盖</w:t>
            </w:r>
          </w:p>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抓拍</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根据市层面的统一部署，加大“电子眼”的建设和应用，力争2017年全面覆盖我镇主干道；加强辖区内街内巷交通监控的建设，实现对各类交通违法行为的全方位监控。</w:t>
            </w:r>
          </w:p>
        </w:tc>
        <w:tc>
          <w:tcPr>
            <w:tcW w:w="15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新塘警务中心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综治办      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84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加大基层交警三中队的装配，大面积推广便携式、流动性抓拍设备的配备。</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综治办      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20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加强信息情报板的应用，在重点路段显示具体车辆违法行为情况，以起到对途经车辆的震慑效应，自觉遵守交通规则。</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综治办      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39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推行运用公交车、救护车、消防车等专业车辆行车记录仪抓拍车辆交通违法行为的措施，多途径多渠道记录交通违法行为。</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综治办      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737" w:hRule="atLeast"/>
          <w:jc w:val="center"/>
        </w:trPr>
        <w:tc>
          <w:tcPr>
            <w:tcW w:w="149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八、充实执法保障</w:t>
            </w:r>
          </w:p>
        </w:tc>
      </w:tr>
      <w:tr>
        <w:tblPrEx>
          <w:tblLayout w:type="fixed"/>
          <w:tblCellMar>
            <w:top w:w="0" w:type="dxa"/>
            <w:left w:w="108" w:type="dxa"/>
            <w:bottom w:w="0" w:type="dxa"/>
            <w:right w:w="108" w:type="dxa"/>
          </w:tblCellMar>
        </w:tblPrEx>
        <w:trPr>
          <w:trHeight w:val="1500"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56</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全面充实交通辅警、协管力量。</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研究在现有基础上扩充招收公安交通辅警力量，充实一线执法力量，落实经费保障，充分发挥辅警在指挥交通、巡逻管理、劝阻车辆行人、路口疏导、辅助执法等作用。</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spacing w:val="-12"/>
                <w:kern w:val="0"/>
                <w:sz w:val="21"/>
                <w:szCs w:val="21"/>
              </w:rPr>
            </w:pPr>
            <w:r>
              <w:rPr>
                <w:rFonts w:hint="eastAsia" w:ascii="宋体" w:hAnsi="宋体" w:eastAsia="宋体" w:cs="宋体"/>
                <w:spacing w:val="-12"/>
                <w:kern w:val="0"/>
                <w:sz w:val="21"/>
                <w:szCs w:val="21"/>
              </w:rPr>
              <w:t xml:space="preserve">新塘警务中心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常态开展</w:t>
            </w: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47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57</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重视交通协管力量的建设，街道层面要建立交通协管队伍，通过出资委托公安机关招聘或自行招收交通协管力量等各种方式充实本街交通整治力量。</w:t>
            </w:r>
          </w:p>
        </w:tc>
        <w:tc>
          <w:tcPr>
            <w:tcW w:w="15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spacing w:val="-12"/>
                <w:kern w:val="0"/>
                <w:sz w:val="21"/>
                <w:szCs w:val="21"/>
              </w:rPr>
            </w:pPr>
            <w:r>
              <w:rPr>
                <w:rFonts w:hint="eastAsia" w:ascii="宋体" w:hAnsi="宋体" w:eastAsia="宋体" w:cs="宋体"/>
                <w:spacing w:val="-12"/>
                <w:kern w:val="0"/>
                <w:sz w:val="21"/>
                <w:szCs w:val="21"/>
              </w:rPr>
              <w:t xml:space="preserve">新塘警务中心 </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425"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58</w:t>
            </w:r>
          </w:p>
        </w:tc>
        <w:tc>
          <w:tcPr>
            <w:tcW w:w="15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全面提高执法装备配备标准</w:t>
            </w: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更新或升级新换代摩托车、执法记录仪、各类安全防护装备和查处各类严重违法行为的器械装备，提高公安民警单警装备的现代化和智能化水平。</w:t>
            </w:r>
          </w:p>
        </w:tc>
        <w:tc>
          <w:tcPr>
            <w:tcW w:w="15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spacing w:val="-10"/>
                <w:kern w:val="0"/>
                <w:sz w:val="21"/>
                <w:szCs w:val="21"/>
              </w:rPr>
            </w:pPr>
            <w:r>
              <w:rPr>
                <w:rFonts w:hint="eastAsia" w:ascii="宋体" w:hAnsi="宋体" w:eastAsia="宋体" w:cs="宋体"/>
                <w:spacing w:val="-10"/>
                <w:kern w:val="0"/>
                <w:sz w:val="21"/>
                <w:szCs w:val="21"/>
              </w:rPr>
              <w:t>新塘警务中心</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313"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59</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加大标准化中休点的投入和建设，提供良好的硬件环境，规范一线民警劳逸结合的警务工作，提升警队形象。</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1374" w:hRule="atLeast"/>
          <w:jc w:val="center"/>
        </w:trPr>
        <w:tc>
          <w:tcPr>
            <w:tcW w:w="74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5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4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按照交通辅警的工作职责，配足、配齐、配优一批辅助装备，保障交通辅警开展好指挥交通、路口疏导、辅助执法等工作。</w:t>
            </w:r>
          </w:p>
        </w:tc>
        <w:tc>
          <w:tcPr>
            <w:tcW w:w="15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交警三中队</w:t>
            </w:r>
          </w:p>
        </w:tc>
        <w:tc>
          <w:tcPr>
            <w:tcW w:w="140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p>
        </w:tc>
        <w:tc>
          <w:tcPr>
            <w:tcW w:w="21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6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spacing w:beforeAutospacing="0" w:afterAutospacing="0" w:line="360" w:lineRule="auto"/>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D1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页脚 New New New New New New New New New New New New New New New New"/>
    <w:basedOn w:val="9"/>
    <w:qFormat/>
    <w:uiPriority w:val="0"/>
    <w:pPr>
      <w:tabs>
        <w:tab w:val="center" w:pos="4153"/>
        <w:tab w:val="right" w:pos="8306"/>
      </w:tabs>
      <w:snapToGrid w:val="0"/>
      <w:jc w:val="left"/>
    </w:pPr>
    <w:rPr>
      <w:sz w:val="18"/>
    </w:rPr>
  </w:style>
  <w:style w:type="paragraph" w:customStyle="1" w:styleId="9">
    <w:name w:val="正文 New New New New New New New New New New New New New New New New New New New New New New New New"/>
    <w:uiPriority w:val="0"/>
    <w:pPr>
      <w:widowControl w:val="0"/>
      <w:jc w:val="both"/>
    </w:pPr>
    <w:rPr>
      <w:rFonts w:eastAsia="仿宋_GB2312"/>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tecamo</cp:lastModifiedBy>
  <dcterms:modified xsi:type="dcterms:W3CDTF">2017-09-14T07:03:26Z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